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7D8" w:rsidRDefault="00B607D8" w:rsidP="00B607D8">
      <w:pPr>
        <w:pStyle w:val="Title"/>
      </w:pPr>
      <w:bookmarkStart w:id="0" w:name="_GoBack"/>
      <w:bookmarkEnd w:id="0"/>
      <w:r w:rsidRPr="00861D1F">
        <w:t>Comments on the SEAC draft opinion</w:t>
      </w:r>
      <w:r>
        <w:t xml:space="preserve"> and specific information requests</w:t>
      </w:r>
    </w:p>
    <w:p w:rsidR="00B607D8" w:rsidRDefault="00B607D8" w:rsidP="00B607D8">
      <w:pPr>
        <w:pStyle w:val="Heading2"/>
      </w:pPr>
      <w:r>
        <w:t>Specific information requests</w:t>
      </w:r>
    </w:p>
    <w:p w:rsidR="009C257E" w:rsidRDefault="009F50E6" w:rsidP="005079BD">
      <w:pPr>
        <w:pStyle w:val="BodyText"/>
        <w:numPr>
          <w:ilvl w:val="0"/>
          <w:numId w:val="6"/>
        </w:numPr>
      </w:pPr>
      <w:r w:rsidRPr="009F50E6">
        <w:t>SEAC is not aware of any intentional or unintentional uses in the EEA covered by the proposed restriction. However, there are C&amp;L notifications for the substance. Please provide information on environmental and economic impacts of restricting any possible uses that are not assessed in the report.</w:t>
      </w:r>
    </w:p>
    <w:p w:rsidR="009F50E6" w:rsidRDefault="009F50E6" w:rsidP="005079BD">
      <w:pPr>
        <w:pStyle w:val="BodyText"/>
        <w:numPr>
          <w:ilvl w:val="0"/>
          <w:numId w:val="6"/>
        </w:numPr>
      </w:pPr>
      <w:r w:rsidRPr="009F50E6">
        <w:t>According to available information PFHxS is currently present in some imported articles. Please provide us with any further information on contents of PFHxS, its salts and related substances in imported articles.</w:t>
      </w:r>
    </w:p>
    <w:p w:rsidR="009F50E6" w:rsidRPr="009C257E" w:rsidRDefault="009F50E6" w:rsidP="005079BD">
      <w:pPr>
        <w:pStyle w:val="BodyText"/>
        <w:numPr>
          <w:ilvl w:val="0"/>
          <w:numId w:val="6"/>
        </w:numPr>
      </w:pPr>
      <w:r w:rsidRPr="009F50E6">
        <w:t>It is possible that some economic impacts will occur as the proposed restriction would not allow companies to switch to PFHxS after the entry into force of the PFOA restriction in June 2020. Did your company plan any such substitution from PFOA to PFHxS?</w:t>
      </w:r>
    </w:p>
    <w:tbl>
      <w:tblPr>
        <w:tblStyle w:val="TableGrid"/>
        <w:tblW w:w="14029" w:type="dxa"/>
        <w:tblLayout w:type="fixed"/>
        <w:tblLook w:val="04A0" w:firstRow="1" w:lastRow="0" w:firstColumn="1" w:lastColumn="0" w:noHBand="0" w:noVBand="1"/>
      </w:tblPr>
      <w:tblGrid>
        <w:gridCol w:w="846"/>
        <w:gridCol w:w="3260"/>
        <w:gridCol w:w="9923"/>
      </w:tblGrid>
      <w:tr w:rsidR="003B6D57" w:rsidRPr="00204DB2" w:rsidTr="009F50E6">
        <w:tc>
          <w:tcPr>
            <w:tcW w:w="846" w:type="dxa"/>
          </w:tcPr>
          <w:p w:rsidR="003B6D57" w:rsidRPr="00204DB2" w:rsidRDefault="003B6D57" w:rsidP="00A05AC2">
            <w:pPr>
              <w:rPr>
                <w:rFonts w:ascii="Verdana" w:hAnsi="Verdana"/>
                <w:b/>
                <w:sz w:val="20"/>
                <w:szCs w:val="20"/>
              </w:rPr>
            </w:pPr>
            <w:r w:rsidRPr="00204DB2">
              <w:rPr>
                <w:rFonts w:ascii="Verdana" w:hAnsi="Verdana"/>
                <w:b/>
                <w:sz w:val="20"/>
                <w:szCs w:val="20"/>
              </w:rPr>
              <w:t>Ref.</w:t>
            </w:r>
          </w:p>
        </w:tc>
        <w:tc>
          <w:tcPr>
            <w:tcW w:w="3260" w:type="dxa"/>
          </w:tcPr>
          <w:p w:rsidR="003B6D57" w:rsidRPr="00204DB2" w:rsidRDefault="003B6D57" w:rsidP="00665052">
            <w:pPr>
              <w:rPr>
                <w:rFonts w:ascii="Verdana" w:hAnsi="Verdana"/>
                <w:b/>
                <w:sz w:val="20"/>
                <w:szCs w:val="20"/>
              </w:rPr>
            </w:pPr>
            <w:r w:rsidRPr="00204DB2">
              <w:rPr>
                <w:rFonts w:ascii="Verdana" w:hAnsi="Verdana"/>
                <w:b/>
                <w:sz w:val="20"/>
                <w:szCs w:val="20"/>
              </w:rPr>
              <w:t>Date/</w:t>
            </w:r>
            <w:r>
              <w:rPr>
                <w:rFonts w:ascii="Verdana" w:hAnsi="Verdana"/>
                <w:b/>
                <w:sz w:val="20"/>
                <w:szCs w:val="20"/>
              </w:rPr>
              <w:t>Name/Org.</w:t>
            </w:r>
          </w:p>
        </w:tc>
        <w:tc>
          <w:tcPr>
            <w:tcW w:w="9923" w:type="dxa"/>
          </w:tcPr>
          <w:p w:rsidR="003B6D57" w:rsidRPr="00204DB2" w:rsidRDefault="003B6D57" w:rsidP="00A05AC2">
            <w:pPr>
              <w:rPr>
                <w:rFonts w:ascii="Verdana" w:hAnsi="Verdana"/>
                <w:b/>
                <w:sz w:val="20"/>
                <w:szCs w:val="20"/>
              </w:rPr>
            </w:pPr>
            <w:r w:rsidRPr="00204DB2">
              <w:rPr>
                <w:rFonts w:ascii="Verdana" w:hAnsi="Verdana"/>
                <w:b/>
                <w:sz w:val="20"/>
                <w:szCs w:val="20"/>
              </w:rPr>
              <w:t>Comments</w:t>
            </w:r>
          </w:p>
        </w:tc>
      </w:tr>
      <w:tr w:rsidR="009F50E6" w:rsidRPr="001D714B" w:rsidTr="009F50E6">
        <w:tc>
          <w:tcPr>
            <w:tcW w:w="846" w:type="dxa"/>
            <w:vMerge w:val="restart"/>
          </w:tcPr>
          <w:p w:rsidR="009F50E6" w:rsidRPr="006526A8" w:rsidRDefault="009F50E6" w:rsidP="004569ED">
            <w:pPr>
              <w:spacing w:after="120" w:line="276" w:lineRule="auto"/>
              <w:rPr>
                <w:rFonts w:ascii="Verdana" w:hAnsi="Verdana"/>
                <w:b/>
                <w:bCs/>
                <w:sz w:val="20"/>
                <w:szCs w:val="20"/>
              </w:rPr>
            </w:pPr>
            <w:r w:rsidRPr="00FF3608">
              <w:rPr>
                <w:rFonts w:ascii="Verdana" w:hAnsi="Verdana"/>
                <w:b/>
                <w:bCs/>
                <w:noProof/>
                <w:sz w:val="20"/>
                <w:szCs w:val="20"/>
              </w:rPr>
              <w:t>492</w:t>
            </w:r>
          </w:p>
        </w:tc>
        <w:tc>
          <w:tcPr>
            <w:tcW w:w="3260" w:type="dxa"/>
            <w:vMerge w:val="restart"/>
          </w:tcPr>
          <w:p w:rsidR="009F50E6" w:rsidRPr="001D714B" w:rsidRDefault="009F50E6" w:rsidP="004569ED">
            <w:pPr>
              <w:spacing w:after="120" w:line="276" w:lineRule="auto"/>
              <w:rPr>
                <w:rFonts w:ascii="Verdana" w:hAnsi="Verdana"/>
                <w:sz w:val="20"/>
                <w:szCs w:val="20"/>
              </w:rPr>
            </w:pPr>
            <w:r w:rsidRPr="001D714B">
              <w:rPr>
                <w:rFonts w:ascii="Verdana" w:hAnsi="Verdana"/>
                <w:b/>
                <w:sz w:val="20"/>
                <w:szCs w:val="20"/>
              </w:rPr>
              <w:t>Date/Time:</w:t>
            </w:r>
            <w:r w:rsidRPr="001D714B">
              <w:rPr>
                <w:rFonts w:ascii="Verdana" w:hAnsi="Verdana"/>
                <w:sz w:val="20"/>
                <w:szCs w:val="20"/>
              </w:rPr>
              <w:t xml:space="preserve"> </w:t>
            </w:r>
            <w:r w:rsidRPr="00FF3608">
              <w:rPr>
                <w:rFonts w:ascii="Verdana" w:hAnsi="Verdana"/>
                <w:noProof/>
                <w:sz w:val="20"/>
                <w:szCs w:val="20"/>
              </w:rPr>
              <w:t>2020/05/25 17:44</w:t>
            </w:r>
          </w:p>
          <w:p w:rsidR="009F50E6" w:rsidRPr="001D714B" w:rsidRDefault="009F50E6" w:rsidP="004569ED">
            <w:pPr>
              <w:spacing w:after="120" w:line="276" w:lineRule="auto"/>
              <w:rPr>
                <w:rFonts w:ascii="Verdana" w:hAnsi="Verdana"/>
                <w:sz w:val="20"/>
                <w:szCs w:val="20"/>
              </w:rPr>
            </w:pPr>
            <w:r w:rsidRPr="001D714B">
              <w:rPr>
                <w:rFonts w:ascii="Verdana" w:hAnsi="Verdana"/>
                <w:b/>
                <w:sz w:val="20"/>
                <w:szCs w:val="20"/>
              </w:rPr>
              <w:t>Type:</w:t>
            </w:r>
            <w:r w:rsidRPr="001D714B">
              <w:rPr>
                <w:rFonts w:ascii="Verdana" w:hAnsi="Verdana"/>
                <w:sz w:val="20"/>
                <w:szCs w:val="20"/>
              </w:rPr>
              <w:t xml:space="preserve"> </w:t>
            </w:r>
            <w:r w:rsidRPr="00FF3608">
              <w:rPr>
                <w:rFonts w:ascii="Verdana" w:hAnsi="Verdana"/>
                <w:noProof/>
                <w:sz w:val="20"/>
                <w:szCs w:val="20"/>
              </w:rPr>
              <w:t>BehalfOfAnOrganisation</w:t>
            </w:r>
          </w:p>
          <w:p w:rsidR="009F50E6" w:rsidRPr="001D714B" w:rsidRDefault="009F50E6" w:rsidP="004569ED">
            <w:pPr>
              <w:spacing w:after="120" w:line="276" w:lineRule="auto"/>
              <w:rPr>
                <w:rFonts w:ascii="Verdana" w:hAnsi="Verdana"/>
                <w:b/>
                <w:sz w:val="20"/>
                <w:szCs w:val="20"/>
              </w:rPr>
            </w:pPr>
            <w:r w:rsidRPr="001D714B">
              <w:rPr>
                <w:rFonts w:ascii="Verdana" w:hAnsi="Verdana"/>
                <w:b/>
                <w:sz w:val="20"/>
                <w:szCs w:val="20"/>
              </w:rPr>
              <w:t>Org. type:</w:t>
            </w:r>
          </w:p>
          <w:p w:rsidR="009F50E6" w:rsidRPr="001D714B" w:rsidRDefault="009F50E6" w:rsidP="004569ED">
            <w:pPr>
              <w:spacing w:after="120" w:line="276" w:lineRule="auto"/>
              <w:rPr>
                <w:rFonts w:ascii="Verdana" w:hAnsi="Verdana"/>
                <w:sz w:val="20"/>
                <w:szCs w:val="20"/>
              </w:rPr>
            </w:pPr>
            <w:r w:rsidRPr="00FF3608">
              <w:rPr>
                <w:rFonts w:ascii="Verdana" w:hAnsi="Verdana"/>
                <w:noProof/>
                <w:sz w:val="20"/>
                <w:szCs w:val="20"/>
              </w:rPr>
              <w:t>International NGO</w:t>
            </w:r>
          </w:p>
          <w:p w:rsidR="009F50E6" w:rsidRPr="001D714B" w:rsidRDefault="009F50E6" w:rsidP="004569ED">
            <w:pPr>
              <w:spacing w:after="120" w:line="276" w:lineRule="auto"/>
              <w:rPr>
                <w:rFonts w:ascii="Verdana" w:hAnsi="Verdana"/>
                <w:b/>
                <w:sz w:val="20"/>
                <w:szCs w:val="20"/>
              </w:rPr>
            </w:pPr>
            <w:r w:rsidRPr="001D714B">
              <w:rPr>
                <w:rFonts w:ascii="Verdana" w:hAnsi="Verdana"/>
                <w:b/>
                <w:sz w:val="20"/>
                <w:szCs w:val="20"/>
              </w:rPr>
              <w:t>Org. name:</w:t>
            </w:r>
          </w:p>
          <w:p w:rsidR="009F50E6" w:rsidRPr="001D714B" w:rsidRDefault="009F50E6" w:rsidP="004569ED">
            <w:pPr>
              <w:spacing w:after="120" w:line="276" w:lineRule="auto"/>
              <w:rPr>
                <w:rFonts w:ascii="Verdana" w:hAnsi="Verdana"/>
                <w:sz w:val="20"/>
                <w:szCs w:val="20"/>
              </w:rPr>
            </w:pPr>
            <w:r w:rsidRPr="00FF3608">
              <w:rPr>
                <w:rFonts w:ascii="Verdana" w:hAnsi="Verdana"/>
                <w:noProof/>
                <w:sz w:val="20"/>
                <w:szCs w:val="20"/>
              </w:rPr>
              <w:t>CHEMTRUST, EEB and IPEN</w:t>
            </w:r>
          </w:p>
          <w:p w:rsidR="009F50E6" w:rsidRPr="001D714B" w:rsidRDefault="009F50E6" w:rsidP="004569ED">
            <w:pPr>
              <w:spacing w:after="120" w:line="276" w:lineRule="auto"/>
              <w:rPr>
                <w:rFonts w:ascii="Verdana" w:hAnsi="Verdana"/>
                <w:b/>
                <w:sz w:val="20"/>
                <w:szCs w:val="20"/>
              </w:rPr>
            </w:pPr>
            <w:r w:rsidRPr="001D714B">
              <w:rPr>
                <w:rFonts w:ascii="Verdana" w:hAnsi="Verdana"/>
                <w:b/>
                <w:sz w:val="20"/>
                <w:szCs w:val="20"/>
              </w:rPr>
              <w:t>Org. country:</w:t>
            </w:r>
          </w:p>
          <w:p w:rsidR="009F50E6" w:rsidRPr="001D714B" w:rsidRDefault="009F50E6" w:rsidP="004569ED">
            <w:pPr>
              <w:spacing w:after="120" w:line="276" w:lineRule="auto"/>
              <w:rPr>
                <w:rFonts w:ascii="Verdana" w:hAnsi="Verdana"/>
                <w:sz w:val="20"/>
                <w:szCs w:val="20"/>
              </w:rPr>
            </w:pPr>
            <w:r w:rsidRPr="00FF3608">
              <w:rPr>
                <w:rFonts w:ascii="Verdana" w:hAnsi="Verdana"/>
                <w:noProof/>
                <w:sz w:val="20"/>
                <w:szCs w:val="20"/>
              </w:rPr>
              <w:t>Belgium</w:t>
            </w:r>
          </w:p>
          <w:p w:rsidR="009F50E6" w:rsidRDefault="009F50E6" w:rsidP="004569ED">
            <w:pPr>
              <w:spacing w:after="120" w:line="276" w:lineRule="auto"/>
              <w:rPr>
                <w:rFonts w:ascii="Verdana" w:hAnsi="Verdana"/>
                <w:b/>
                <w:noProof/>
                <w:sz w:val="20"/>
                <w:szCs w:val="20"/>
              </w:rPr>
            </w:pPr>
            <w:r w:rsidRPr="001D714B">
              <w:rPr>
                <w:rFonts w:ascii="Verdana" w:hAnsi="Verdana"/>
                <w:b/>
                <w:noProof/>
                <w:sz w:val="20"/>
                <w:szCs w:val="20"/>
              </w:rPr>
              <w:t>Attachment:</w:t>
            </w:r>
          </w:p>
          <w:p w:rsidR="009F50E6" w:rsidRPr="00995969" w:rsidRDefault="00832697" w:rsidP="004569ED">
            <w:pPr>
              <w:spacing w:after="120" w:line="276" w:lineRule="auto"/>
              <w:rPr>
                <w:rFonts w:ascii="Verdana" w:hAnsi="Verdana"/>
                <w:noProof/>
                <w:sz w:val="20"/>
                <w:szCs w:val="20"/>
              </w:rPr>
            </w:pPr>
            <w:r>
              <w:rPr>
                <w:rFonts w:ascii="Verdana" w:hAnsi="Verdana"/>
                <w:noProof/>
                <w:sz w:val="20"/>
                <w:szCs w:val="20"/>
              </w:rPr>
              <w:object w:dxaOrig="1068" w:dyaOrig="7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35.25pt" o:ole="">
                  <v:imagedata r:id="rId8" o:title=""/>
                </v:shape>
                <o:OLEObject Type="Embed" ProgID="Acrobat.Document.11" ShapeID="_x0000_i1025" DrawAspect="Icon" ObjectID="_1665994198" r:id="rId9"/>
              </w:object>
            </w:r>
          </w:p>
          <w:p w:rsidR="009F50E6" w:rsidRPr="001D714B" w:rsidRDefault="009F50E6" w:rsidP="004569ED">
            <w:pPr>
              <w:spacing w:after="120" w:line="276" w:lineRule="auto"/>
              <w:rPr>
                <w:rFonts w:ascii="Verdana" w:hAnsi="Verdana"/>
                <w:sz w:val="20"/>
                <w:szCs w:val="20"/>
              </w:rPr>
            </w:pPr>
          </w:p>
        </w:tc>
        <w:tc>
          <w:tcPr>
            <w:tcW w:w="9923" w:type="dxa"/>
          </w:tcPr>
          <w:p w:rsidR="009F50E6" w:rsidRPr="000A3888" w:rsidRDefault="009F50E6" w:rsidP="004569ED">
            <w:pPr>
              <w:spacing w:after="120" w:line="276" w:lineRule="auto"/>
              <w:rPr>
                <w:rFonts w:ascii="Verdana" w:hAnsi="Verdana"/>
                <w:b/>
                <w:sz w:val="20"/>
                <w:szCs w:val="20"/>
              </w:rPr>
            </w:pPr>
            <w:r w:rsidRPr="000A3888">
              <w:rPr>
                <w:rFonts w:ascii="Verdana" w:hAnsi="Verdana"/>
                <w:b/>
                <w:sz w:val="20"/>
                <w:szCs w:val="20"/>
              </w:rPr>
              <w:lastRenderedPageBreak/>
              <w:t>Comments on the SEAC draft opinion:</w:t>
            </w:r>
          </w:p>
          <w:p w:rsidR="009F50E6" w:rsidRPr="000A3888" w:rsidRDefault="009F50E6" w:rsidP="004569ED">
            <w:pPr>
              <w:spacing w:after="120" w:line="276" w:lineRule="auto"/>
              <w:rPr>
                <w:rFonts w:ascii="Verdana" w:hAnsi="Verdana"/>
                <w:noProof/>
                <w:sz w:val="20"/>
                <w:szCs w:val="20"/>
              </w:rPr>
            </w:pPr>
            <w:r w:rsidRPr="000A3888">
              <w:rPr>
                <w:rFonts w:ascii="Verdana" w:hAnsi="Verdana"/>
                <w:noProof/>
                <w:sz w:val="20"/>
                <w:szCs w:val="20"/>
              </w:rPr>
              <w:t>The undersigning organizations support the restriction of PFHxS as part of the growing global</w:t>
            </w:r>
          </w:p>
          <w:p w:rsidR="009F50E6" w:rsidRPr="000A3888" w:rsidRDefault="009F50E6" w:rsidP="004569ED">
            <w:pPr>
              <w:spacing w:after="120" w:line="276" w:lineRule="auto"/>
              <w:rPr>
                <w:rFonts w:ascii="Verdana" w:hAnsi="Verdana"/>
                <w:noProof/>
                <w:sz w:val="20"/>
                <w:szCs w:val="20"/>
              </w:rPr>
            </w:pPr>
            <w:r w:rsidRPr="000A3888">
              <w:rPr>
                <w:rFonts w:ascii="Verdana" w:hAnsi="Verdana"/>
                <w:noProof/>
                <w:sz w:val="20"/>
                <w:szCs w:val="20"/>
              </w:rPr>
              <w:t>efforts to eliminate all PFAS. PFHxS is extremely persistent, it bioaccumulates and is likely to</w:t>
            </w:r>
          </w:p>
          <w:p w:rsidR="009F50E6" w:rsidRPr="000A3888" w:rsidRDefault="009F50E6" w:rsidP="004569ED">
            <w:pPr>
              <w:spacing w:after="120" w:line="276" w:lineRule="auto"/>
              <w:rPr>
                <w:rFonts w:ascii="Verdana" w:hAnsi="Verdana"/>
                <w:noProof/>
                <w:sz w:val="20"/>
                <w:szCs w:val="20"/>
              </w:rPr>
            </w:pPr>
            <w:r w:rsidRPr="000A3888">
              <w:rPr>
                <w:rFonts w:ascii="Verdana" w:hAnsi="Verdana"/>
                <w:noProof/>
                <w:sz w:val="20"/>
                <w:szCs w:val="20"/>
              </w:rPr>
              <w:t>lead to significant adverse human health effects. However, we consider that the proposed</w:t>
            </w:r>
          </w:p>
          <w:p w:rsidR="009F50E6" w:rsidRPr="000A3888" w:rsidRDefault="009F50E6" w:rsidP="004569ED">
            <w:pPr>
              <w:spacing w:after="120" w:line="276" w:lineRule="auto"/>
              <w:rPr>
                <w:rFonts w:ascii="Verdana" w:hAnsi="Verdana"/>
                <w:noProof/>
                <w:sz w:val="20"/>
                <w:szCs w:val="20"/>
              </w:rPr>
            </w:pPr>
            <w:r w:rsidRPr="000A3888">
              <w:rPr>
                <w:rFonts w:ascii="Verdana" w:hAnsi="Verdana"/>
                <w:noProof/>
                <w:sz w:val="20"/>
                <w:szCs w:val="20"/>
              </w:rPr>
              <w:t>restriction as currently under discussion will have a limited impact on the reduction of PFHxS</w:t>
            </w:r>
          </w:p>
          <w:p w:rsidR="009F50E6" w:rsidRPr="000A3888" w:rsidRDefault="009F50E6" w:rsidP="004569ED">
            <w:pPr>
              <w:spacing w:after="120" w:line="276" w:lineRule="auto"/>
              <w:rPr>
                <w:rFonts w:ascii="Verdana" w:hAnsi="Verdana"/>
                <w:noProof/>
                <w:sz w:val="20"/>
                <w:szCs w:val="20"/>
              </w:rPr>
            </w:pPr>
            <w:r w:rsidRPr="000A3888">
              <w:rPr>
                <w:rFonts w:ascii="Verdana" w:hAnsi="Verdana"/>
                <w:noProof/>
                <w:sz w:val="20"/>
                <w:szCs w:val="20"/>
              </w:rPr>
              <w:t>emissions given the high allowed concentration limits and the proposed derogations.</w:t>
            </w:r>
          </w:p>
          <w:p w:rsidR="009F50E6" w:rsidRPr="000A3888" w:rsidRDefault="009F50E6" w:rsidP="004569ED">
            <w:pPr>
              <w:spacing w:after="120" w:line="276" w:lineRule="auto"/>
              <w:rPr>
                <w:rFonts w:ascii="Verdana" w:hAnsi="Verdana"/>
                <w:noProof/>
                <w:sz w:val="20"/>
                <w:szCs w:val="20"/>
              </w:rPr>
            </w:pPr>
            <w:r w:rsidRPr="000A3888">
              <w:rPr>
                <w:rFonts w:ascii="Verdana" w:hAnsi="Verdana"/>
                <w:noProof/>
                <w:sz w:val="20"/>
                <w:szCs w:val="20"/>
              </w:rPr>
              <w:t>Concentration limits</w:t>
            </w:r>
          </w:p>
          <w:p w:rsidR="009F50E6" w:rsidRPr="009F535A" w:rsidRDefault="009F50E6" w:rsidP="004569ED">
            <w:pPr>
              <w:spacing w:after="120" w:line="276" w:lineRule="auto"/>
              <w:rPr>
                <w:rFonts w:ascii="Verdana" w:hAnsi="Verdana"/>
                <w:noProof/>
                <w:sz w:val="20"/>
                <w:szCs w:val="20"/>
              </w:rPr>
            </w:pPr>
            <w:r w:rsidRPr="000A3888">
              <w:rPr>
                <w:rFonts w:ascii="Verdana" w:hAnsi="Verdana"/>
                <w:noProof/>
                <w:sz w:val="20"/>
                <w:szCs w:val="20"/>
              </w:rPr>
              <w:t xml:space="preserve">Unfortunately, as with the previous REACH restriction decisions on PFAS (PFOA and C9-C14 PFCAs) SEAC’s draft opinion supports the concentration limits for mixtures or articles proposed by the Dossier Submitter (DS), 25 ppb for the sum of PFHxS and its salts or 1000 ppb for the sum of PFHxS related substances, as it considers that these values “provide a balance between the need to prevent intentional use and to m inimise emissions, and the availability of analytical methods ”. However, this is based on the PFOA restriction </w:t>
            </w:r>
            <w:r w:rsidRPr="009F535A">
              <w:rPr>
                <w:rFonts w:ascii="Verdana" w:hAnsi="Verdana"/>
                <w:noProof/>
                <w:sz w:val="20"/>
                <w:szCs w:val="20"/>
              </w:rPr>
              <w:t xml:space="preserve">process initiated in 2014 and does </w:t>
            </w:r>
            <w:r w:rsidRPr="009F535A">
              <w:rPr>
                <w:rFonts w:ascii="Verdana" w:hAnsi="Verdana"/>
                <w:noProof/>
                <w:sz w:val="20"/>
                <w:szCs w:val="20"/>
              </w:rPr>
              <w:lastRenderedPageBreak/>
              <w:t>not take the developments in analytical methods as well as the rapidly emerging evidence on the health hazard of PFHxS into account. The original PFOA restriction dossier proposed a 2 ppb limit as feasible already in 2014. The SEAC opinion does not provide any data or information as to why the proposed higher limits are relevant for PFHxS.</w:t>
            </w:r>
          </w:p>
          <w:p w:rsidR="009F50E6" w:rsidRPr="009F535A" w:rsidRDefault="009F50E6" w:rsidP="004569ED">
            <w:pPr>
              <w:spacing w:after="120" w:line="276" w:lineRule="auto"/>
              <w:rPr>
                <w:rFonts w:ascii="Verdana" w:hAnsi="Verdana"/>
                <w:noProof/>
                <w:sz w:val="20"/>
                <w:szCs w:val="20"/>
              </w:rPr>
            </w:pPr>
            <w:r w:rsidRPr="009F535A">
              <w:rPr>
                <w:rFonts w:ascii="Verdana" w:hAnsi="Verdana"/>
                <w:noProof/>
                <w:sz w:val="20"/>
                <w:szCs w:val="20"/>
              </w:rPr>
              <w:t>The SEAC opinion is based on claims by industry regarding the lack of analytical methods to enforce a lower value and does not include a technical or scientific justification on how these limits would best serve the purpose of the restriction such as addressing an unacceptable risk, REACH Art. 68(1), or indeed the higher-level conclusions of the Council of the EU of June 2019 (“to eliminate all non-essential uses of PFAS”). It should be noted that the opinion also states that “ There is no safe concentration for these substances”, a clear justification for the much lower threshold limit of 2 ppb originally proposed already for PFOA.</w:t>
            </w:r>
          </w:p>
          <w:p w:rsidR="009F50E6" w:rsidRPr="009F535A" w:rsidRDefault="009F50E6" w:rsidP="004569ED">
            <w:pPr>
              <w:spacing w:after="120" w:line="276" w:lineRule="auto"/>
              <w:rPr>
                <w:rFonts w:ascii="Verdana" w:hAnsi="Verdana"/>
                <w:noProof/>
                <w:sz w:val="20"/>
                <w:szCs w:val="20"/>
              </w:rPr>
            </w:pPr>
            <w:r w:rsidRPr="009F535A">
              <w:rPr>
                <w:rFonts w:ascii="Verdana" w:hAnsi="Verdana"/>
                <w:noProof/>
                <w:sz w:val="20"/>
                <w:szCs w:val="20"/>
              </w:rPr>
              <w:t>The SEAC opinion also states that “ The suitability of the proposed concentration limits was</w:t>
            </w:r>
          </w:p>
          <w:p w:rsidR="009F50E6" w:rsidRPr="009F535A" w:rsidRDefault="009F50E6" w:rsidP="004569ED">
            <w:pPr>
              <w:spacing w:after="120" w:line="276" w:lineRule="auto"/>
              <w:rPr>
                <w:rFonts w:ascii="Verdana" w:hAnsi="Verdana"/>
                <w:noProof/>
                <w:sz w:val="20"/>
                <w:szCs w:val="20"/>
              </w:rPr>
            </w:pPr>
            <w:r w:rsidRPr="009F535A">
              <w:rPr>
                <w:rFonts w:ascii="Verdana" w:hAnsi="Verdana"/>
                <w:noProof/>
                <w:sz w:val="20"/>
                <w:szCs w:val="20"/>
              </w:rPr>
              <w:t>not contested during the consultation of the Annex XV dossier.” Unfortunately, SEAC did not</w:t>
            </w:r>
          </w:p>
          <w:p w:rsidR="009F50E6" w:rsidRPr="009F535A" w:rsidRDefault="009F50E6" w:rsidP="004569ED">
            <w:pPr>
              <w:spacing w:after="120" w:line="276" w:lineRule="auto"/>
              <w:rPr>
                <w:rFonts w:ascii="Verdana" w:hAnsi="Verdana"/>
                <w:noProof/>
                <w:sz w:val="20"/>
                <w:szCs w:val="20"/>
              </w:rPr>
            </w:pPr>
            <w:r w:rsidRPr="009F535A">
              <w:rPr>
                <w:rFonts w:ascii="Verdana" w:hAnsi="Verdana"/>
                <w:noProof/>
                <w:sz w:val="20"/>
                <w:szCs w:val="20"/>
              </w:rPr>
              <w:t>consider the comments on this issue provided by our organisations during the Annex XV</w:t>
            </w:r>
          </w:p>
          <w:p w:rsidR="009F50E6" w:rsidRPr="000A3888" w:rsidRDefault="009F50E6" w:rsidP="004569ED">
            <w:pPr>
              <w:spacing w:after="120" w:line="276" w:lineRule="auto"/>
              <w:rPr>
                <w:rFonts w:ascii="Verdana" w:hAnsi="Verdana"/>
                <w:noProof/>
                <w:sz w:val="20"/>
                <w:szCs w:val="20"/>
              </w:rPr>
            </w:pPr>
            <w:r w:rsidRPr="009F535A">
              <w:rPr>
                <w:rFonts w:ascii="Verdana" w:hAnsi="Verdana"/>
                <w:noProof/>
                <w:sz w:val="20"/>
                <w:szCs w:val="20"/>
              </w:rPr>
              <w:t>dossier public consultation where we highlighted that:</w:t>
            </w:r>
          </w:p>
          <w:p w:rsidR="009F50E6" w:rsidRPr="000A3888" w:rsidRDefault="009F50E6" w:rsidP="004569ED">
            <w:pPr>
              <w:spacing w:after="120" w:line="276" w:lineRule="auto"/>
              <w:rPr>
                <w:rFonts w:ascii="Verdana" w:hAnsi="Verdana"/>
                <w:noProof/>
                <w:sz w:val="20"/>
                <w:szCs w:val="20"/>
              </w:rPr>
            </w:pPr>
            <w:r w:rsidRPr="000A3888">
              <w:rPr>
                <w:rFonts w:ascii="Verdana" w:hAnsi="Verdana"/>
                <w:noProof/>
                <w:sz w:val="20"/>
                <w:szCs w:val="20"/>
              </w:rPr>
              <w:t>- The limit is too high to avoid intentional use.</w:t>
            </w:r>
            <w:r w:rsidR="00195C79" w:rsidRPr="000A3888">
              <w:rPr>
                <w:rFonts w:ascii="Verdana" w:hAnsi="Verdana"/>
                <w:noProof/>
                <w:sz w:val="20"/>
                <w:szCs w:val="20"/>
              </w:rPr>
              <w:t xml:space="preserve"> </w:t>
            </w:r>
            <w:r w:rsidRPr="000A3888">
              <w:rPr>
                <w:rFonts w:ascii="Verdana" w:hAnsi="Verdana"/>
                <w:noProof/>
                <w:sz w:val="20"/>
                <w:szCs w:val="20"/>
              </w:rPr>
              <w:t>The limited set of test results of PFHxS in consumer products presented in the dossier show that PFHxS has been detected in concentrations below 25 ppb/1000 ppb in several samples. The 25 ppb/1000 ppb value mirrors the opinion of the PFOA</w:t>
            </w:r>
            <w:r w:rsidR="00195C79" w:rsidRPr="000A3888">
              <w:rPr>
                <w:rFonts w:ascii="Verdana" w:hAnsi="Verdana"/>
                <w:noProof/>
                <w:sz w:val="20"/>
                <w:szCs w:val="20"/>
              </w:rPr>
              <w:t xml:space="preserve"> </w:t>
            </w:r>
            <w:r w:rsidRPr="000A3888">
              <w:rPr>
                <w:rFonts w:ascii="Verdana" w:hAnsi="Verdana"/>
                <w:noProof/>
                <w:sz w:val="20"/>
                <w:szCs w:val="20"/>
              </w:rPr>
              <w:t>restriction. However, the DS of this restriction had originally proposed a value of 2 ppb for PFOA, its salts and PFOA-related substances on its own, in mixtures and articles to avoid intentional use. Lowering of 25/1000 ppb to 2 ppb would substantially reduce the total yearly PFHxS emissions from textiles from 6.3 kg to 0.5 kg, as RAC opinion concludes.</w:t>
            </w:r>
          </w:p>
          <w:p w:rsidR="009F50E6" w:rsidRPr="000A3888" w:rsidRDefault="009F50E6" w:rsidP="004569ED">
            <w:pPr>
              <w:spacing w:after="120" w:line="276" w:lineRule="auto"/>
              <w:rPr>
                <w:rFonts w:ascii="Verdana" w:hAnsi="Verdana"/>
                <w:noProof/>
                <w:sz w:val="20"/>
                <w:szCs w:val="20"/>
              </w:rPr>
            </w:pPr>
            <w:r w:rsidRPr="000A3888">
              <w:rPr>
                <w:rFonts w:ascii="Verdana" w:hAnsi="Verdana"/>
                <w:noProof/>
                <w:sz w:val="20"/>
                <w:szCs w:val="20"/>
              </w:rPr>
              <w:t>- Analytical methods to allow enforcement of lower limits are already available. As stated in the Restriction Report on page 38, “ Analytical methods for the detection of PFHxS are reported in the literature which can be used to measure PFHxS and PFASs in general in almost all environment all media .” Two methods are highlighted that have a level of quantification of 0.06 ppb. Testing methods have developed rapidly since the PFOA dossier was submitted and there are no constraints today for establishing a threshold of 2 ppb. To put this into perspective, the drinking</w:t>
            </w:r>
            <w:r w:rsidR="002B682A" w:rsidRPr="000A3888">
              <w:rPr>
                <w:rFonts w:ascii="Verdana" w:hAnsi="Verdana"/>
                <w:noProof/>
                <w:sz w:val="20"/>
                <w:szCs w:val="20"/>
              </w:rPr>
              <w:t xml:space="preserve"> </w:t>
            </w:r>
            <w:r w:rsidRPr="000A3888">
              <w:rPr>
                <w:rFonts w:ascii="Verdana" w:hAnsi="Verdana"/>
                <w:noProof/>
                <w:sz w:val="20"/>
                <w:szCs w:val="20"/>
              </w:rPr>
              <w:t xml:space="preserve">water limits that have been established in the EU and the US for </w:t>
            </w:r>
            <w:r w:rsidRPr="000A3888">
              <w:rPr>
                <w:rFonts w:ascii="Verdana" w:hAnsi="Verdana"/>
                <w:noProof/>
                <w:sz w:val="20"/>
                <w:szCs w:val="20"/>
              </w:rPr>
              <w:lastRenderedPageBreak/>
              <w:t>PFOS, PFOA and some other PFAS are in the 10- 100 ppt range. For example, several states in the US have a combined limit of 70 ppt for five PFAS (including PFHxS) that requires clean-up if exceeded.</w:t>
            </w:r>
          </w:p>
          <w:p w:rsidR="00177758" w:rsidRPr="000A3888" w:rsidRDefault="00177758" w:rsidP="004569ED">
            <w:pPr>
              <w:spacing w:after="120" w:line="276" w:lineRule="auto"/>
              <w:rPr>
                <w:rFonts w:ascii="Verdana" w:hAnsi="Verdana"/>
                <w:noProof/>
                <w:sz w:val="20"/>
                <w:szCs w:val="20"/>
              </w:rPr>
            </w:pPr>
          </w:p>
          <w:p w:rsidR="009F50E6" w:rsidRPr="000A3888" w:rsidRDefault="009F50E6" w:rsidP="004569ED">
            <w:pPr>
              <w:spacing w:after="120" w:line="276" w:lineRule="auto"/>
              <w:rPr>
                <w:rFonts w:ascii="Verdana" w:hAnsi="Verdana"/>
                <w:noProof/>
                <w:sz w:val="20"/>
                <w:szCs w:val="20"/>
              </w:rPr>
            </w:pPr>
            <w:r w:rsidRPr="000A3888">
              <w:rPr>
                <w:rFonts w:ascii="Verdana" w:hAnsi="Verdana"/>
                <w:noProof/>
                <w:sz w:val="20"/>
                <w:szCs w:val="20"/>
              </w:rPr>
              <w:t>Transitional period: The SEAC opinion agrees with the DS recommendation of a transitional period of 18 months after the entry into force of the proposed restriction. However, it states that “ no intentional uses of PFHxS, its salts and PFHxS-related substances have been identified in the EEA, and the exempted uses of PFOS will be derogated. Substitution activities would not be needed in the EEA”.... Furthermore, SEAC notes that “such transition period would not have negative impacts on the supply chain because articles already placed on the market would be exempted.”</w:t>
            </w:r>
          </w:p>
          <w:p w:rsidR="009F50E6" w:rsidRPr="000A3888" w:rsidRDefault="009F50E6" w:rsidP="004569ED">
            <w:pPr>
              <w:spacing w:after="120" w:line="276" w:lineRule="auto"/>
              <w:rPr>
                <w:rFonts w:ascii="Verdana" w:hAnsi="Verdana"/>
                <w:noProof/>
                <w:sz w:val="20"/>
                <w:szCs w:val="20"/>
              </w:rPr>
            </w:pPr>
            <w:r w:rsidRPr="000A3888">
              <w:rPr>
                <w:rFonts w:ascii="Verdana" w:hAnsi="Verdana"/>
                <w:noProof/>
                <w:sz w:val="20"/>
                <w:szCs w:val="20"/>
              </w:rPr>
              <w:t>Therefore, the need for a transitional period of 18 months is not justified and would only allow</w:t>
            </w:r>
          </w:p>
          <w:p w:rsidR="009F50E6" w:rsidRPr="000A3888" w:rsidRDefault="009F50E6" w:rsidP="004569ED">
            <w:pPr>
              <w:spacing w:after="120" w:line="276" w:lineRule="auto"/>
              <w:rPr>
                <w:rFonts w:ascii="Verdana" w:hAnsi="Verdana"/>
                <w:noProof/>
                <w:sz w:val="20"/>
                <w:szCs w:val="20"/>
              </w:rPr>
            </w:pPr>
            <w:r w:rsidRPr="000A3888">
              <w:rPr>
                <w:rFonts w:ascii="Verdana" w:hAnsi="Verdana"/>
                <w:noProof/>
                <w:sz w:val="20"/>
                <w:szCs w:val="20"/>
              </w:rPr>
              <w:t>importers to increase PFHxS stocks in the EU. In addition, importers have had already several</w:t>
            </w:r>
          </w:p>
          <w:p w:rsidR="009F50E6" w:rsidRPr="000A3888" w:rsidRDefault="009F50E6" w:rsidP="004569ED">
            <w:pPr>
              <w:spacing w:after="120" w:line="276" w:lineRule="auto"/>
              <w:rPr>
                <w:rFonts w:ascii="Verdana" w:hAnsi="Verdana"/>
                <w:noProof/>
                <w:sz w:val="20"/>
                <w:szCs w:val="20"/>
              </w:rPr>
            </w:pPr>
            <w:r w:rsidRPr="000A3888">
              <w:rPr>
                <w:rFonts w:ascii="Verdana" w:hAnsi="Verdana"/>
                <w:noProof/>
                <w:sz w:val="20"/>
                <w:szCs w:val="20"/>
              </w:rPr>
              <w:t>years to prepare for this regulatory action. The restriction intention was already announced</w:t>
            </w:r>
          </w:p>
          <w:p w:rsidR="009F50E6" w:rsidRPr="000A3888" w:rsidRDefault="009F50E6" w:rsidP="004569ED">
            <w:pPr>
              <w:spacing w:after="120" w:line="276" w:lineRule="auto"/>
              <w:rPr>
                <w:rFonts w:ascii="Verdana" w:hAnsi="Verdana"/>
                <w:noProof/>
                <w:sz w:val="20"/>
                <w:szCs w:val="20"/>
              </w:rPr>
            </w:pPr>
            <w:r w:rsidRPr="000A3888">
              <w:rPr>
                <w:rFonts w:ascii="Verdana" w:hAnsi="Verdana"/>
                <w:noProof/>
                <w:sz w:val="20"/>
                <w:szCs w:val="20"/>
              </w:rPr>
              <w:t>two years ago, in April 2018, and several months are still needed for this restriction to enter</w:t>
            </w:r>
          </w:p>
          <w:p w:rsidR="009F50E6" w:rsidRPr="000A3888" w:rsidRDefault="009F50E6" w:rsidP="004569ED">
            <w:pPr>
              <w:spacing w:after="120" w:line="276" w:lineRule="auto"/>
              <w:rPr>
                <w:rFonts w:ascii="Verdana" w:hAnsi="Verdana"/>
                <w:noProof/>
                <w:sz w:val="20"/>
                <w:szCs w:val="20"/>
              </w:rPr>
            </w:pPr>
            <w:r w:rsidRPr="000A3888">
              <w:rPr>
                <w:rFonts w:ascii="Verdana" w:hAnsi="Verdana"/>
                <w:noProof/>
                <w:sz w:val="20"/>
                <w:szCs w:val="20"/>
              </w:rPr>
              <w:t>into force. It was nominated to the Stockholm Convention for global elimination already in</w:t>
            </w:r>
          </w:p>
          <w:p w:rsidR="009F50E6" w:rsidRPr="000A3888" w:rsidRDefault="009F50E6" w:rsidP="004569ED">
            <w:pPr>
              <w:spacing w:after="120" w:line="276" w:lineRule="auto"/>
              <w:rPr>
                <w:rFonts w:ascii="Verdana" w:hAnsi="Verdana"/>
                <w:noProof/>
                <w:sz w:val="20"/>
                <w:szCs w:val="20"/>
              </w:rPr>
            </w:pPr>
            <w:r w:rsidRPr="000A3888">
              <w:rPr>
                <w:rFonts w:ascii="Verdana" w:hAnsi="Verdana"/>
                <w:noProof/>
                <w:sz w:val="20"/>
                <w:szCs w:val="20"/>
              </w:rPr>
              <w:t>2017. We therefore recommend to abandon the transitional period.</w:t>
            </w:r>
          </w:p>
          <w:p w:rsidR="00511FD2" w:rsidRPr="000A3888" w:rsidRDefault="00511FD2" w:rsidP="004569ED">
            <w:pPr>
              <w:spacing w:after="120" w:line="276" w:lineRule="auto"/>
              <w:rPr>
                <w:rFonts w:ascii="Verdana" w:hAnsi="Verdana"/>
                <w:noProof/>
                <w:sz w:val="20"/>
                <w:szCs w:val="20"/>
              </w:rPr>
            </w:pPr>
          </w:p>
          <w:p w:rsidR="009F50E6" w:rsidRPr="000A3888" w:rsidRDefault="009F50E6" w:rsidP="004569ED">
            <w:pPr>
              <w:spacing w:after="120" w:line="276" w:lineRule="auto"/>
              <w:rPr>
                <w:rFonts w:ascii="Verdana" w:hAnsi="Verdana"/>
                <w:noProof/>
                <w:sz w:val="20"/>
                <w:szCs w:val="20"/>
              </w:rPr>
            </w:pPr>
            <w:r w:rsidRPr="000A3888">
              <w:rPr>
                <w:rFonts w:ascii="Verdana" w:hAnsi="Verdana"/>
                <w:noProof/>
                <w:sz w:val="20"/>
                <w:szCs w:val="20"/>
              </w:rPr>
              <w:t>Derogation to concentrated fire-fighting foam: The Dossier Submitter estimated that the current EU stockpile of fire-fighting foams currently kept at refineries, tank farms, chemical plants and other installations contains around 0.5-3 kg PFHxS. Instead of proposing safe disposal of these foams in line with treatment of any other hazardous waste, SEAC ́s opinion is to allow their use. Use of fire-fighting foam is one of the most dispersive uses there is of PFAS and this proposal will undoubtedly lead to environmental contamination and increasing the body burden of PFHxS and PFAS overall of EU citizens. This is unacceptable and should be replaced by mandatory producer recalls and safe disposal.</w:t>
            </w:r>
          </w:p>
          <w:p w:rsidR="009F50E6" w:rsidRPr="000A3888" w:rsidRDefault="009F50E6" w:rsidP="004569ED">
            <w:pPr>
              <w:spacing w:after="120" w:line="276" w:lineRule="auto"/>
              <w:rPr>
                <w:rFonts w:ascii="Verdana" w:hAnsi="Verdana"/>
                <w:noProof/>
                <w:sz w:val="20"/>
                <w:szCs w:val="20"/>
              </w:rPr>
            </w:pPr>
            <w:r w:rsidRPr="000A3888">
              <w:rPr>
                <w:rFonts w:ascii="Verdana" w:hAnsi="Verdana"/>
                <w:noProof/>
                <w:sz w:val="20"/>
                <w:szCs w:val="20"/>
              </w:rPr>
              <w:t>SEAC considers that restricting existing stocks of these foams would be disproportionate,</w:t>
            </w:r>
          </w:p>
          <w:p w:rsidR="009F50E6" w:rsidRPr="000A3888" w:rsidRDefault="009F50E6" w:rsidP="004569ED">
            <w:pPr>
              <w:spacing w:after="120" w:line="276" w:lineRule="auto"/>
              <w:rPr>
                <w:rFonts w:ascii="Verdana" w:hAnsi="Verdana"/>
                <w:noProof/>
                <w:sz w:val="20"/>
                <w:szCs w:val="20"/>
              </w:rPr>
            </w:pPr>
            <w:r w:rsidRPr="000A3888">
              <w:rPr>
                <w:rFonts w:ascii="Verdana" w:hAnsi="Verdana"/>
                <w:noProof/>
                <w:sz w:val="20"/>
                <w:szCs w:val="20"/>
              </w:rPr>
              <w:lastRenderedPageBreak/>
              <w:t>however it states that “Concerning the costs and benefits of replacing fire-fighting foams</w:t>
            </w:r>
          </w:p>
          <w:p w:rsidR="009F50E6" w:rsidRPr="000A3888" w:rsidRDefault="009F50E6" w:rsidP="004569ED">
            <w:pPr>
              <w:spacing w:after="120" w:line="276" w:lineRule="auto"/>
              <w:rPr>
                <w:rFonts w:ascii="Verdana" w:hAnsi="Verdana"/>
                <w:noProof/>
                <w:sz w:val="20"/>
                <w:szCs w:val="20"/>
              </w:rPr>
            </w:pPr>
            <w:r w:rsidRPr="000A3888">
              <w:rPr>
                <w:rFonts w:ascii="Verdana" w:hAnsi="Verdana"/>
                <w:noProof/>
                <w:sz w:val="20"/>
                <w:szCs w:val="20"/>
              </w:rPr>
              <w:t>containing PFHxS in stock, SEAC notes that the costs have not been estimated in the</w:t>
            </w:r>
          </w:p>
          <w:p w:rsidR="009F50E6" w:rsidRPr="000A3888" w:rsidRDefault="009F50E6" w:rsidP="004569ED">
            <w:pPr>
              <w:spacing w:after="120" w:line="276" w:lineRule="auto"/>
              <w:rPr>
                <w:rFonts w:ascii="Verdana" w:hAnsi="Verdana"/>
                <w:noProof/>
                <w:sz w:val="20"/>
                <w:szCs w:val="20"/>
              </w:rPr>
            </w:pPr>
            <w:r w:rsidRPr="000A3888">
              <w:rPr>
                <w:rFonts w:ascii="Verdana" w:hAnsi="Verdana"/>
                <w:noProof/>
                <w:sz w:val="20"/>
                <w:szCs w:val="20"/>
              </w:rPr>
              <w:t>Background Document of this restriction proposal ”. SEAC bases its opinion on the claim that</w:t>
            </w:r>
          </w:p>
          <w:p w:rsidR="009F50E6" w:rsidRPr="000A3888" w:rsidRDefault="009F50E6" w:rsidP="004569ED">
            <w:pPr>
              <w:spacing w:after="120" w:line="276" w:lineRule="auto"/>
              <w:rPr>
                <w:rFonts w:ascii="Verdana" w:hAnsi="Verdana"/>
                <w:noProof/>
                <w:sz w:val="20"/>
                <w:szCs w:val="20"/>
              </w:rPr>
            </w:pPr>
            <w:r w:rsidRPr="000A3888">
              <w:rPr>
                <w:rFonts w:ascii="Verdana" w:hAnsi="Verdana"/>
                <w:noProof/>
                <w:sz w:val="20"/>
                <w:szCs w:val="20"/>
              </w:rPr>
              <w:t>“earlier experience on costs of replacing AFFF based on PFOA were estimated taking into</w:t>
            </w:r>
          </w:p>
          <w:p w:rsidR="009F50E6" w:rsidRPr="000A3888" w:rsidRDefault="009F50E6" w:rsidP="004569ED">
            <w:pPr>
              <w:spacing w:after="120" w:line="276" w:lineRule="auto"/>
              <w:rPr>
                <w:rFonts w:ascii="Verdana" w:hAnsi="Verdana"/>
                <w:noProof/>
                <w:sz w:val="20"/>
                <w:szCs w:val="20"/>
              </w:rPr>
            </w:pPr>
            <w:r w:rsidRPr="000A3888">
              <w:rPr>
                <w:rFonts w:ascii="Verdana" w:hAnsi="Verdana"/>
                <w:noProof/>
                <w:sz w:val="20"/>
                <w:szCs w:val="20"/>
              </w:rPr>
              <w:t>consideration the amount of fuel needed for the destruction of the foam by incineration.”It is unclear how SEAC and the DS come to the conclusion that restricting these</w:t>
            </w:r>
          </w:p>
          <w:p w:rsidR="009F50E6" w:rsidRPr="0011133A" w:rsidRDefault="009F50E6" w:rsidP="004569ED">
            <w:pPr>
              <w:spacing w:after="120" w:line="276" w:lineRule="auto"/>
              <w:rPr>
                <w:rFonts w:ascii="Verdana" w:hAnsi="Verdana"/>
                <w:noProof/>
                <w:sz w:val="20"/>
                <w:szCs w:val="20"/>
              </w:rPr>
            </w:pPr>
            <w:r w:rsidRPr="000A3888">
              <w:rPr>
                <w:rFonts w:ascii="Verdana" w:hAnsi="Verdana"/>
                <w:noProof/>
                <w:sz w:val="20"/>
                <w:szCs w:val="20"/>
              </w:rPr>
              <w:t xml:space="preserve">foams still in stock would be </w:t>
            </w:r>
            <w:r w:rsidRPr="0011133A">
              <w:rPr>
                <w:rFonts w:ascii="Verdana" w:hAnsi="Verdana"/>
                <w:noProof/>
                <w:sz w:val="20"/>
                <w:szCs w:val="20"/>
              </w:rPr>
              <w:t>disproportionate, noting that SEAC does not quantify the benefits</w:t>
            </w:r>
          </w:p>
          <w:p w:rsidR="009F50E6" w:rsidRPr="0011133A" w:rsidRDefault="009F50E6" w:rsidP="004569ED">
            <w:pPr>
              <w:spacing w:after="120" w:line="276" w:lineRule="auto"/>
              <w:rPr>
                <w:rFonts w:ascii="Verdana" w:hAnsi="Verdana"/>
                <w:noProof/>
                <w:sz w:val="20"/>
                <w:szCs w:val="20"/>
              </w:rPr>
            </w:pPr>
            <w:r w:rsidRPr="0011133A">
              <w:rPr>
                <w:rFonts w:ascii="Verdana" w:hAnsi="Verdana"/>
                <w:noProof/>
                <w:sz w:val="20"/>
                <w:szCs w:val="20"/>
              </w:rPr>
              <w:t>of avoiding these releases, for example by estimating the remediation costs for cleaning up</w:t>
            </w:r>
          </w:p>
          <w:p w:rsidR="009F50E6" w:rsidRPr="0011133A" w:rsidRDefault="009F50E6" w:rsidP="004569ED">
            <w:pPr>
              <w:spacing w:after="120" w:line="276" w:lineRule="auto"/>
              <w:rPr>
                <w:rFonts w:ascii="Verdana" w:hAnsi="Verdana"/>
                <w:noProof/>
                <w:sz w:val="20"/>
                <w:szCs w:val="20"/>
              </w:rPr>
            </w:pPr>
            <w:r w:rsidRPr="0011133A">
              <w:rPr>
                <w:rFonts w:ascii="Verdana" w:hAnsi="Verdana"/>
                <w:noProof/>
                <w:sz w:val="20"/>
                <w:szCs w:val="20"/>
              </w:rPr>
              <w:t>the emissions of PFHxS and the significant health costs related to PFAS exposure.</w:t>
            </w:r>
          </w:p>
          <w:p w:rsidR="009F50E6" w:rsidRPr="0011133A" w:rsidRDefault="009F50E6" w:rsidP="004569ED">
            <w:pPr>
              <w:spacing w:after="120" w:line="276" w:lineRule="auto"/>
              <w:rPr>
                <w:rFonts w:ascii="Verdana" w:hAnsi="Verdana"/>
                <w:noProof/>
                <w:sz w:val="20"/>
                <w:szCs w:val="20"/>
              </w:rPr>
            </w:pPr>
            <w:r w:rsidRPr="0011133A">
              <w:rPr>
                <w:rFonts w:ascii="Verdana" w:hAnsi="Verdana"/>
                <w:noProof/>
                <w:sz w:val="20"/>
                <w:szCs w:val="20"/>
              </w:rPr>
              <w:t>By only looking at industry cost of replacement without taking the wider societal costs, these</w:t>
            </w:r>
          </w:p>
          <w:p w:rsidR="009F50E6" w:rsidRPr="000A3888" w:rsidRDefault="009F50E6" w:rsidP="004569ED">
            <w:pPr>
              <w:spacing w:after="120" w:line="276" w:lineRule="auto"/>
              <w:rPr>
                <w:rFonts w:ascii="Verdana" w:hAnsi="Verdana"/>
                <w:noProof/>
                <w:sz w:val="20"/>
                <w:szCs w:val="20"/>
              </w:rPr>
            </w:pPr>
            <w:r w:rsidRPr="0011133A">
              <w:rPr>
                <w:rFonts w:ascii="Verdana" w:hAnsi="Verdana"/>
                <w:noProof/>
                <w:sz w:val="20"/>
                <w:szCs w:val="20"/>
              </w:rPr>
              <w:t>costs will instead be externalized, which</w:t>
            </w:r>
            <w:r w:rsidRPr="000A3888">
              <w:rPr>
                <w:rFonts w:ascii="Verdana" w:hAnsi="Verdana"/>
                <w:noProof/>
                <w:sz w:val="20"/>
                <w:szCs w:val="20"/>
              </w:rPr>
              <w:t xml:space="preserve"> means that it will always be cheaper to release</w:t>
            </w:r>
          </w:p>
          <w:p w:rsidR="009F50E6" w:rsidRPr="000A3888" w:rsidRDefault="009F50E6" w:rsidP="004569ED">
            <w:pPr>
              <w:spacing w:after="120" w:line="276" w:lineRule="auto"/>
              <w:rPr>
                <w:rFonts w:ascii="Verdana" w:hAnsi="Verdana"/>
                <w:noProof/>
                <w:sz w:val="20"/>
                <w:szCs w:val="20"/>
              </w:rPr>
            </w:pPr>
            <w:r w:rsidRPr="000A3888">
              <w:rPr>
                <w:rFonts w:ascii="Verdana" w:hAnsi="Verdana"/>
                <w:noProof/>
                <w:sz w:val="20"/>
                <w:szCs w:val="20"/>
              </w:rPr>
              <w:t>hazardous waste than to destroy or treat it. This is a perspective that hardly fits in the 21 st</w:t>
            </w:r>
          </w:p>
          <w:p w:rsidR="009F50E6" w:rsidRPr="000A3888" w:rsidRDefault="009F50E6" w:rsidP="004569ED">
            <w:pPr>
              <w:spacing w:after="120" w:line="276" w:lineRule="auto"/>
              <w:rPr>
                <w:rFonts w:ascii="Verdana" w:hAnsi="Verdana"/>
                <w:noProof/>
                <w:sz w:val="20"/>
                <w:szCs w:val="20"/>
              </w:rPr>
            </w:pPr>
            <w:r w:rsidRPr="000A3888">
              <w:rPr>
                <w:rFonts w:ascii="Verdana" w:hAnsi="Verdana"/>
                <w:noProof/>
                <w:sz w:val="20"/>
                <w:szCs w:val="20"/>
              </w:rPr>
              <w:t>century at a time of the European Green Deal and Europe`s ambition to establish a clean</w:t>
            </w:r>
          </w:p>
          <w:p w:rsidR="009F50E6" w:rsidRPr="000A3888" w:rsidRDefault="009F50E6" w:rsidP="004569ED">
            <w:pPr>
              <w:spacing w:after="120" w:line="276" w:lineRule="auto"/>
              <w:rPr>
                <w:rFonts w:ascii="Verdana" w:hAnsi="Verdana"/>
                <w:noProof/>
                <w:sz w:val="20"/>
                <w:szCs w:val="20"/>
              </w:rPr>
            </w:pPr>
            <w:r w:rsidRPr="000A3888">
              <w:rPr>
                <w:rFonts w:ascii="Verdana" w:hAnsi="Verdana"/>
                <w:noProof/>
                <w:sz w:val="20"/>
                <w:szCs w:val="20"/>
              </w:rPr>
              <w:t>circular economy without PFAS!</w:t>
            </w:r>
          </w:p>
          <w:p w:rsidR="004E4F8C" w:rsidRPr="000A3888" w:rsidRDefault="004E4F8C" w:rsidP="004569ED">
            <w:pPr>
              <w:spacing w:after="120" w:line="276" w:lineRule="auto"/>
              <w:rPr>
                <w:rFonts w:ascii="Verdana" w:hAnsi="Verdana"/>
                <w:noProof/>
                <w:sz w:val="20"/>
                <w:szCs w:val="20"/>
              </w:rPr>
            </w:pPr>
          </w:p>
          <w:p w:rsidR="009F50E6" w:rsidRPr="000A3888" w:rsidRDefault="009F50E6" w:rsidP="004569ED">
            <w:pPr>
              <w:spacing w:after="120" w:line="276" w:lineRule="auto"/>
              <w:rPr>
                <w:rFonts w:ascii="Verdana" w:hAnsi="Verdana"/>
                <w:noProof/>
                <w:sz w:val="20"/>
                <w:szCs w:val="20"/>
              </w:rPr>
            </w:pPr>
            <w:r w:rsidRPr="000A3888">
              <w:rPr>
                <w:rFonts w:ascii="Verdana" w:hAnsi="Verdana"/>
                <w:noProof/>
                <w:sz w:val="20"/>
                <w:szCs w:val="20"/>
              </w:rPr>
              <w:t>Exempted uses in the PFOS restriction: SEAC supports the derogation of the exempted uses in the PFOS restriction (use of PFOS in mist suppressants for non-decorative hard chromium (VI) plating in closed loop systems). However it recognizes that “in accordance with paragraph 9 of Article 8 of the Stockholm Convention, the POPs Review Committee recommended to the Conference of the Parties to the Convention to consider listing and specifying the related control measures for PFHxS, its salts and PFHxS-related compounds in Annex A (elimination) without exemptions. ” “In line with the view of the Commission, SEAC considers that the proposed restriction, and accompanying RAC and SEAC opinions, will contribute to the discussions on the global</w:t>
            </w:r>
            <w:r w:rsidR="003B4C97" w:rsidRPr="000A3888">
              <w:rPr>
                <w:rFonts w:ascii="Verdana" w:hAnsi="Verdana"/>
                <w:noProof/>
                <w:sz w:val="20"/>
                <w:szCs w:val="20"/>
              </w:rPr>
              <w:t xml:space="preserve"> </w:t>
            </w:r>
            <w:r w:rsidRPr="000A3888">
              <w:rPr>
                <w:rFonts w:ascii="Verdana" w:hAnsi="Verdana"/>
                <w:noProof/>
                <w:sz w:val="20"/>
                <w:szCs w:val="20"/>
              </w:rPr>
              <w:t>regulation of PFHxS”.</w:t>
            </w:r>
          </w:p>
          <w:p w:rsidR="009F50E6" w:rsidRPr="0011133A" w:rsidRDefault="009F50E6" w:rsidP="004569ED">
            <w:pPr>
              <w:spacing w:after="120" w:line="276" w:lineRule="auto"/>
              <w:rPr>
                <w:rFonts w:ascii="Verdana" w:hAnsi="Verdana"/>
                <w:noProof/>
                <w:sz w:val="20"/>
                <w:szCs w:val="20"/>
              </w:rPr>
            </w:pPr>
            <w:r w:rsidRPr="0011133A">
              <w:rPr>
                <w:rFonts w:ascii="Verdana" w:hAnsi="Verdana"/>
                <w:noProof/>
                <w:sz w:val="20"/>
                <w:szCs w:val="20"/>
              </w:rPr>
              <w:t>It should be noted that the EU was represented at the POPs Review Committee meeting that</w:t>
            </w:r>
          </w:p>
          <w:p w:rsidR="009F50E6" w:rsidRPr="000A3888" w:rsidRDefault="009F50E6" w:rsidP="004569ED">
            <w:pPr>
              <w:spacing w:after="120" w:line="276" w:lineRule="auto"/>
              <w:rPr>
                <w:rFonts w:ascii="Verdana" w:hAnsi="Verdana"/>
                <w:noProof/>
                <w:sz w:val="20"/>
                <w:szCs w:val="20"/>
              </w:rPr>
            </w:pPr>
            <w:r w:rsidRPr="0011133A">
              <w:rPr>
                <w:rFonts w:ascii="Verdana" w:hAnsi="Verdana"/>
                <w:noProof/>
                <w:sz w:val="20"/>
                <w:szCs w:val="20"/>
              </w:rPr>
              <w:lastRenderedPageBreak/>
              <w:t>came to the conclusion that no exemptions were needed.</w:t>
            </w:r>
            <w:r w:rsidRPr="000A3888">
              <w:rPr>
                <w:rFonts w:ascii="Verdana" w:hAnsi="Verdana"/>
                <w:noProof/>
                <w:sz w:val="20"/>
                <w:szCs w:val="20"/>
              </w:rPr>
              <w:t xml:space="preserve"> By following the proposed approach</w:t>
            </w:r>
          </w:p>
          <w:p w:rsidR="009F50E6" w:rsidRPr="000A3888" w:rsidRDefault="009F50E6" w:rsidP="004569ED">
            <w:pPr>
              <w:spacing w:after="120" w:line="276" w:lineRule="auto"/>
              <w:rPr>
                <w:rFonts w:ascii="Verdana" w:hAnsi="Verdana"/>
                <w:noProof/>
                <w:sz w:val="20"/>
                <w:szCs w:val="20"/>
              </w:rPr>
            </w:pPr>
            <w:r w:rsidRPr="000A3888">
              <w:rPr>
                <w:rFonts w:ascii="Verdana" w:hAnsi="Verdana"/>
                <w:noProof/>
                <w:sz w:val="20"/>
                <w:szCs w:val="20"/>
              </w:rPr>
              <w:t>in the Draft Opinion, derogations adopted at the EU level would be promoted at a global level.</w:t>
            </w:r>
          </w:p>
          <w:p w:rsidR="009F50E6" w:rsidRPr="000A3888" w:rsidRDefault="009F50E6" w:rsidP="004569ED">
            <w:pPr>
              <w:spacing w:after="120" w:line="276" w:lineRule="auto"/>
              <w:rPr>
                <w:rFonts w:ascii="Verdana" w:hAnsi="Verdana"/>
                <w:noProof/>
                <w:sz w:val="20"/>
                <w:szCs w:val="20"/>
              </w:rPr>
            </w:pPr>
            <w:r w:rsidRPr="000A3888">
              <w:rPr>
                <w:rFonts w:ascii="Verdana" w:hAnsi="Verdana"/>
                <w:noProof/>
                <w:sz w:val="20"/>
                <w:szCs w:val="20"/>
              </w:rPr>
              <w:t>This would weaken the international controls of PFHxS as well as undermine the Stockholm</w:t>
            </w:r>
          </w:p>
          <w:p w:rsidR="009F50E6" w:rsidRPr="000A3888" w:rsidRDefault="009F50E6" w:rsidP="004569ED">
            <w:pPr>
              <w:spacing w:after="120" w:line="276" w:lineRule="auto"/>
              <w:rPr>
                <w:rFonts w:ascii="Verdana" w:hAnsi="Verdana"/>
                <w:noProof/>
                <w:sz w:val="20"/>
                <w:szCs w:val="20"/>
              </w:rPr>
            </w:pPr>
            <w:r w:rsidRPr="000A3888">
              <w:rPr>
                <w:rFonts w:ascii="Verdana" w:hAnsi="Verdana"/>
                <w:noProof/>
                <w:sz w:val="20"/>
                <w:szCs w:val="20"/>
              </w:rPr>
              <w:t>Convention, currently the only legally binding means of controlling unmanageable, hazardous</w:t>
            </w:r>
          </w:p>
          <w:p w:rsidR="009F50E6" w:rsidRPr="000A3888" w:rsidRDefault="009F50E6" w:rsidP="004569ED">
            <w:pPr>
              <w:spacing w:after="120" w:line="276" w:lineRule="auto"/>
              <w:rPr>
                <w:rFonts w:ascii="Verdana" w:hAnsi="Verdana"/>
                <w:noProof/>
                <w:sz w:val="20"/>
                <w:szCs w:val="20"/>
              </w:rPr>
            </w:pPr>
            <w:r w:rsidRPr="000A3888">
              <w:rPr>
                <w:rFonts w:ascii="Verdana" w:hAnsi="Verdana"/>
                <w:noProof/>
                <w:sz w:val="20"/>
                <w:szCs w:val="20"/>
              </w:rPr>
              <w:t>chemicals similar to the EU restriction process. Furthermore, SEAC states in its draft opinion</w:t>
            </w:r>
          </w:p>
          <w:p w:rsidR="009F50E6" w:rsidRPr="000A3888" w:rsidRDefault="009F50E6" w:rsidP="004569ED">
            <w:pPr>
              <w:spacing w:after="120" w:line="276" w:lineRule="auto"/>
              <w:rPr>
                <w:rFonts w:ascii="Verdana" w:hAnsi="Verdana"/>
                <w:noProof/>
                <w:sz w:val="20"/>
                <w:szCs w:val="20"/>
              </w:rPr>
            </w:pPr>
            <w:r w:rsidRPr="000A3888">
              <w:rPr>
                <w:rFonts w:ascii="Verdana" w:hAnsi="Verdana"/>
                <w:noProof/>
                <w:sz w:val="20"/>
                <w:szCs w:val="20"/>
              </w:rPr>
              <w:t>that “during the consultation, the German Competent Authority indicated that on the market</w:t>
            </w:r>
          </w:p>
          <w:p w:rsidR="009F50E6" w:rsidRPr="000A3888" w:rsidRDefault="009F50E6" w:rsidP="004569ED">
            <w:pPr>
              <w:spacing w:after="120" w:line="276" w:lineRule="auto"/>
              <w:rPr>
                <w:rFonts w:ascii="Verdana" w:hAnsi="Verdana"/>
                <w:noProof/>
                <w:sz w:val="20"/>
                <w:szCs w:val="20"/>
              </w:rPr>
            </w:pPr>
            <w:r w:rsidRPr="000A3888">
              <w:rPr>
                <w:rFonts w:ascii="Verdana" w:hAnsi="Verdana"/>
                <w:noProof/>
                <w:sz w:val="20"/>
                <w:szCs w:val="20"/>
              </w:rPr>
              <w:t>there are fluorine-free, chemical alternatives, e.g. alkane sulfonates, for hard chromium (VI)</w:t>
            </w:r>
          </w:p>
          <w:p w:rsidR="009F50E6" w:rsidRPr="000A3888" w:rsidRDefault="009F50E6" w:rsidP="004569ED">
            <w:pPr>
              <w:spacing w:after="120" w:line="276" w:lineRule="auto"/>
              <w:rPr>
                <w:rFonts w:ascii="Verdana" w:hAnsi="Verdana"/>
                <w:noProof/>
                <w:sz w:val="20"/>
                <w:szCs w:val="20"/>
              </w:rPr>
            </w:pPr>
            <w:r w:rsidRPr="000A3888">
              <w:rPr>
                <w:rFonts w:ascii="Verdana" w:hAnsi="Verdana"/>
                <w:noProof/>
                <w:sz w:val="20"/>
                <w:szCs w:val="20"/>
              </w:rPr>
              <w:t>plating available, as well as effective technical solutions to minimize aerosol emission, e.g.</w:t>
            </w:r>
          </w:p>
          <w:p w:rsidR="009F50E6" w:rsidRPr="000A3888" w:rsidRDefault="009F50E6" w:rsidP="004569ED">
            <w:pPr>
              <w:spacing w:after="120" w:line="276" w:lineRule="auto"/>
              <w:rPr>
                <w:rFonts w:ascii="Verdana" w:hAnsi="Verdana"/>
                <w:noProof/>
                <w:sz w:val="20"/>
                <w:szCs w:val="20"/>
              </w:rPr>
            </w:pPr>
            <w:r w:rsidRPr="000A3888">
              <w:rPr>
                <w:rFonts w:ascii="Verdana" w:hAnsi="Verdana"/>
                <w:noProof/>
                <w:sz w:val="20"/>
                <w:szCs w:val="20"/>
              </w:rPr>
              <w:t>galvanic bath covers or air extraction systems.”</w:t>
            </w:r>
          </w:p>
          <w:p w:rsidR="009F50E6" w:rsidRPr="000A3888" w:rsidRDefault="009F50E6" w:rsidP="004569ED">
            <w:pPr>
              <w:spacing w:after="120" w:line="276" w:lineRule="auto"/>
              <w:rPr>
                <w:rFonts w:ascii="Verdana" w:hAnsi="Verdana"/>
                <w:noProof/>
                <w:sz w:val="20"/>
                <w:szCs w:val="20"/>
              </w:rPr>
            </w:pPr>
            <w:r w:rsidRPr="000A3888">
              <w:rPr>
                <w:rFonts w:ascii="Verdana" w:hAnsi="Verdana"/>
                <w:noProof/>
                <w:sz w:val="20"/>
                <w:szCs w:val="20"/>
              </w:rPr>
              <w:t>This makes it very clear that the proposal to derogate this use has no technical/economic</w:t>
            </w:r>
          </w:p>
          <w:p w:rsidR="009F50E6" w:rsidRPr="000A3888" w:rsidRDefault="009F50E6" w:rsidP="004569ED">
            <w:pPr>
              <w:spacing w:after="120" w:line="276" w:lineRule="auto"/>
              <w:rPr>
                <w:rFonts w:ascii="Verdana" w:hAnsi="Verdana"/>
                <w:noProof/>
                <w:sz w:val="20"/>
                <w:szCs w:val="20"/>
              </w:rPr>
            </w:pPr>
            <w:r w:rsidRPr="000A3888">
              <w:rPr>
                <w:rFonts w:ascii="Verdana" w:hAnsi="Verdana"/>
                <w:noProof/>
                <w:sz w:val="20"/>
                <w:szCs w:val="20"/>
              </w:rPr>
              <w:t>justification and should be abandoned. Otherwise, it will further allow a highly polluting and</w:t>
            </w:r>
          </w:p>
          <w:p w:rsidR="009F50E6" w:rsidRPr="000A3888" w:rsidRDefault="009F50E6" w:rsidP="004569ED">
            <w:pPr>
              <w:spacing w:after="120" w:line="276" w:lineRule="auto"/>
              <w:rPr>
                <w:rFonts w:ascii="Verdana" w:hAnsi="Verdana"/>
                <w:noProof/>
                <w:sz w:val="20"/>
                <w:szCs w:val="20"/>
              </w:rPr>
            </w:pPr>
            <w:r w:rsidRPr="000A3888">
              <w:rPr>
                <w:rFonts w:ascii="Verdana" w:hAnsi="Verdana"/>
                <w:noProof/>
                <w:sz w:val="20"/>
                <w:szCs w:val="20"/>
              </w:rPr>
              <w:t>dangerous industrial sector such as the chromium VI platers, to continue business as usual,</w:t>
            </w:r>
          </w:p>
          <w:p w:rsidR="009F50E6" w:rsidRPr="000A3888" w:rsidRDefault="009F50E6" w:rsidP="004569ED">
            <w:pPr>
              <w:spacing w:after="120" w:line="276" w:lineRule="auto"/>
              <w:rPr>
                <w:rFonts w:ascii="Verdana" w:hAnsi="Verdana"/>
                <w:sz w:val="20"/>
                <w:szCs w:val="20"/>
              </w:rPr>
            </w:pPr>
            <w:r w:rsidRPr="000A3888">
              <w:rPr>
                <w:rFonts w:ascii="Verdana" w:hAnsi="Verdana"/>
                <w:noProof/>
                <w:sz w:val="20"/>
                <w:szCs w:val="20"/>
              </w:rPr>
              <w:t>hindering the market for safer alternative providers both at EU and global level.</w:t>
            </w:r>
          </w:p>
        </w:tc>
      </w:tr>
      <w:tr w:rsidR="009F50E6" w:rsidRPr="001D714B" w:rsidTr="009F50E6">
        <w:tc>
          <w:tcPr>
            <w:tcW w:w="846" w:type="dxa"/>
            <w:vMerge/>
          </w:tcPr>
          <w:p w:rsidR="009F50E6" w:rsidRPr="001D714B" w:rsidRDefault="009F50E6" w:rsidP="004569ED">
            <w:pPr>
              <w:spacing w:after="120" w:line="276" w:lineRule="auto"/>
              <w:rPr>
                <w:rFonts w:ascii="Verdana" w:hAnsi="Verdana"/>
                <w:sz w:val="20"/>
                <w:szCs w:val="20"/>
              </w:rPr>
            </w:pPr>
          </w:p>
        </w:tc>
        <w:tc>
          <w:tcPr>
            <w:tcW w:w="3260" w:type="dxa"/>
            <w:vMerge/>
          </w:tcPr>
          <w:p w:rsidR="009F50E6" w:rsidRPr="001D714B" w:rsidRDefault="009F50E6" w:rsidP="004569ED">
            <w:pPr>
              <w:spacing w:after="120" w:line="276" w:lineRule="auto"/>
              <w:rPr>
                <w:rFonts w:ascii="Verdana" w:hAnsi="Verdana"/>
                <w:b/>
                <w:sz w:val="20"/>
                <w:szCs w:val="20"/>
              </w:rPr>
            </w:pPr>
          </w:p>
        </w:tc>
        <w:tc>
          <w:tcPr>
            <w:tcW w:w="9923" w:type="dxa"/>
          </w:tcPr>
          <w:p w:rsidR="009F50E6" w:rsidRPr="000A3888" w:rsidRDefault="009F50E6" w:rsidP="004569ED">
            <w:pPr>
              <w:spacing w:after="120" w:line="276" w:lineRule="auto"/>
              <w:rPr>
                <w:rFonts w:ascii="Verdana" w:hAnsi="Verdana"/>
                <w:b/>
                <w:sz w:val="20"/>
                <w:szCs w:val="20"/>
              </w:rPr>
            </w:pPr>
            <w:r w:rsidRPr="000A3888">
              <w:rPr>
                <w:rFonts w:ascii="Verdana" w:hAnsi="Verdana"/>
                <w:b/>
                <w:sz w:val="20"/>
                <w:szCs w:val="20"/>
              </w:rPr>
              <w:t>SEAC Rapporteurs response:</w:t>
            </w:r>
          </w:p>
          <w:p w:rsidR="00177758" w:rsidRPr="000A3888" w:rsidRDefault="00177758" w:rsidP="004569ED">
            <w:pPr>
              <w:spacing w:after="120" w:line="276" w:lineRule="auto"/>
              <w:rPr>
                <w:rFonts w:ascii="Verdana" w:hAnsi="Verdana"/>
                <w:sz w:val="20"/>
                <w:szCs w:val="20"/>
                <w:u w:val="single"/>
              </w:rPr>
            </w:pPr>
            <w:r w:rsidRPr="000A3888">
              <w:rPr>
                <w:rFonts w:ascii="Verdana" w:hAnsi="Verdana"/>
                <w:sz w:val="20"/>
                <w:szCs w:val="20"/>
              </w:rPr>
              <w:t>Thank you for your comments</w:t>
            </w:r>
            <w:r w:rsidR="0042738F" w:rsidRPr="000A3888">
              <w:rPr>
                <w:rFonts w:ascii="Verdana" w:hAnsi="Verdana"/>
                <w:sz w:val="20"/>
                <w:szCs w:val="20"/>
              </w:rPr>
              <w:t xml:space="preserve">. </w:t>
            </w:r>
            <w:r w:rsidR="00175D02">
              <w:rPr>
                <w:rFonts w:ascii="Verdana" w:hAnsi="Verdana"/>
                <w:sz w:val="20"/>
                <w:szCs w:val="20"/>
              </w:rPr>
              <w:t xml:space="preserve">All </w:t>
            </w:r>
            <w:r w:rsidR="000A3888" w:rsidRPr="000A3888">
              <w:rPr>
                <w:rFonts w:ascii="Verdana" w:hAnsi="Verdana"/>
                <w:sz w:val="20"/>
                <w:szCs w:val="20"/>
              </w:rPr>
              <w:t>your arguments</w:t>
            </w:r>
            <w:r w:rsidR="00872285" w:rsidRPr="000A3888">
              <w:rPr>
                <w:rFonts w:ascii="Verdana" w:hAnsi="Verdana"/>
                <w:sz w:val="20"/>
                <w:szCs w:val="20"/>
              </w:rPr>
              <w:t xml:space="preserve"> </w:t>
            </w:r>
            <w:r w:rsidR="00941FDB">
              <w:rPr>
                <w:rFonts w:ascii="Verdana" w:hAnsi="Verdana"/>
                <w:sz w:val="20"/>
                <w:szCs w:val="20"/>
              </w:rPr>
              <w:t xml:space="preserve">were </w:t>
            </w:r>
            <w:r w:rsidR="0042738F" w:rsidRPr="000A3888">
              <w:rPr>
                <w:rFonts w:ascii="Verdana" w:hAnsi="Verdana"/>
                <w:sz w:val="20"/>
                <w:szCs w:val="20"/>
              </w:rPr>
              <w:t>consider</w:t>
            </w:r>
            <w:r w:rsidR="00175D02">
              <w:rPr>
                <w:rFonts w:ascii="Verdana" w:hAnsi="Verdana"/>
                <w:sz w:val="20"/>
                <w:szCs w:val="20"/>
              </w:rPr>
              <w:t xml:space="preserve">ed carefully and </w:t>
            </w:r>
            <w:r w:rsidR="0042738F" w:rsidRPr="000A3888">
              <w:rPr>
                <w:rFonts w:ascii="Verdana" w:hAnsi="Verdana"/>
                <w:sz w:val="20"/>
                <w:szCs w:val="20"/>
              </w:rPr>
              <w:t>some changes</w:t>
            </w:r>
            <w:r w:rsidR="00175D02">
              <w:rPr>
                <w:rFonts w:ascii="Verdana" w:hAnsi="Verdana"/>
                <w:sz w:val="20"/>
                <w:szCs w:val="20"/>
              </w:rPr>
              <w:t xml:space="preserve"> were introduced</w:t>
            </w:r>
            <w:r w:rsidR="0042738F" w:rsidRPr="000A3888">
              <w:rPr>
                <w:rFonts w:ascii="Verdana" w:hAnsi="Verdana"/>
                <w:sz w:val="20"/>
                <w:szCs w:val="20"/>
              </w:rPr>
              <w:t xml:space="preserve"> to </w:t>
            </w:r>
            <w:r w:rsidR="000A3888" w:rsidRPr="000A3888">
              <w:rPr>
                <w:rFonts w:ascii="Verdana" w:hAnsi="Verdana"/>
                <w:sz w:val="20"/>
                <w:szCs w:val="20"/>
              </w:rPr>
              <w:t>SEAC</w:t>
            </w:r>
            <w:r w:rsidR="0042738F" w:rsidRPr="000A3888">
              <w:rPr>
                <w:rFonts w:ascii="Verdana" w:hAnsi="Verdana"/>
                <w:sz w:val="20"/>
                <w:szCs w:val="20"/>
              </w:rPr>
              <w:t xml:space="preserve"> opinion</w:t>
            </w:r>
            <w:r w:rsidR="00175D02">
              <w:rPr>
                <w:rFonts w:ascii="Verdana" w:hAnsi="Verdana"/>
                <w:sz w:val="20"/>
                <w:szCs w:val="20"/>
              </w:rPr>
              <w:t xml:space="preserve"> justification</w:t>
            </w:r>
            <w:r w:rsidR="0042738F" w:rsidRPr="000A3888">
              <w:rPr>
                <w:rFonts w:ascii="Verdana" w:hAnsi="Verdana"/>
                <w:sz w:val="20"/>
                <w:szCs w:val="20"/>
              </w:rPr>
              <w:t>.</w:t>
            </w:r>
          </w:p>
          <w:p w:rsidR="009F50E6" w:rsidRPr="000A3888" w:rsidRDefault="00BC08DE" w:rsidP="004569ED">
            <w:pPr>
              <w:spacing w:after="120" w:line="276" w:lineRule="auto"/>
              <w:rPr>
                <w:rFonts w:ascii="Verdana" w:hAnsi="Verdana"/>
                <w:sz w:val="20"/>
                <w:szCs w:val="20"/>
                <w:u w:val="single"/>
              </w:rPr>
            </w:pPr>
            <w:r w:rsidRPr="000A3888">
              <w:rPr>
                <w:rFonts w:ascii="Verdana" w:hAnsi="Verdana"/>
                <w:sz w:val="20"/>
                <w:szCs w:val="20"/>
                <w:u w:val="single"/>
              </w:rPr>
              <w:t>Concentration limits:</w:t>
            </w:r>
          </w:p>
          <w:p w:rsidR="00A41899" w:rsidRDefault="00847AA9" w:rsidP="000A3888">
            <w:pPr>
              <w:spacing w:after="120" w:line="276" w:lineRule="auto"/>
              <w:rPr>
                <w:rFonts w:ascii="Verdana" w:hAnsi="Verdana"/>
                <w:sz w:val="20"/>
                <w:szCs w:val="20"/>
              </w:rPr>
            </w:pPr>
            <w:r w:rsidRPr="000A3888">
              <w:rPr>
                <w:rFonts w:ascii="Verdana" w:hAnsi="Verdana"/>
                <w:sz w:val="20"/>
                <w:szCs w:val="20"/>
              </w:rPr>
              <w:t xml:space="preserve">The SEAC rapporteurs did a lot of work </w:t>
            </w:r>
            <w:r w:rsidR="005E50D5">
              <w:rPr>
                <w:rFonts w:ascii="Verdana" w:hAnsi="Verdana"/>
                <w:sz w:val="20"/>
                <w:szCs w:val="20"/>
              </w:rPr>
              <w:t>during opinion making</w:t>
            </w:r>
            <w:r w:rsidR="005E50D5" w:rsidRPr="000A3888">
              <w:rPr>
                <w:rFonts w:ascii="Verdana" w:hAnsi="Verdana"/>
                <w:sz w:val="20"/>
                <w:szCs w:val="20"/>
              </w:rPr>
              <w:t xml:space="preserve"> </w:t>
            </w:r>
            <w:r w:rsidRPr="000A3888">
              <w:rPr>
                <w:rFonts w:ascii="Verdana" w:hAnsi="Verdana"/>
                <w:sz w:val="20"/>
                <w:szCs w:val="20"/>
              </w:rPr>
              <w:t xml:space="preserve">to find further information on the availability of new analytical methods. </w:t>
            </w:r>
            <w:r w:rsidR="00A41899">
              <w:rPr>
                <w:rFonts w:ascii="Verdana" w:hAnsi="Verdana"/>
                <w:sz w:val="20"/>
                <w:szCs w:val="20"/>
              </w:rPr>
              <w:t>We</w:t>
            </w:r>
            <w:r w:rsidR="00A41899" w:rsidRPr="00D04471">
              <w:rPr>
                <w:rFonts w:ascii="Verdana" w:eastAsia="?????? Pro W3" w:hAnsi="Verdana"/>
                <w:color w:val="000000"/>
                <w:sz w:val="20"/>
                <w:szCs w:val="20"/>
                <w:lang w:eastAsia="lt-LT"/>
              </w:rPr>
              <w:t xml:space="preserve"> consider that, at this moment in time, the best available evidence seems to indicate that analytical methods are not yet sufficiently developed for a lower limit value</w:t>
            </w:r>
            <w:r w:rsidR="00A41899">
              <w:rPr>
                <w:rFonts w:ascii="Verdana" w:eastAsia="?????? Pro W3" w:hAnsi="Verdana"/>
                <w:color w:val="000000"/>
                <w:sz w:val="20"/>
                <w:szCs w:val="20"/>
                <w:lang w:eastAsia="lt-LT"/>
              </w:rPr>
              <w:t>.</w:t>
            </w:r>
            <w:r w:rsidR="00A41899" w:rsidRPr="000A3888">
              <w:rPr>
                <w:rFonts w:ascii="Verdana" w:hAnsi="Verdana"/>
                <w:sz w:val="20"/>
                <w:szCs w:val="20"/>
              </w:rPr>
              <w:t xml:space="preserve"> </w:t>
            </w:r>
            <w:r w:rsidR="00351199" w:rsidRPr="000A3888">
              <w:rPr>
                <w:rFonts w:ascii="Verdana" w:hAnsi="Verdana"/>
                <w:sz w:val="20"/>
                <w:szCs w:val="20"/>
              </w:rPr>
              <w:t>There may exist methods in the possession of individual parties</w:t>
            </w:r>
            <w:r w:rsidR="005E50D5">
              <w:rPr>
                <w:rFonts w:ascii="Verdana" w:hAnsi="Verdana"/>
                <w:sz w:val="20"/>
                <w:szCs w:val="20"/>
              </w:rPr>
              <w:t>, h</w:t>
            </w:r>
            <w:r w:rsidR="00351199">
              <w:rPr>
                <w:rFonts w:ascii="Verdana" w:hAnsi="Verdana"/>
                <w:sz w:val="20"/>
                <w:szCs w:val="20"/>
              </w:rPr>
              <w:t>owever, w</w:t>
            </w:r>
            <w:r w:rsidR="00A41899">
              <w:rPr>
                <w:rFonts w:ascii="Verdana" w:eastAsia="?????? Pro W3" w:hAnsi="Verdana"/>
                <w:color w:val="000000"/>
                <w:sz w:val="20"/>
                <w:szCs w:val="20"/>
                <w:lang w:eastAsia="lt-LT"/>
              </w:rPr>
              <w:t xml:space="preserve">e </w:t>
            </w:r>
            <w:r w:rsidR="00A41899" w:rsidRPr="00D04471">
              <w:rPr>
                <w:rFonts w:ascii="Verdana" w:eastAsia="?????? Pro W3" w:hAnsi="Verdana"/>
                <w:color w:val="000000"/>
                <w:sz w:val="20"/>
                <w:szCs w:val="20"/>
                <w:lang w:eastAsia="lt-LT"/>
              </w:rPr>
              <w:t>highlight that from a monitoring and enforcement viewpoint,</w:t>
            </w:r>
            <w:r w:rsidR="0092392F">
              <w:rPr>
                <w:rFonts w:ascii="Verdana" w:eastAsia="?????? Pro W3" w:hAnsi="Verdana"/>
                <w:color w:val="000000"/>
                <w:sz w:val="20"/>
                <w:szCs w:val="20"/>
                <w:lang w:eastAsia="lt-LT"/>
              </w:rPr>
              <w:t xml:space="preserve"> </w:t>
            </w:r>
            <w:r w:rsidR="00A41899" w:rsidRPr="00D04471">
              <w:rPr>
                <w:rFonts w:ascii="Verdana" w:eastAsia="?????? Pro W3" w:hAnsi="Verdana"/>
                <w:color w:val="000000"/>
                <w:sz w:val="20"/>
                <w:szCs w:val="20"/>
                <w:lang w:eastAsia="lt-LT"/>
              </w:rPr>
              <w:t>analytical methods have to be widely available</w:t>
            </w:r>
            <w:r w:rsidR="00A41899">
              <w:rPr>
                <w:rFonts w:ascii="Verdana" w:eastAsia="?????? Pro W3" w:hAnsi="Verdana"/>
                <w:color w:val="000000"/>
                <w:sz w:val="20"/>
                <w:szCs w:val="20"/>
                <w:lang w:eastAsia="lt-LT"/>
              </w:rPr>
              <w:t xml:space="preserve"> for the </w:t>
            </w:r>
            <w:r w:rsidR="0092392F">
              <w:rPr>
                <w:rFonts w:ascii="Verdana" w:eastAsia="?????? Pro W3" w:hAnsi="Verdana"/>
                <w:color w:val="000000"/>
                <w:sz w:val="20"/>
                <w:szCs w:val="20"/>
                <w:lang w:eastAsia="lt-LT"/>
              </w:rPr>
              <w:t>affected stakeholders</w:t>
            </w:r>
            <w:r w:rsidR="00A41899" w:rsidRPr="00D04471">
              <w:rPr>
                <w:rFonts w:ascii="Verdana" w:eastAsia="?????? Pro W3" w:hAnsi="Verdana"/>
                <w:color w:val="000000"/>
                <w:sz w:val="20"/>
                <w:szCs w:val="20"/>
                <w:lang w:eastAsia="lt-LT"/>
              </w:rPr>
              <w:t xml:space="preserve"> and preferably standardised.</w:t>
            </w:r>
          </w:p>
          <w:p w:rsidR="00D45901" w:rsidRDefault="00847AA9" w:rsidP="000A3888">
            <w:pPr>
              <w:spacing w:after="120" w:line="276" w:lineRule="auto"/>
              <w:rPr>
                <w:rFonts w:ascii="Verdana" w:hAnsi="Verdana"/>
                <w:sz w:val="20"/>
                <w:szCs w:val="20"/>
              </w:rPr>
            </w:pPr>
            <w:r w:rsidRPr="000A3888">
              <w:rPr>
                <w:rFonts w:ascii="Verdana" w:hAnsi="Verdana"/>
                <w:sz w:val="20"/>
                <w:szCs w:val="20"/>
              </w:rPr>
              <w:t>There a</w:t>
            </w:r>
            <w:r w:rsidR="004752A1" w:rsidRPr="000A3888">
              <w:rPr>
                <w:rFonts w:ascii="Verdana" w:hAnsi="Verdana"/>
                <w:sz w:val="20"/>
                <w:szCs w:val="20"/>
              </w:rPr>
              <w:t>ppear to be</w:t>
            </w:r>
            <w:r w:rsidRPr="000A3888">
              <w:rPr>
                <w:rFonts w:ascii="Verdana" w:hAnsi="Verdana"/>
                <w:sz w:val="20"/>
                <w:szCs w:val="20"/>
              </w:rPr>
              <w:t xml:space="preserve"> a couple of projects going on</w:t>
            </w:r>
            <w:r w:rsidR="00413620">
              <w:rPr>
                <w:rFonts w:ascii="Verdana" w:hAnsi="Verdana"/>
                <w:sz w:val="20"/>
                <w:szCs w:val="20"/>
              </w:rPr>
              <w:t xml:space="preserve"> for the development of standardised methods </w:t>
            </w:r>
            <w:r w:rsidR="00413620">
              <w:rPr>
                <w:rFonts w:ascii="Verdana" w:hAnsi="Verdana"/>
                <w:sz w:val="20"/>
                <w:szCs w:val="20"/>
              </w:rPr>
              <w:lastRenderedPageBreak/>
              <w:t>for PFASs,</w:t>
            </w:r>
            <w:r w:rsidRPr="000A3888">
              <w:rPr>
                <w:rFonts w:ascii="Verdana" w:hAnsi="Verdana"/>
                <w:sz w:val="20"/>
                <w:szCs w:val="20"/>
              </w:rPr>
              <w:t xml:space="preserve"> reported on the CEN web pages</w:t>
            </w:r>
            <w:r w:rsidR="004752A1" w:rsidRPr="000A3888">
              <w:rPr>
                <w:rFonts w:ascii="Verdana" w:hAnsi="Verdana"/>
                <w:sz w:val="20"/>
                <w:szCs w:val="20"/>
              </w:rPr>
              <w:t xml:space="preserve">, but </w:t>
            </w:r>
            <w:r w:rsidR="00A4683D">
              <w:rPr>
                <w:rFonts w:ascii="Verdana" w:hAnsi="Verdana"/>
                <w:sz w:val="20"/>
                <w:szCs w:val="20"/>
              </w:rPr>
              <w:t>the</w:t>
            </w:r>
            <w:r w:rsidR="004752A1" w:rsidRPr="000A3888">
              <w:rPr>
                <w:rFonts w:ascii="Verdana" w:hAnsi="Verdana"/>
                <w:sz w:val="20"/>
                <w:szCs w:val="20"/>
              </w:rPr>
              <w:t xml:space="preserve"> progress</w:t>
            </w:r>
            <w:r w:rsidR="00A4683D">
              <w:rPr>
                <w:rFonts w:ascii="Verdana" w:hAnsi="Verdana"/>
                <w:sz w:val="20"/>
                <w:szCs w:val="20"/>
              </w:rPr>
              <w:t xml:space="preserve"> appears </w:t>
            </w:r>
            <w:r w:rsidR="004E28C6">
              <w:rPr>
                <w:rFonts w:ascii="Verdana" w:hAnsi="Verdana"/>
                <w:sz w:val="20"/>
                <w:szCs w:val="20"/>
              </w:rPr>
              <w:t xml:space="preserve">relatively </w:t>
            </w:r>
            <w:r w:rsidR="00A4683D">
              <w:rPr>
                <w:rFonts w:ascii="Verdana" w:hAnsi="Verdana"/>
                <w:sz w:val="20"/>
                <w:szCs w:val="20"/>
              </w:rPr>
              <w:t>slow</w:t>
            </w:r>
            <w:r w:rsidR="004752A1" w:rsidRPr="000A3888">
              <w:rPr>
                <w:rFonts w:ascii="Verdana" w:hAnsi="Verdana"/>
                <w:sz w:val="20"/>
                <w:szCs w:val="20"/>
              </w:rPr>
              <w:t xml:space="preserve">. </w:t>
            </w:r>
          </w:p>
          <w:p w:rsidR="00351199" w:rsidRPr="000A3888" w:rsidRDefault="00351199" w:rsidP="00351199">
            <w:pPr>
              <w:spacing w:after="120" w:line="276" w:lineRule="auto"/>
              <w:rPr>
                <w:rFonts w:ascii="Verdana" w:hAnsi="Verdana"/>
                <w:noProof/>
                <w:sz w:val="20"/>
                <w:szCs w:val="20"/>
              </w:rPr>
            </w:pPr>
            <w:r w:rsidRPr="000A3888">
              <w:rPr>
                <w:rFonts w:ascii="Verdana" w:hAnsi="Verdana"/>
                <w:noProof/>
                <w:sz w:val="20"/>
                <w:szCs w:val="20"/>
              </w:rPr>
              <w:t>We note that methods with much lower LO</w:t>
            </w:r>
            <w:r>
              <w:rPr>
                <w:rFonts w:ascii="Verdana" w:hAnsi="Verdana"/>
                <w:noProof/>
                <w:sz w:val="20"/>
                <w:szCs w:val="20"/>
              </w:rPr>
              <w:t>Q</w:t>
            </w:r>
            <w:r w:rsidRPr="000A3888">
              <w:rPr>
                <w:rFonts w:ascii="Verdana" w:hAnsi="Verdana"/>
                <w:noProof/>
                <w:sz w:val="20"/>
                <w:szCs w:val="20"/>
              </w:rPr>
              <w:t>s exist for some matrices, however, they are not applicable to all matrices. We find one clear concentration limit preferable compared to a large set of individual limits for different media.</w:t>
            </w:r>
          </w:p>
          <w:p w:rsidR="004752A1" w:rsidRPr="000A3888" w:rsidRDefault="0099208E" w:rsidP="004569ED">
            <w:pPr>
              <w:spacing w:after="120" w:line="276" w:lineRule="auto"/>
              <w:rPr>
                <w:rFonts w:ascii="Verdana" w:hAnsi="Verdana"/>
                <w:noProof/>
                <w:sz w:val="20"/>
                <w:szCs w:val="20"/>
              </w:rPr>
            </w:pPr>
            <w:r w:rsidRPr="000A3888">
              <w:rPr>
                <w:rFonts w:ascii="Verdana" w:hAnsi="Verdana"/>
                <w:noProof/>
                <w:sz w:val="20"/>
                <w:szCs w:val="20"/>
              </w:rPr>
              <w:t>25 ppb</w:t>
            </w:r>
            <w:r w:rsidR="0042738F" w:rsidRPr="000A3888">
              <w:rPr>
                <w:rFonts w:ascii="Verdana" w:hAnsi="Verdana"/>
                <w:noProof/>
                <w:sz w:val="20"/>
                <w:szCs w:val="20"/>
              </w:rPr>
              <w:t xml:space="preserve"> and </w:t>
            </w:r>
            <w:r w:rsidRPr="000A3888">
              <w:rPr>
                <w:rFonts w:ascii="Verdana" w:hAnsi="Verdana"/>
                <w:noProof/>
                <w:sz w:val="20"/>
                <w:szCs w:val="20"/>
              </w:rPr>
              <w:t>1000 ppb</w:t>
            </w:r>
            <w:r w:rsidR="0042738F" w:rsidRPr="000A3888">
              <w:rPr>
                <w:rFonts w:ascii="Verdana" w:hAnsi="Verdana"/>
                <w:noProof/>
                <w:sz w:val="20"/>
                <w:szCs w:val="20"/>
              </w:rPr>
              <w:t xml:space="preserve"> limit values are</w:t>
            </w:r>
            <w:r w:rsidRPr="000A3888">
              <w:rPr>
                <w:rFonts w:ascii="Verdana" w:hAnsi="Verdana"/>
                <w:noProof/>
                <w:sz w:val="20"/>
                <w:szCs w:val="20"/>
              </w:rPr>
              <w:t xml:space="preserve">, according to the information </w:t>
            </w:r>
            <w:r w:rsidR="0042738F" w:rsidRPr="000A3888">
              <w:rPr>
                <w:rFonts w:ascii="Verdana" w:hAnsi="Verdana"/>
                <w:noProof/>
                <w:sz w:val="20"/>
                <w:szCs w:val="20"/>
              </w:rPr>
              <w:t>we</w:t>
            </w:r>
            <w:r w:rsidRPr="000A3888">
              <w:rPr>
                <w:rFonts w:ascii="Verdana" w:hAnsi="Verdana"/>
                <w:noProof/>
                <w:sz w:val="20"/>
                <w:szCs w:val="20"/>
              </w:rPr>
              <w:t xml:space="preserve"> ha</w:t>
            </w:r>
            <w:r w:rsidR="0042738F" w:rsidRPr="000A3888">
              <w:rPr>
                <w:rFonts w:ascii="Verdana" w:hAnsi="Verdana"/>
                <w:noProof/>
                <w:sz w:val="20"/>
                <w:szCs w:val="20"/>
              </w:rPr>
              <w:t>ve</w:t>
            </w:r>
            <w:r w:rsidR="00D277D7">
              <w:rPr>
                <w:rFonts w:ascii="Verdana" w:hAnsi="Verdana"/>
                <w:noProof/>
                <w:sz w:val="20"/>
                <w:szCs w:val="20"/>
              </w:rPr>
              <w:t>, sufficiently low to pre</w:t>
            </w:r>
            <w:r w:rsidRPr="000A3888">
              <w:rPr>
                <w:rFonts w:ascii="Verdana" w:hAnsi="Verdana"/>
                <w:noProof/>
                <w:sz w:val="20"/>
                <w:szCs w:val="20"/>
              </w:rPr>
              <w:t xml:space="preserve">vent intentional use. </w:t>
            </w:r>
            <w:r w:rsidR="00D45901">
              <w:rPr>
                <w:rFonts w:ascii="Verdana" w:hAnsi="Verdana"/>
                <w:noProof/>
                <w:sz w:val="20"/>
                <w:szCs w:val="20"/>
              </w:rPr>
              <w:t>Based on the information available, we conclude</w:t>
            </w:r>
            <w:r w:rsidRPr="000A3888">
              <w:rPr>
                <w:rFonts w:ascii="Verdana" w:hAnsi="Verdana"/>
                <w:noProof/>
                <w:sz w:val="20"/>
                <w:szCs w:val="20"/>
              </w:rPr>
              <w:t xml:space="preserve"> that a content at </w:t>
            </w:r>
            <w:r w:rsidR="00CC114B" w:rsidRPr="000A3888">
              <w:rPr>
                <w:rFonts w:ascii="Verdana" w:hAnsi="Verdana"/>
                <w:noProof/>
                <w:sz w:val="20"/>
                <w:szCs w:val="20"/>
              </w:rPr>
              <w:t>that low a</w:t>
            </w:r>
            <w:r w:rsidRPr="000A3888">
              <w:rPr>
                <w:rFonts w:ascii="Verdana" w:hAnsi="Verdana"/>
                <w:noProof/>
                <w:sz w:val="20"/>
                <w:szCs w:val="20"/>
              </w:rPr>
              <w:t xml:space="preserve"> level does not bring about the desir</w:t>
            </w:r>
            <w:r w:rsidR="009218B8" w:rsidRPr="000A3888">
              <w:rPr>
                <w:rFonts w:ascii="Verdana" w:hAnsi="Verdana"/>
                <w:noProof/>
                <w:sz w:val="20"/>
                <w:szCs w:val="20"/>
              </w:rPr>
              <w:t>ed</w:t>
            </w:r>
            <w:r w:rsidRPr="000A3888">
              <w:rPr>
                <w:rFonts w:ascii="Verdana" w:hAnsi="Verdana"/>
                <w:noProof/>
                <w:sz w:val="20"/>
                <w:szCs w:val="20"/>
              </w:rPr>
              <w:t xml:space="preserve"> functions. Analytical tests may reveal lower contents</w:t>
            </w:r>
            <w:r w:rsidR="0021692B" w:rsidRPr="000A3888">
              <w:rPr>
                <w:rFonts w:ascii="Verdana" w:hAnsi="Verdana"/>
                <w:noProof/>
                <w:sz w:val="20"/>
                <w:szCs w:val="20"/>
              </w:rPr>
              <w:t xml:space="preserve"> in present samples</w:t>
            </w:r>
            <w:r w:rsidRPr="000A3888">
              <w:rPr>
                <w:rFonts w:ascii="Verdana" w:hAnsi="Verdana"/>
                <w:noProof/>
                <w:sz w:val="20"/>
                <w:szCs w:val="20"/>
              </w:rPr>
              <w:t>, bu</w:t>
            </w:r>
            <w:r w:rsidR="007A33B9" w:rsidRPr="000A3888">
              <w:rPr>
                <w:rFonts w:ascii="Verdana" w:hAnsi="Verdana"/>
                <w:noProof/>
                <w:sz w:val="20"/>
                <w:szCs w:val="20"/>
              </w:rPr>
              <w:t>t</w:t>
            </w:r>
            <w:r w:rsidRPr="000A3888">
              <w:rPr>
                <w:rFonts w:ascii="Verdana" w:hAnsi="Verdana"/>
                <w:noProof/>
                <w:sz w:val="20"/>
                <w:szCs w:val="20"/>
              </w:rPr>
              <w:t xml:space="preserve"> that </w:t>
            </w:r>
            <w:r w:rsidR="0021692B" w:rsidRPr="000A3888">
              <w:rPr>
                <w:rFonts w:ascii="Verdana" w:hAnsi="Verdana"/>
                <w:noProof/>
                <w:sz w:val="20"/>
                <w:szCs w:val="20"/>
              </w:rPr>
              <w:t>c</w:t>
            </w:r>
            <w:r w:rsidRPr="000A3888">
              <w:rPr>
                <w:rFonts w:ascii="Verdana" w:hAnsi="Verdana"/>
                <w:noProof/>
                <w:sz w:val="20"/>
                <w:szCs w:val="20"/>
              </w:rPr>
              <w:t>ould be due to unintentional contamination.</w:t>
            </w:r>
          </w:p>
          <w:p w:rsidR="00D04471" w:rsidRPr="00D04471" w:rsidRDefault="00D04471" w:rsidP="00D04471">
            <w:pPr>
              <w:spacing w:after="120" w:line="276" w:lineRule="auto"/>
              <w:jc w:val="both"/>
              <w:rPr>
                <w:rFonts w:ascii="Verdana" w:hAnsi="Verdana"/>
                <w:snapToGrid w:val="0"/>
                <w:sz w:val="20"/>
                <w:szCs w:val="20"/>
              </w:rPr>
            </w:pPr>
            <w:r w:rsidRPr="00D04471">
              <w:rPr>
                <w:rFonts w:ascii="Verdana" w:hAnsi="Verdana" w:cs="Arial"/>
                <w:snapToGrid w:val="0"/>
                <w:color w:val="1D2228"/>
                <w:sz w:val="20"/>
                <w:szCs w:val="20"/>
                <w:lang w:val="en-US" w:eastAsia="fi-FI"/>
              </w:rPr>
              <w:t xml:space="preserve">Moreover, </w:t>
            </w:r>
            <w:r w:rsidR="008C7149">
              <w:rPr>
                <w:rFonts w:ascii="Verdana" w:hAnsi="Verdana" w:cs="Arial"/>
                <w:snapToGrid w:val="0"/>
                <w:color w:val="1D2228"/>
                <w:sz w:val="20"/>
                <w:szCs w:val="20"/>
                <w:lang w:val="en-US" w:eastAsia="fi-FI"/>
              </w:rPr>
              <w:t>we</w:t>
            </w:r>
            <w:r w:rsidRPr="00D04471">
              <w:rPr>
                <w:rFonts w:ascii="Verdana" w:hAnsi="Verdana" w:cs="Arial"/>
                <w:snapToGrid w:val="0"/>
                <w:color w:val="1D2228"/>
                <w:sz w:val="20"/>
                <w:szCs w:val="20"/>
                <w:lang w:val="en-US" w:eastAsia="fi-FI"/>
              </w:rPr>
              <w:t xml:space="preserve"> consider that the 2 ppb limit value could have negative practical implications for enforcement while </w:t>
            </w:r>
            <w:r w:rsidR="005E50D5">
              <w:rPr>
                <w:rFonts w:ascii="Verdana" w:hAnsi="Verdana"/>
                <w:sz w:val="20"/>
                <w:szCs w:val="20"/>
                <w:lang w:val="en-US"/>
              </w:rPr>
              <w:t>we</w:t>
            </w:r>
            <w:r w:rsidRPr="00D04471">
              <w:rPr>
                <w:rFonts w:ascii="Verdana" w:hAnsi="Verdana"/>
                <w:sz w:val="20"/>
                <w:szCs w:val="20"/>
              </w:rPr>
              <w:t xml:space="preserve"> note that the enforceability of the limit values proposed by the Dossier Submitter has not been questioned during the consultations. </w:t>
            </w:r>
          </w:p>
          <w:p w:rsidR="00A4683D" w:rsidRPr="000A3888" w:rsidRDefault="00A4683D" w:rsidP="00A4683D">
            <w:pPr>
              <w:spacing w:after="120" w:line="276" w:lineRule="auto"/>
              <w:rPr>
                <w:rFonts w:ascii="Verdana" w:hAnsi="Verdana"/>
                <w:sz w:val="20"/>
                <w:szCs w:val="20"/>
              </w:rPr>
            </w:pPr>
            <w:r w:rsidRPr="000A3888">
              <w:rPr>
                <w:rFonts w:ascii="Verdana" w:hAnsi="Verdana"/>
                <w:sz w:val="20"/>
                <w:szCs w:val="20"/>
              </w:rPr>
              <w:t xml:space="preserve">As regards our reporting in the draft opinion of the outcome of the consultation of the Annex XV dossier, indeed it was badly formulated. Thank you for pointing this out. Our intention was to say that the feasibility of the limits was not contested. </w:t>
            </w:r>
            <w:r w:rsidR="00A41FF0">
              <w:rPr>
                <w:rFonts w:ascii="Verdana" w:hAnsi="Verdana"/>
                <w:sz w:val="20"/>
                <w:szCs w:val="20"/>
              </w:rPr>
              <w:t>We will make sure that the final opinion will not state that the limits were not contested</w:t>
            </w:r>
            <w:r w:rsidRPr="000A3888">
              <w:rPr>
                <w:rFonts w:ascii="Verdana" w:hAnsi="Verdana"/>
                <w:sz w:val="20"/>
                <w:szCs w:val="20"/>
              </w:rPr>
              <w:t>.</w:t>
            </w:r>
          </w:p>
          <w:p w:rsidR="002B682A" w:rsidRPr="000A3888" w:rsidRDefault="002B682A" w:rsidP="004569ED">
            <w:pPr>
              <w:spacing w:after="120" w:line="276" w:lineRule="auto"/>
              <w:rPr>
                <w:rFonts w:ascii="Verdana" w:hAnsi="Verdana"/>
                <w:sz w:val="20"/>
                <w:szCs w:val="20"/>
              </w:rPr>
            </w:pPr>
          </w:p>
          <w:p w:rsidR="00847AA9" w:rsidRPr="000A3888" w:rsidRDefault="00177758" w:rsidP="004569ED">
            <w:pPr>
              <w:spacing w:after="120" w:line="276" w:lineRule="auto"/>
              <w:rPr>
                <w:rFonts w:ascii="Verdana" w:hAnsi="Verdana"/>
                <w:sz w:val="20"/>
                <w:szCs w:val="20"/>
                <w:u w:val="single"/>
              </w:rPr>
            </w:pPr>
            <w:r w:rsidRPr="000A3888">
              <w:rPr>
                <w:rFonts w:ascii="Verdana" w:hAnsi="Verdana"/>
                <w:noProof/>
                <w:sz w:val="20"/>
                <w:szCs w:val="20"/>
                <w:u w:val="single"/>
              </w:rPr>
              <w:t>Transitional period:</w:t>
            </w:r>
          </w:p>
          <w:p w:rsidR="005609AC" w:rsidRDefault="005609AC" w:rsidP="005609AC">
            <w:pPr>
              <w:spacing w:after="120" w:line="276" w:lineRule="auto"/>
              <w:rPr>
                <w:rFonts w:ascii="Verdana" w:hAnsi="Verdana"/>
                <w:sz w:val="20"/>
                <w:szCs w:val="20"/>
              </w:rPr>
            </w:pPr>
            <w:r>
              <w:rPr>
                <w:rFonts w:ascii="Verdana" w:hAnsi="Verdana"/>
                <w:sz w:val="20"/>
                <w:szCs w:val="20"/>
              </w:rPr>
              <w:t>We consider that the 18 months transition period is very short in view of initiating import activities. At the moment imports of the relevant substances or mixtures containing them do not appear to take place. Also contents in imported articles are, according to the dossier, currently low and diminishing.</w:t>
            </w:r>
          </w:p>
          <w:p w:rsidR="005609AC" w:rsidRDefault="005609AC" w:rsidP="005609AC">
            <w:pPr>
              <w:spacing w:after="120" w:line="276" w:lineRule="auto"/>
              <w:rPr>
                <w:rFonts w:ascii="Verdana" w:hAnsi="Verdana"/>
                <w:sz w:val="20"/>
                <w:szCs w:val="20"/>
              </w:rPr>
            </w:pPr>
            <w:r>
              <w:rPr>
                <w:rFonts w:ascii="Verdana" w:hAnsi="Verdana"/>
                <w:sz w:val="20"/>
                <w:szCs w:val="20"/>
              </w:rPr>
              <w:t>We therefore see no drawback of a transition period of 18 months, but we expect it to give enforcement authorities and laboratories, in addition to industry actors, some time to develop the necessary methods and practices.</w:t>
            </w:r>
          </w:p>
          <w:p w:rsidR="00511FD2" w:rsidRPr="000A3888" w:rsidRDefault="00511FD2" w:rsidP="004569ED">
            <w:pPr>
              <w:spacing w:after="120" w:line="276" w:lineRule="auto"/>
              <w:rPr>
                <w:rFonts w:ascii="Verdana" w:hAnsi="Verdana"/>
                <w:sz w:val="20"/>
                <w:szCs w:val="20"/>
              </w:rPr>
            </w:pPr>
          </w:p>
          <w:p w:rsidR="00511FD2" w:rsidRPr="000A3888" w:rsidRDefault="00511FD2" w:rsidP="004569ED">
            <w:pPr>
              <w:spacing w:after="120" w:line="276" w:lineRule="auto"/>
              <w:rPr>
                <w:rFonts w:ascii="Verdana" w:hAnsi="Verdana"/>
                <w:noProof/>
                <w:sz w:val="20"/>
                <w:szCs w:val="20"/>
                <w:u w:val="single"/>
              </w:rPr>
            </w:pPr>
            <w:r w:rsidRPr="000A3888">
              <w:rPr>
                <w:rFonts w:ascii="Verdana" w:hAnsi="Verdana"/>
                <w:noProof/>
                <w:sz w:val="20"/>
                <w:szCs w:val="20"/>
                <w:u w:val="single"/>
              </w:rPr>
              <w:t>Derogation to concentrated fire-fighting foam:</w:t>
            </w:r>
          </w:p>
          <w:p w:rsidR="005609AC" w:rsidRDefault="00DB0F2D" w:rsidP="005609AC">
            <w:pPr>
              <w:spacing w:after="120" w:line="276" w:lineRule="auto"/>
              <w:rPr>
                <w:rFonts w:ascii="Verdana" w:hAnsi="Verdana"/>
                <w:sz w:val="20"/>
                <w:szCs w:val="20"/>
              </w:rPr>
            </w:pPr>
            <w:r>
              <w:rPr>
                <w:rFonts w:ascii="Verdana" w:hAnsi="Verdana"/>
                <w:noProof/>
                <w:sz w:val="20"/>
                <w:szCs w:val="20"/>
              </w:rPr>
              <w:t xml:space="preserve">From the socio-economic point of view, </w:t>
            </w:r>
            <w:r w:rsidR="005609AC" w:rsidRPr="00FF3608">
              <w:rPr>
                <w:rFonts w:ascii="Verdana" w:hAnsi="Verdana"/>
                <w:noProof/>
                <w:sz w:val="20"/>
                <w:szCs w:val="20"/>
              </w:rPr>
              <w:t xml:space="preserve">0.5-3 kg </w:t>
            </w:r>
            <w:r w:rsidR="005609AC">
              <w:rPr>
                <w:rFonts w:ascii="Verdana" w:hAnsi="Verdana"/>
                <w:noProof/>
                <w:sz w:val="20"/>
                <w:szCs w:val="20"/>
              </w:rPr>
              <w:t xml:space="preserve">of emissions in the big picture looks relatively </w:t>
            </w:r>
            <w:r w:rsidR="005609AC">
              <w:rPr>
                <w:rFonts w:ascii="Verdana" w:hAnsi="Verdana"/>
                <w:noProof/>
                <w:sz w:val="20"/>
                <w:szCs w:val="20"/>
              </w:rPr>
              <w:lastRenderedPageBreak/>
              <w:t>low considering the costs associated with the</w:t>
            </w:r>
            <w:r w:rsidR="004E1F9E">
              <w:rPr>
                <w:rFonts w:ascii="Verdana" w:hAnsi="Verdana"/>
                <w:noProof/>
                <w:sz w:val="20"/>
                <w:szCs w:val="20"/>
              </w:rPr>
              <w:t xml:space="preserve"> replacement and</w:t>
            </w:r>
            <w:r w:rsidR="005609AC">
              <w:rPr>
                <w:rFonts w:ascii="Verdana" w:hAnsi="Verdana"/>
                <w:noProof/>
                <w:sz w:val="20"/>
                <w:szCs w:val="20"/>
              </w:rPr>
              <w:t xml:space="preserve"> demolition of the respective firefigh</w:t>
            </w:r>
            <w:r w:rsidR="004E1F9E">
              <w:rPr>
                <w:rFonts w:ascii="Verdana" w:hAnsi="Verdana"/>
                <w:noProof/>
                <w:sz w:val="20"/>
                <w:szCs w:val="20"/>
              </w:rPr>
              <w:t>t</w:t>
            </w:r>
            <w:r w:rsidR="005609AC">
              <w:rPr>
                <w:rFonts w:ascii="Verdana" w:hAnsi="Verdana"/>
                <w:noProof/>
                <w:sz w:val="20"/>
                <w:szCs w:val="20"/>
              </w:rPr>
              <w:t xml:space="preserve">ing foam. </w:t>
            </w:r>
            <w:r w:rsidR="004E1F9E">
              <w:rPr>
                <w:rFonts w:ascii="Verdana" w:hAnsi="Verdana"/>
                <w:noProof/>
                <w:sz w:val="20"/>
                <w:szCs w:val="20"/>
              </w:rPr>
              <w:t>Also c</w:t>
            </w:r>
            <w:r w:rsidR="005609AC">
              <w:rPr>
                <w:rFonts w:ascii="Verdana" w:hAnsi="Verdana"/>
                <w:noProof/>
                <w:sz w:val="20"/>
                <w:szCs w:val="20"/>
              </w:rPr>
              <w:t>onsidering the recent (compared to the s</w:t>
            </w:r>
            <w:r w:rsidR="00674507">
              <w:rPr>
                <w:rFonts w:ascii="Verdana" w:hAnsi="Verdana"/>
                <w:noProof/>
                <w:sz w:val="20"/>
                <w:szCs w:val="20"/>
              </w:rPr>
              <w:t>h</w:t>
            </w:r>
            <w:r w:rsidR="005609AC">
              <w:rPr>
                <w:rFonts w:ascii="Verdana" w:hAnsi="Verdana"/>
                <w:noProof/>
                <w:sz w:val="20"/>
                <w:szCs w:val="20"/>
              </w:rPr>
              <w:t>elf-life of these products) replacement of PFOS by the actors in the field, an obligation to replace the substiutive materials could be easily seen as disproportionate.</w:t>
            </w:r>
          </w:p>
          <w:p w:rsidR="00BC08DE" w:rsidRPr="000A3888" w:rsidRDefault="00BC08DE" w:rsidP="004569ED">
            <w:pPr>
              <w:spacing w:after="120" w:line="276" w:lineRule="auto"/>
              <w:rPr>
                <w:rFonts w:ascii="Verdana" w:hAnsi="Verdana"/>
                <w:sz w:val="20"/>
                <w:szCs w:val="20"/>
              </w:rPr>
            </w:pPr>
          </w:p>
          <w:p w:rsidR="004E4F8C" w:rsidRPr="000A3888" w:rsidRDefault="004E4F8C" w:rsidP="004569ED">
            <w:pPr>
              <w:spacing w:after="120" w:line="276" w:lineRule="auto"/>
              <w:rPr>
                <w:rFonts w:ascii="Verdana" w:hAnsi="Verdana"/>
                <w:noProof/>
                <w:sz w:val="20"/>
                <w:szCs w:val="20"/>
                <w:u w:val="single"/>
              </w:rPr>
            </w:pPr>
            <w:r w:rsidRPr="000A3888">
              <w:rPr>
                <w:rFonts w:ascii="Verdana" w:hAnsi="Verdana"/>
                <w:noProof/>
                <w:sz w:val="20"/>
                <w:szCs w:val="20"/>
                <w:u w:val="single"/>
              </w:rPr>
              <w:t>Exempted uses in the PFOS restriction:</w:t>
            </w:r>
          </w:p>
          <w:p w:rsidR="004E4F8C" w:rsidRPr="000A3888" w:rsidRDefault="001D74A5" w:rsidP="004569ED">
            <w:pPr>
              <w:spacing w:after="120" w:line="276" w:lineRule="auto"/>
              <w:rPr>
                <w:rFonts w:ascii="Verdana" w:hAnsi="Verdana"/>
                <w:sz w:val="20"/>
                <w:szCs w:val="20"/>
              </w:rPr>
            </w:pPr>
            <w:r w:rsidRPr="000A3888">
              <w:rPr>
                <w:rFonts w:ascii="Verdana" w:hAnsi="Verdana"/>
                <w:sz w:val="20"/>
                <w:szCs w:val="20"/>
              </w:rPr>
              <w:t>The outcome of the Consultation on the Annex XV dossier implies that the availability of alternatives is becoming better and better, however, there was no indication in the submission that alternatives would be suitable for use in all the different relevant circumstances and applications at this point in time.</w:t>
            </w:r>
          </w:p>
          <w:p w:rsidR="00C20FE2" w:rsidRPr="000A3888" w:rsidRDefault="00C20FE2" w:rsidP="00C20FE2">
            <w:pPr>
              <w:rPr>
                <w:rFonts w:ascii="Verdana" w:hAnsi="Verdana"/>
                <w:sz w:val="20"/>
                <w:szCs w:val="20"/>
              </w:rPr>
            </w:pPr>
            <w:r w:rsidRPr="000A3888">
              <w:rPr>
                <w:rFonts w:ascii="Verdana" w:hAnsi="Verdana"/>
                <w:sz w:val="20"/>
                <w:szCs w:val="20"/>
              </w:rPr>
              <w:t>In our opinion, us</w:t>
            </w:r>
            <w:r w:rsidR="003B4C97" w:rsidRPr="000A3888">
              <w:rPr>
                <w:rFonts w:ascii="Verdana" w:hAnsi="Verdana"/>
                <w:sz w:val="20"/>
                <w:szCs w:val="20"/>
              </w:rPr>
              <w:t xml:space="preserve">es of PFOS </w:t>
            </w:r>
            <w:r w:rsidRPr="000A3888">
              <w:rPr>
                <w:rFonts w:ascii="Verdana" w:hAnsi="Verdana"/>
                <w:sz w:val="20"/>
                <w:szCs w:val="20"/>
              </w:rPr>
              <w:t>have to</w:t>
            </w:r>
            <w:r w:rsidR="003B4C97" w:rsidRPr="000A3888">
              <w:rPr>
                <w:rFonts w:ascii="Verdana" w:hAnsi="Verdana"/>
                <w:sz w:val="20"/>
                <w:szCs w:val="20"/>
              </w:rPr>
              <w:t xml:space="preserve"> be regulated </w:t>
            </w:r>
            <w:r w:rsidR="004F1AF3" w:rsidRPr="000A3888">
              <w:rPr>
                <w:rFonts w:ascii="Verdana" w:hAnsi="Verdana"/>
                <w:sz w:val="20"/>
                <w:szCs w:val="20"/>
              </w:rPr>
              <w:t>under</w:t>
            </w:r>
            <w:r w:rsidR="003B4C97" w:rsidRPr="000A3888">
              <w:rPr>
                <w:rFonts w:ascii="Verdana" w:hAnsi="Verdana"/>
                <w:sz w:val="20"/>
                <w:szCs w:val="20"/>
              </w:rPr>
              <w:t xml:space="preserve"> the PFOS restriction </w:t>
            </w:r>
            <w:r w:rsidR="004F1AF3" w:rsidRPr="000A3888">
              <w:rPr>
                <w:rFonts w:ascii="Verdana" w:hAnsi="Verdana"/>
                <w:sz w:val="20"/>
                <w:szCs w:val="20"/>
              </w:rPr>
              <w:t>instead of</w:t>
            </w:r>
            <w:r w:rsidR="003B4C97" w:rsidRPr="000A3888">
              <w:rPr>
                <w:rFonts w:ascii="Verdana" w:hAnsi="Verdana"/>
                <w:sz w:val="20"/>
                <w:szCs w:val="20"/>
              </w:rPr>
              <w:t xml:space="preserve"> the PFHxS restriction. PFOS is understood to be not less harmful than PFHxS, which also seems to support the thought that regulation under PFOS restriction is </w:t>
            </w:r>
            <w:r w:rsidR="004F1AF3" w:rsidRPr="000A3888">
              <w:rPr>
                <w:rFonts w:ascii="Verdana" w:hAnsi="Verdana"/>
                <w:sz w:val="20"/>
                <w:szCs w:val="20"/>
              </w:rPr>
              <w:t xml:space="preserve">sufficient/ </w:t>
            </w:r>
            <w:r w:rsidR="003B4C97" w:rsidRPr="000A3888">
              <w:rPr>
                <w:rFonts w:ascii="Verdana" w:hAnsi="Verdana"/>
                <w:sz w:val="20"/>
                <w:szCs w:val="20"/>
              </w:rPr>
              <w:t>appropriate.</w:t>
            </w:r>
            <w:r w:rsidRPr="000A3888">
              <w:rPr>
                <w:rFonts w:ascii="Verdana" w:hAnsi="Verdana"/>
                <w:sz w:val="20"/>
                <w:szCs w:val="20"/>
              </w:rPr>
              <w:t xml:space="preserve"> However, in the revised opinion we underlined that the exemptions in this restriction are strictly linked to the presence (or not) of an exemption under the PFOS restriction. </w:t>
            </w:r>
          </w:p>
          <w:p w:rsidR="003B4C97" w:rsidRPr="000A3888" w:rsidRDefault="003B4C97" w:rsidP="004569ED">
            <w:pPr>
              <w:spacing w:after="120" w:line="276" w:lineRule="auto"/>
              <w:rPr>
                <w:rFonts w:ascii="Verdana" w:hAnsi="Verdana"/>
                <w:sz w:val="20"/>
                <w:szCs w:val="20"/>
              </w:rPr>
            </w:pPr>
          </w:p>
          <w:p w:rsidR="004E4F8C" w:rsidRPr="000A3888" w:rsidRDefault="004E4F8C" w:rsidP="004569ED">
            <w:pPr>
              <w:spacing w:after="120" w:line="276" w:lineRule="auto"/>
              <w:rPr>
                <w:rFonts w:ascii="Verdana" w:hAnsi="Verdana"/>
                <w:sz w:val="20"/>
                <w:szCs w:val="20"/>
              </w:rPr>
            </w:pPr>
          </w:p>
        </w:tc>
      </w:tr>
    </w:tbl>
    <w:p w:rsidR="004E4F8C" w:rsidRPr="002914A5" w:rsidRDefault="004E4F8C" w:rsidP="009F50E6">
      <w:pPr>
        <w:spacing w:after="120" w:line="276" w:lineRule="auto"/>
      </w:pPr>
    </w:p>
    <w:p w:rsidR="00861D1F" w:rsidRPr="00861D1F" w:rsidRDefault="00861D1F">
      <w:pPr>
        <w:rPr>
          <w:rFonts w:ascii="Verdana" w:hAnsi="Verdana"/>
          <w:sz w:val="20"/>
          <w:szCs w:val="20"/>
        </w:rPr>
      </w:pPr>
    </w:p>
    <w:sectPr w:rsidR="00861D1F" w:rsidRPr="00861D1F" w:rsidSect="009F50E6">
      <w:footerReference w:type="default" r:id="rId10"/>
      <w:headerReference w:type="first" r:id="rId11"/>
      <w:footerReference w:type="first" r:id="rId12"/>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54A" w:rsidRDefault="0024054A" w:rsidP="004E600F">
      <w:r>
        <w:separator/>
      </w:r>
    </w:p>
  </w:endnote>
  <w:endnote w:type="continuationSeparator" w:id="0">
    <w:p w:rsidR="0024054A" w:rsidRDefault="0024054A" w:rsidP="004E6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 Pro W3">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0E6" w:rsidRPr="009F50E6" w:rsidRDefault="009F50E6" w:rsidP="009F50E6">
    <w:pPr>
      <w:pStyle w:val="Footer"/>
      <w:jc w:val="right"/>
      <w:rPr>
        <w:sz w:val="16"/>
      </w:rPr>
    </w:pPr>
    <w:r w:rsidRPr="003B6D57">
      <w:rPr>
        <w:sz w:val="16"/>
      </w:rPr>
      <w:fldChar w:fldCharType="begin"/>
    </w:r>
    <w:r w:rsidRPr="003B6D57">
      <w:rPr>
        <w:sz w:val="16"/>
      </w:rPr>
      <w:instrText xml:space="preserve"> PAGE   \* MERGEFORMAT </w:instrText>
    </w:r>
    <w:r w:rsidRPr="003B6D57">
      <w:rPr>
        <w:sz w:val="16"/>
      </w:rPr>
      <w:fldChar w:fldCharType="separate"/>
    </w:r>
    <w:r w:rsidR="00D277D7">
      <w:rPr>
        <w:noProof/>
        <w:sz w:val="16"/>
      </w:rPr>
      <w:t>2</w:t>
    </w:r>
    <w:r w:rsidRPr="003B6D57">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D57" w:rsidRPr="003B6D57" w:rsidRDefault="003B6D57" w:rsidP="003B6D57">
    <w:pPr>
      <w:pStyle w:val="Footer"/>
      <w:jc w:val="right"/>
      <w:rPr>
        <w:sz w:val="16"/>
      </w:rPr>
    </w:pPr>
    <w:r w:rsidRPr="003B6D57">
      <w:rPr>
        <w:sz w:val="16"/>
      </w:rPr>
      <w:fldChar w:fldCharType="begin"/>
    </w:r>
    <w:r w:rsidRPr="003B6D57">
      <w:rPr>
        <w:sz w:val="16"/>
      </w:rPr>
      <w:instrText xml:space="preserve"> PAGE   \* MERGEFORMAT </w:instrText>
    </w:r>
    <w:r w:rsidRPr="003B6D57">
      <w:rPr>
        <w:sz w:val="16"/>
      </w:rPr>
      <w:fldChar w:fldCharType="separate"/>
    </w:r>
    <w:r w:rsidR="00D277D7">
      <w:rPr>
        <w:noProof/>
        <w:sz w:val="16"/>
      </w:rPr>
      <w:t>1</w:t>
    </w:r>
    <w:r w:rsidRPr="003B6D57">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54A" w:rsidRDefault="0024054A" w:rsidP="004E600F">
      <w:r>
        <w:separator/>
      </w:r>
    </w:p>
  </w:footnote>
  <w:footnote w:type="continuationSeparator" w:id="0">
    <w:p w:rsidR="0024054A" w:rsidRDefault="0024054A" w:rsidP="004E6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90" w:type="pct"/>
      <w:tblInd w:w="-34" w:type="dxa"/>
      <w:tblLook w:val="01E0" w:firstRow="1" w:lastRow="1" w:firstColumn="1" w:lastColumn="1" w:noHBand="0" w:noVBand="0"/>
    </w:tblPr>
    <w:tblGrid>
      <w:gridCol w:w="5073"/>
      <w:gridCol w:w="9356"/>
    </w:tblGrid>
    <w:tr w:rsidR="00861D1F" w:rsidRPr="009F04CB" w:rsidTr="00A00126">
      <w:tc>
        <w:tcPr>
          <w:tcW w:w="1758" w:type="pct"/>
        </w:tcPr>
        <w:p w:rsidR="00861D1F" w:rsidRPr="009F04CB" w:rsidRDefault="00861D1F" w:rsidP="00861D1F">
          <w:pPr>
            <w:rPr>
              <w:rFonts w:ascii="Verdana" w:hAnsi="Verdana"/>
              <w:sz w:val="20"/>
              <w:szCs w:val="20"/>
            </w:rPr>
          </w:pPr>
          <w:r w:rsidRPr="009F04CB">
            <w:rPr>
              <w:rFonts w:ascii="Verdana" w:hAnsi="Verdana"/>
              <w:b/>
              <w:sz w:val="20"/>
              <w:szCs w:val="20"/>
            </w:rPr>
            <w:t>Substance:</w:t>
          </w:r>
          <w:r w:rsidR="00A00126">
            <w:rPr>
              <w:rFonts w:ascii="Verdana" w:hAnsi="Verdana"/>
              <w:b/>
              <w:sz w:val="20"/>
              <w:szCs w:val="20"/>
            </w:rPr>
            <w:t xml:space="preserve"> </w:t>
          </w:r>
          <w:r w:rsidR="00A00126" w:rsidRPr="00A00126">
            <w:rPr>
              <w:rFonts w:ascii="Verdana" w:hAnsi="Verdana"/>
              <w:bCs/>
              <w:sz w:val="20"/>
              <w:szCs w:val="20"/>
            </w:rPr>
            <w:t>Perfluorohexane-1-sulphonic acid, its salts and related substances</w:t>
          </w:r>
        </w:p>
        <w:p w:rsidR="005079BD" w:rsidRPr="009F04CB" w:rsidRDefault="005079BD" w:rsidP="00861D1F">
          <w:pPr>
            <w:rPr>
              <w:rFonts w:ascii="Verdana" w:hAnsi="Verdana"/>
              <w:b/>
              <w:sz w:val="20"/>
              <w:szCs w:val="20"/>
            </w:rPr>
          </w:pPr>
          <w:r w:rsidRPr="009F04CB">
            <w:rPr>
              <w:rFonts w:ascii="Verdana" w:hAnsi="Verdana"/>
              <w:b/>
              <w:sz w:val="20"/>
              <w:szCs w:val="20"/>
            </w:rPr>
            <w:t>EC number:</w:t>
          </w:r>
          <w:r w:rsidR="00A00126" w:rsidRPr="00A00126">
            <w:rPr>
              <w:rFonts w:ascii="Verdana" w:hAnsi="Verdana"/>
              <w:bCs/>
              <w:sz w:val="20"/>
              <w:szCs w:val="20"/>
            </w:rPr>
            <w:t xml:space="preserve"> -</w:t>
          </w:r>
          <w:r w:rsidRPr="009F04CB">
            <w:rPr>
              <w:rFonts w:ascii="Verdana" w:hAnsi="Verdana"/>
              <w:sz w:val="20"/>
              <w:szCs w:val="20"/>
            </w:rPr>
            <w:t xml:space="preserve"> </w:t>
          </w:r>
        </w:p>
        <w:p w:rsidR="00861D1F" w:rsidRPr="009F04CB" w:rsidRDefault="00861D1F" w:rsidP="00841092">
          <w:pPr>
            <w:rPr>
              <w:rFonts w:ascii="Verdana" w:hAnsi="Verdana"/>
              <w:sz w:val="20"/>
              <w:szCs w:val="20"/>
            </w:rPr>
          </w:pPr>
          <w:r w:rsidRPr="009F04CB">
            <w:rPr>
              <w:rFonts w:ascii="Verdana" w:hAnsi="Verdana"/>
              <w:b/>
              <w:sz w:val="20"/>
              <w:szCs w:val="20"/>
            </w:rPr>
            <w:t>CAS number:</w:t>
          </w:r>
          <w:r w:rsidR="00A00126" w:rsidRPr="00A00126">
            <w:rPr>
              <w:rFonts w:ascii="Verdana" w:hAnsi="Verdana"/>
              <w:bCs/>
              <w:sz w:val="20"/>
              <w:szCs w:val="20"/>
            </w:rPr>
            <w:t xml:space="preserve"> -</w:t>
          </w:r>
          <w:r w:rsidRPr="009F04CB">
            <w:rPr>
              <w:rFonts w:ascii="Verdana" w:hAnsi="Verdana"/>
              <w:sz w:val="20"/>
              <w:szCs w:val="20"/>
            </w:rPr>
            <w:t xml:space="preserve"> </w:t>
          </w:r>
        </w:p>
      </w:tc>
      <w:tc>
        <w:tcPr>
          <w:tcW w:w="3242" w:type="pct"/>
        </w:tcPr>
        <w:p w:rsidR="00861D1F" w:rsidRPr="009F04CB" w:rsidRDefault="00861D1F" w:rsidP="005F3D13">
          <w:pPr>
            <w:pStyle w:val="Header"/>
            <w:jc w:val="right"/>
          </w:pPr>
          <w:r w:rsidRPr="009F04CB">
            <w:t>Comments and response to comments on SEAC draft</w:t>
          </w:r>
          <w:r w:rsidR="005F3D13" w:rsidRPr="009F04CB">
            <w:t xml:space="preserve"> </w:t>
          </w:r>
          <w:r w:rsidRPr="009F04CB">
            <w:t>opinion on</w:t>
          </w:r>
          <w:r w:rsidR="00841092" w:rsidRPr="009F04CB">
            <w:t xml:space="preserve"> </w:t>
          </w:r>
          <w:r w:rsidRPr="009F04CB">
            <w:t xml:space="preserve">Annex XV restriction </w:t>
          </w:r>
          <w:r w:rsidR="00E10C9C">
            <w:t>report</w:t>
          </w:r>
          <w:r w:rsidRPr="009F04CB">
            <w:t xml:space="preserve"> </w:t>
          </w:r>
        </w:p>
        <w:p w:rsidR="00861D1F" w:rsidRPr="009F04CB" w:rsidRDefault="00861D1F" w:rsidP="00A00126">
          <w:pPr>
            <w:pStyle w:val="Header"/>
            <w:jc w:val="right"/>
            <w:rPr>
              <w:noProof/>
            </w:rPr>
          </w:pPr>
          <w:r w:rsidRPr="009F04CB">
            <w:rPr>
              <w:noProof/>
            </w:rPr>
            <w:t xml:space="preserve">submitted by </w:t>
          </w:r>
          <w:r w:rsidR="00A00126">
            <w:rPr>
              <w:b/>
              <w:noProof/>
            </w:rPr>
            <w:t>Norway</w:t>
          </w:r>
          <w:r w:rsidR="009F04CB">
            <w:rPr>
              <w:noProof/>
            </w:rPr>
            <w:t xml:space="preserve"> on</w:t>
          </w:r>
          <w:r w:rsidR="00A00126">
            <w:rPr>
              <w:noProof/>
            </w:rPr>
            <w:t xml:space="preserve"> </w:t>
          </w:r>
          <w:r w:rsidR="00A00126" w:rsidRPr="00A00126">
            <w:rPr>
              <w:b/>
              <w:noProof/>
            </w:rPr>
            <w:t>12/04/2019</w:t>
          </w:r>
        </w:p>
        <w:p w:rsidR="00861D1F" w:rsidRPr="009F04CB" w:rsidRDefault="00861D1F" w:rsidP="009F04CB">
          <w:pPr>
            <w:pStyle w:val="Header"/>
            <w:jc w:val="right"/>
          </w:pPr>
          <w:r w:rsidRPr="009F04CB">
            <w:rPr>
              <w:noProof/>
            </w:rPr>
            <w:t xml:space="preserve">Public consultation on SEAC draft opinion started on </w:t>
          </w:r>
          <w:r w:rsidR="00A00126" w:rsidRPr="00A00126">
            <w:rPr>
              <w:b/>
              <w:noProof/>
            </w:rPr>
            <w:t>19/06/2019</w:t>
          </w:r>
        </w:p>
      </w:tc>
    </w:tr>
  </w:tbl>
  <w:p w:rsidR="00861D1F" w:rsidRDefault="00861D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3A20A2"/>
    <w:multiLevelType w:val="hybridMultilevel"/>
    <w:tmpl w:val="80DAAC40"/>
    <w:lvl w:ilvl="0" w:tplc="9BA6A3BA">
      <w:start w:val="1"/>
      <w:numFmt w:val="decimal"/>
      <w:lvlText w:val="%1."/>
      <w:lvlJc w:val="left"/>
      <w:pPr>
        <w:ind w:left="72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447925E3"/>
    <w:multiLevelType w:val="multilevel"/>
    <w:tmpl w:val="17265C0A"/>
    <w:styleLink w:val="ECHABulletlist"/>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0A1E25"/>
    <w:multiLevelType w:val="multilevel"/>
    <w:tmpl w:val="48AA0558"/>
    <w:styleLink w:val="ECHANumberlist"/>
    <w:lvl w:ilvl="0">
      <w:start w:val="1"/>
      <w:numFmt w:val="decimal"/>
      <w:lvlText w:val="%1."/>
      <w:lvlJc w:val="left"/>
      <w:pPr>
        <w:tabs>
          <w:tab w:val="num" w:pos="720"/>
        </w:tabs>
        <w:ind w:left="720" w:hanging="360"/>
      </w:pPr>
      <w:rPr>
        <w:rFonts w:ascii="Verdana" w:hAnsi="Verdana" w:cs="Times New Roman"/>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7C871AFA"/>
    <w:multiLevelType w:val="multilevel"/>
    <w:tmpl w:val="250224A4"/>
    <w:lvl w:ilvl="0">
      <w:start w:val="1"/>
      <w:numFmt w:val="bullet"/>
      <w:pStyle w:val="BulletedList1-usermanual"/>
      <w:lvlText w:val=""/>
      <w:lvlJc w:val="left"/>
      <w:pPr>
        <w:tabs>
          <w:tab w:val="num" w:pos="927"/>
        </w:tabs>
        <w:ind w:left="92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4E600F"/>
    <w:rsid w:val="00046048"/>
    <w:rsid w:val="00055B3E"/>
    <w:rsid w:val="000A3888"/>
    <w:rsid w:val="000F11E0"/>
    <w:rsid w:val="0011133A"/>
    <w:rsid w:val="00130FA9"/>
    <w:rsid w:val="00160929"/>
    <w:rsid w:val="00175D02"/>
    <w:rsid w:val="00177758"/>
    <w:rsid w:val="00195C79"/>
    <w:rsid w:val="001B28E8"/>
    <w:rsid w:val="001D714B"/>
    <w:rsid w:val="001D74A5"/>
    <w:rsid w:val="001F0C42"/>
    <w:rsid w:val="001F5EF4"/>
    <w:rsid w:val="00204DB2"/>
    <w:rsid w:val="0021692B"/>
    <w:rsid w:val="0024054A"/>
    <w:rsid w:val="0026226A"/>
    <w:rsid w:val="002914A5"/>
    <w:rsid w:val="002B682A"/>
    <w:rsid w:val="00305B77"/>
    <w:rsid w:val="00312940"/>
    <w:rsid w:val="003331F5"/>
    <w:rsid w:val="00351199"/>
    <w:rsid w:val="00351401"/>
    <w:rsid w:val="00362C50"/>
    <w:rsid w:val="003A5532"/>
    <w:rsid w:val="003B4C97"/>
    <w:rsid w:val="003B6450"/>
    <w:rsid w:val="003B664D"/>
    <w:rsid w:val="003B6D57"/>
    <w:rsid w:val="00413620"/>
    <w:rsid w:val="00415FA7"/>
    <w:rsid w:val="0042738F"/>
    <w:rsid w:val="004569ED"/>
    <w:rsid w:val="004752A1"/>
    <w:rsid w:val="00475919"/>
    <w:rsid w:val="004E1F9E"/>
    <w:rsid w:val="004E28C6"/>
    <w:rsid w:val="004E4F8C"/>
    <w:rsid w:val="004E600F"/>
    <w:rsid w:val="004F0375"/>
    <w:rsid w:val="004F1AF3"/>
    <w:rsid w:val="005079BD"/>
    <w:rsid w:val="00510BB8"/>
    <w:rsid w:val="00511FD2"/>
    <w:rsid w:val="00524EFD"/>
    <w:rsid w:val="00530EFF"/>
    <w:rsid w:val="0053655C"/>
    <w:rsid w:val="005609AC"/>
    <w:rsid w:val="00566845"/>
    <w:rsid w:val="005708C7"/>
    <w:rsid w:val="005C4EAC"/>
    <w:rsid w:val="005E50D5"/>
    <w:rsid w:val="005F3D13"/>
    <w:rsid w:val="006526A8"/>
    <w:rsid w:val="00665052"/>
    <w:rsid w:val="00674507"/>
    <w:rsid w:val="00682798"/>
    <w:rsid w:val="006B2F6E"/>
    <w:rsid w:val="006B7316"/>
    <w:rsid w:val="006C0833"/>
    <w:rsid w:val="006F5E82"/>
    <w:rsid w:val="00721F36"/>
    <w:rsid w:val="007321BB"/>
    <w:rsid w:val="00790245"/>
    <w:rsid w:val="007A33B9"/>
    <w:rsid w:val="007A4E18"/>
    <w:rsid w:val="007A584D"/>
    <w:rsid w:val="007A5997"/>
    <w:rsid w:val="007B2205"/>
    <w:rsid w:val="00825E28"/>
    <w:rsid w:val="00832697"/>
    <w:rsid w:val="00841092"/>
    <w:rsid w:val="00847AA9"/>
    <w:rsid w:val="00860F73"/>
    <w:rsid w:val="00861D1F"/>
    <w:rsid w:val="00864B57"/>
    <w:rsid w:val="00872285"/>
    <w:rsid w:val="008B465D"/>
    <w:rsid w:val="008C7149"/>
    <w:rsid w:val="008D0A06"/>
    <w:rsid w:val="008F5E07"/>
    <w:rsid w:val="009218B8"/>
    <w:rsid w:val="0092392F"/>
    <w:rsid w:val="00925B92"/>
    <w:rsid w:val="00936D5B"/>
    <w:rsid w:val="00941FDB"/>
    <w:rsid w:val="00975799"/>
    <w:rsid w:val="0099208E"/>
    <w:rsid w:val="00995969"/>
    <w:rsid w:val="009C257E"/>
    <w:rsid w:val="009F04CB"/>
    <w:rsid w:val="009F50E6"/>
    <w:rsid w:val="009F535A"/>
    <w:rsid w:val="00A00126"/>
    <w:rsid w:val="00A05AC2"/>
    <w:rsid w:val="00A4115C"/>
    <w:rsid w:val="00A41899"/>
    <w:rsid w:val="00A41B5E"/>
    <w:rsid w:val="00A41FF0"/>
    <w:rsid w:val="00A4683D"/>
    <w:rsid w:val="00A71291"/>
    <w:rsid w:val="00AA2BBF"/>
    <w:rsid w:val="00AF1593"/>
    <w:rsid w:val="00B06E29"/>
    <w:rsid w:val="00B330EF"/>
    <w:rsid w:val="00B43654"/>
    <w:rsid w:val="00B607D8"/>
    <w:rsid w:val="00B6273D"/>
    <w:rsid w:val="00B904DC"/>
    <w:rsid w:val="00BB0C3A"/>
    <w:rsid w:val="00BC08DE"/>
    <w:rsid w:val="00BE06E2"/>
    <w:rsid w:val="00C20FE2"/>
    <w:rsid w:val="00C36225"/>
    <w:rsid w:val="00C65E7F"/>
    <w:rsid w:val="00CA3668"/>
    <w:rsid w:val="00CC114B"/>
    <w:rsid w:val="00D04471"/>
    <w:rsid w:val="00D06866"/>
    <w:rsid w:val="00D277D7"/>
    <w:rsid w:val="00D45901"/>
    <w:rsid w:val="00D90596"/>
    <w:rsid w:val="00DA79B8"/>
    <w:rsid w:val="00DB0F2D"/>
    <w:rsid w:val="00DF6D17"/>
    <w:rsid w:val="00E10C9C"/>
    <w:rsid w:val="00E15C51"/>
    <w:rsid w:val="00F308F6"/>
    <w:rsid w:val="00F91D3A"/>
    <w:rsid w:val="00FA3E36"/>
    <w:rsid w:val="00FA4A51"/>
    <w:rsid w:val="00FB6710"/>
    <w:rsid w:val="00FD4501"/>
    <w:rsid w:val="00FF3608"/>
    <w:rsid w:val="00FF4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156BDDE-E0A9-4F8A-9C8C-117892153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00F"/>
    <w:pPr>
      <w:spacing w:after="0" w:line="240" w:lineRule="auto"/>
    </w:pPr>
    <w:rPr>
      <w:rFonts w:ascii="Times New Roman" w:hAnsi="Times New Roman" w:cs="Times New Roman"/>
      <w:sz w:val="24"/>
      <w:szCs w:val="24"/>
      <w:lang w:eastAsia="en-GB"/>
    </w:rPr>
  </w:style>
  <w:style w:type="paragraph" w:styleId="Heading1">
    <w:name w:val="heading 1"/>
    <w:aliases w:val="ECHA Heading 1"/>
    <w:basedOn w:val="Normal"/>
    <w:next w:val="BodyText"/>
    <w:link w:val="Heading1Char"/>
    <w:uiPriority w:val="9"/>
    <w:qFormat/>
    <w:rsid w:val="00A41B5E"/>
    <w:pPr>
      <w:keepNext/>
      <w:keepLines/>
      <w:widowControl w:val="0"/>
      <w:spacing w:after="240"/>
      <w:outlineLvl w:val="0"/>
    </w:pPr>
    <w:rPr>
      <w:rFonts w:ascii="Verdana" w:hAnsi="Verdana"/>
      <w:b/>
      <w:color w:val="0046AD"/>
      <w:sz w:val="28"/>
      <w:lang w:eastAsia="fi-FI"/>
    </w:rPr>
  </w:style>
  <w:style w:type="paragraph" w:styleId="Heading2">
    <w:name w:val="heading 2"/>
    <w:aliases w:val="ECHA Heading 2"/>
    <w:basedOn w:val="Heading1"/>
    <w:next w:val="BodyText"/>
    <w:link w:val="Heading2Char"/>
    <w:uiPriority w:val="9"/>
    <w:qFormat/>
    <w:rsid w:val="00A41B5E"/>
    <w:pPr>
      <w:outlineLvl w:val="1"/>
    </w:pPr>
    <w:rPr>
      <w:rFonts w:cs="Arial"/>
      <w:sz w:val="24"/>
      <w:szCs w:val="22"/>
    </w:rPr>
  </w:style>
  <w:style w:type="paragraph" w:styleId="Heading3">
    <w:name w:val="heading 3"/>
    <w:aliases w:val="ECHA Heading 3"/>
    <w:basedOn w:val="Heading2"/>
    <w:next w:val="BodyText"/>
    <w:link w:val="Heading3Char"/>
    <w:uiPriority w:val="9"/>
    <w:qFormat/>
    <w:rsid w:val="00A41B5E"/>
    <w:pPr>
      <w:outlineLvl w:val="2"/>
    </w:pPr>
    <w:rPr>
      <w:bCs/>
      <w:color w:val="000000"/>
      <w:sz w:val="22"/>
    </w:rPr>
  </w:style>
  <w:style w:type="paragraph" w:styleId="Heading4">
    <w:name w:val="heading 4"/>
    <w:aliases w:val="ECHA Heading 4"/>
    <w:basedOn w:val="Heading3"/>
    <w:next w:val="BodyText"/>
    <w:link w:val="Heading4Char"/>
    <w:uiPriority w:val="9"/>
    <w:qFormat/>
    <w:rsid w:val="00A41B5E"/>
    <w:pPr>
      <w:outlineLvl w:val="3"/>
    </w:pPr>
    <w:rPr>
      <w:b w:val="0"/>
      <w:bCs w:val="0"/>
      <w:szCs w:val="28"/>
    </w:rPr>
  </w:style>
  <w:style w:type="paragraph" w:styleId="Heading5">
    <w:name w:val="heading 5"/>
    <w:aliases w:val="ECHA Heading 5"/>
    <w:basedOn w:val="Heading3"/>
    <w:next w:val="BodyText"/>
    <w:link w:val="Heading5Char"/>
    <w:uiPriority w:val="9"/>
    <w:qFormat/>
    <w:rsid w:val="00A41B5E"/>
    <w:pPr>
      <w:outlineLvl w:val="4"/>
    </w:pPr>
    <w:rPr>
      <w:bCs w:val="0"/>
      <w:iCs/>
      <w:sz w:val="20"/>
      <w:szCs w:val="26"/>
    </w:rPr>
  </w:style>
  <w:style w:type="paragraph" w:styleId="Heading6">
    <w:name w:val="heading 6"/>
    <w:aliases w:val="ECHA Heading 6"/>
    <w:basedOn w:val="Heading5"/>
    <w:next w:val="BodyText"/>
    <w:link w:val="Heading6Char"/>
    <w:uiPriority w:val="9"/>
    <w:qFormat/>
    <w:rsid w:val="00A41B5E"/>
    <w:pPr>
      <w:outlineLvl w:val="5"/>
    </w:pPr>
    <w:rPr>
      <w:bCs/>
      <w:szCs w:val="22"/>
    </w:rPr>
  </w:style>
  <w:style w:type="paragraph" w:styleId="Heading7">
    <w:name w:val="heading 7"/>
    <w:aliases w:val="ECHA Heading 7"/>
    <w:basedOn w:val="Heading5"/>
    <w:next w:val="BodyText"/>
    <w:link w:val="Heading7Char"/>
    <w:uiPriority w:val="9"/>
    <w:qFormat/>
    <w:rsid w:val="00A41B5E"/>
    <w:pPr>
      <w:outlineLvl w:val="6"/>
    </w:pPr>
    <w:rPr>
      <w:szCs w:val="24"/>
    </w:rPr>
  </w:style>
  <w:style w:type="paragraph" w:styleId="Heading8">
    <w:name w:val="heading 8"/>
    <w:aliases w:val="ECHA Heading 8"/>
    <w:basedOn w:val="Heading5"/>
    <w:next w:val="BodyText"/>
    <w:link w:val="Heading8Char"/>
    <w:uiPriority w:val="9"/>
    <w:qFormat/>
    <w:rsid w:val="00A41B5E"/>
    <w:pPr>
      <w:outlineLvl w:val="7"/>
    </w:pPr>
    <w:rPr>
      <w:iCs w:val="0"/>
      <w:szCs w:val="24"/>
    </w:rPr>
  </w:style>
  <w:style w:type="paragraph" w:styleId="Heading9">
    <w:name w:val="heading 9"/>
    <w:aliases w:val="ECHA Heading 9"/>
    <w:basedOn w:val="Heading5"/>
    <w:next w:val="BodyText"/>
    <w:link w:val="Heading9Char"/>
    <w:uiPriority w:val="9"/>
    <w:qFormat/>
    <w:rsid w:val="00A41B5E"/>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HA Heading 1 Char"/>
    <w:basedOn w:val="DefaultParagraphFont"/>
    <w:link w:val="Heading1"/>
    <w:uiPriority w:val="9"/>
    <w:locked/>
    <w:rsid w:val="00682798"/>
    <w:rPr>
      <w:rFonts w:ascii="Verdana" w:hAnsi="Verdana" w:cs="Times New Roman"/>
      <w:b/>
      <w:color w:val="0046AD"/>
      <w:sz w:val="24"/>
      <w:szCs w:val="24"/>
      <w:lang w:val="x-none" w:eastAsia="fi-FI"/>
    </w:rPr>
  </w:style>
  <w:style w:type="character" w:customStyle="1" w:styleId="Heading2Char">
    <w:name w:val="Heading 2 Char"/>
    <w:aliases w:val="ECHA Heading 2 Char"/>
    <w:basedOn w:val="DefaultParagraphFont"/>
    <w:link w:val="Heading2"/>
    <w:uiPriority w:val="9"/>
    <w:locked/>
    <w:rsid w:val="00682798"/>
    <w:rPr>
      <w:rFonts w:ascii="Verdana" w:hAnsi="Verdana" w:cs="Arial"/>
      <w:b/>
      <w:color w:val="0046AD"/>
      <w:sz w:val="24"/>
      <w:lang w:val="x-none" w:eastAsia="fi-FI"/>
    </w:rPr>
  </w:style>
  <w:style w:type="character" w:customStyle="1" w:styleId="Heading3Char">
    <w:name w:val="Heading 3 Char"/>
    <w:aliases w:val="ECHA Heading 3 Char"/>
    <w:basedOn w:val="DefaultParagraphFont"/>
    <w:link w:val="Heading3"/>
    <w:uiPriority w:val="9"/>
    <w:locked/>
    <w:rsid w:val="00682798"/>
    <w:rPr>
      <w:rFonts w:ascii="Verdana" w:hAnsi="Verdana" w:cs="Arial"/>
      <w:b/>
      <w:bCs/>
      <w:color w:val="000000"/>
      <w:lang w:val="x-none" w:eastAsia="fi-FI"/>
    </w:rPr>
  </w:style>
  <w:style w:type="character" w:customStyle="1" w:styleId="Heading4Char">
    <w:name w:val="Heading 4 Char"/>
    <w:aliases w:val="ECHA Heading 4 Char"/>
    <w:basedOn w:val="DefaultParagraphFont"/>
    <w:link w:val="Heading4"/>
    <w:uiPriority w:val="9"/>
    <w:locked/>
    <w:rsid w:val="00682798"/>
    <w:rPr>
      <w:rFonts w:ascii="Verdana" w:hAnsi="Verdana" w:cs="Arial"/>
      <w:color w:val="000000"/>
      <w:sz w:val="28"/>
      <w:szCs w:val="28"/>
      <w:lang w:val="x-none" w:eastAsia="fi-FI"/>
    </w:rPr>
  </w:style>
  <w:style w:type="character" w:customStyle="1" w:styleId="Heading5Char">
    <w:name w:val="Heading 5 Char"/>
    <w:aliases w:val="ECHA Heading 5 Char"/>
    <w:basedOn w:val="DefaultParagraphFont"/>
    <w:link w:val="Heading5"/>
    <w:uiPriority w:val="9"/>
    <w:locked/>
    <w:rsid w:val="00682798"/>
    <w:rPr>
      <w:rFonts w:ascii="Verdana" w:hAnsi="Verdana" w:cs="Arial"/>
      <w:b/>
      <w:iCs/>
      <w:color w:val="000000"/>
      <w:sz w:val="26"/>
      <w:szCs w:val="26"/>
      <w:lang w:val="x-none" w:eastAsia="fi-FI"/>
    </w:rPr>
  </w:style>
  <w:style w:type="character" w:customStyle="1" w:styleId="Heading6Char">
    <w:name w:val="Heading 6 Char"/>
    <w:aliases w:val="ECHA Heading 6 Char"/>
    <w:basedOn w:val="DefaultParagraphFont"/>
    <w:link w:val="Heading6"/>
    <w:uiPriority w:val="9"/>
    <w:locked/>
    <w:rsid w:val="00682798"/>
    <w:rPr>
      <w:rFonts w:ascii="Verdana" w:hAnsi="Verdana" w:cs="Arial"/>
      <w:b/>
      <w:bCs/>
      <w:iCs/>
      <w:color w:val="000000"/>
      <w:sz w:val="20"/>
      <w:lang w:val="x-none" w:eastAsia="fi-FI"/>
    </w:rPr>
  </w:style>
  <w:style w:type="character" w:customStyle="1" w:styleId="Heading7Char">
    <w:name w:val="Heading 7 Char"/>
    <w:aliases w:val="ECHA Heading 7 Char"/>
    <w:basedOn w:val="DefaultParagraphFont"/>
    <w:link w:val="Heading7"/>
    <w:uiPriority w:val="9"/>
    <w:locked/>
    <w:rsid w:val="00682798"/>
    <w:rPr>
      <w:rFonts w:ascii="Verdana" w:hAnsi="Verdana" w:cs="Arial"/>
      <w:b/>
      <w:iCs/>
      <w:color w:val="000000"/>
      <w:sz w:val="24"/>
      <w:szCs w:val="24"/>
      <w:lang w:val="x-none" w:eastAsia="fi-FI"/>
    </w:rPr>
  </w:style>
  <w:style w:type="character" w:customStyle="1" w:styleId="Heading8Char">
    <w:name w:val="Heading 8 Char"/>
    <w:aliases w:val="ECHA Heading 8 Char"/>
    <w:basedOn w:val="DefaultParagraphFont"/>
    <w:link w:val="Heading8"/>
    <w:uiPriority w:val="9"/>
    <w:locked/>
    <w:rsid w:val="00682798"/>
    <w:rPr>
      <w:rFonts w:ascii="Verdana" w:hAnsi="Verdana" w:cs="Arial"/>
      <w:b/>
      <w:color w:val="000000"/>
      <w:sz w:val="24"/>
      <w:szCs w:val="24"/>
      <w:lang w:val="x-none" w:eastAsia="fi-FI"/>
    </w:rPr>
  </w:style>
  <w:style w:type="character" w:customStyle="1" w:styleId="Heading9Char">
    <w:name w:val="Heading 9 Char"/>
    <w:aliases w:val="ECHA Heading 9 Char"/>
    <w:basedOn w:val="DefaultParagraphFont"/>
    <w:link w:val="Heading9"/>
    <w:uiPriority w:val="9"/>
    <w:locked/>
    <w:rsid w:val="00682798"/>
    <w:rPr>
      <w:rFonts w:ascii="Verdana" w:hAnsi="Verdana" w:cs="Arial"/>
      <w:b/>
      <w:iCs/>
      <w:color w:val="000000"/>
      <w:sz w:val="20"/>
      <w:lang w:val="x-none" w:eastAsia="fi-FI"/>
    </w:rPr>
  </w:style>
  <w:style w:type="paragraph" w:styleId="BodyText">
    <w:name w:val="Body Text"/>
    <w:aliases w:val="Text"/>
    <w:basedOn w:val="Normal"/>
    <w:link w:val="BodyTextChar"/>
    <w:uiPriority w:val="99"/>
    <w:rsid w:val="00A41B5E"/>
    <w:pPr>
      <w:widowControl w:val="0"/>
      <w:spacing w:after="240"/>
    </w:pPr>
    <w:rPr>
      <w:rFonts w:ascii="Verdana" w:hAnsi="Verdana"/>
      <w:sz w:val="20"/>
      <w:szCs w:val="20"/>
      <w:lang w:eastAsia="fi-FI"/>
    </w:rPr>
  </w:style>
  <w:style w:type="character" w:customStyle="1" w:styleId="BodyTextChar">
    <w:name w:val="Body Text Char"/>
    <w:aliases w:val="Text Char"/>
    <w:basedOn w:val="DefaultParagraphFont"/>
    <w:link w:val="BodyText"/>
    <w:uiPriority w:val="99"/>
    <w:locked/>
    <w:rsid w:val="00682798"/>
    <w:rPr>
      <w:rFonts w:ascii="Verdana" w:hAnsi="Verdana" w:cs="Times New Roman"/>
      <w:sz w:val="20"/>
      <w:szCs w:val="20"/>
      <w:lang w:val="x-none" w:eastAsia="fi-FI"/>
    </w:rPr>
  </w:style>
  <w:style w:type="paragraph" w:styleId="Title">
    <w:name w:val="Title"/>
    <w:aliases w:val="ECHA Heading"/>
    <w:basedOn w:val="Heading1"/>
    <w:next w:val="BodyText"/>
    <w:link w:val="TitleChar"/>
    <w:uiPriority w:val="10"/>
    <w:qFormat/>
    <w:rsid w:val="00A41B5E"/>
    <w:rPr>
      <w:rFonts w:cs="Arial"/>
      <w:bCs/>
      <w:szCs w:val="32"/>
    </w:rPr>
  </w:style>
  <w:style w:type="character" w:customStyle="1" w:styleId="TitleChar">
    <w:name w:val="Title Char"/>
    <w:aliases w:val="ECHA Heading Char"/>
    <w:basedOn w:val="DefaultParagraphFont"/>
    <w:link w:val="Title"/>
    <w:uiPriority w:val="10"/>
    <w:locked/>
    <w:rsid w:val="00682798"/>
    <w:rPr>
      <w:rFonts w:ascii="Verdana" w:hAnsi="Verdana" w:cs="Arial"/>
      <w:b/>
      <w:bCs/>
      <w:color w:val="0046AD"/>
      <w:sz w:val="32"/>
      <w:szCs w:val="32"/>
      <w:lang w:val="x-none" w:eastAsia="fi-FI"/>
    </w:rPr>
  </w:style>
  <w:style w:type="paragraph" w:styleId="BalloonText">
    <w:name w:val="Balloon Text"/>
    <w:basedOn w:val="Normal"/>
    <w:link w:val="BalloonTextChar"/>
    <w:uiPriority w:val="99"/>
    <w:semiHidden/>
    <w:rsid w:val="00A41B5E"/>
    <w:pPr>
      <w:widowControl w:val="0"/>
    </w:pPr>
    <w:rPr>
      <w:rFonts w:ascii="Tahoma" w:hAnsi="Tahoma" w:cs="Tahoma"/>
      <w:sz w:val="16"/>
      <w:szCs w:val="16"/>
      <w:lang w:eastAsia="fi-FI"/>
    </w:rPr>
  </w:style>
  <w:style w:type="character" w:customStyle="1" w:styleId="BalloonTextChar">
    <w:name w:val="Balloon Text Char"/>
    <w:basedOn w:val="DefaultParagraphFont"/>
    <w:link w:val="BalloonText"/>
    <w:uiPriority w:val="99"/>
    <w:semiHidden/>
    <w:locked/>
    <w:rsid w:val="00A41B5E"/>
    <w:rPr>
      <w:rFonts w:ascii="Tahoma" w:hAnsi="Tahoma" w:cs="Tahoma"/>
      <w:sz w:val="16"/>
      <w:szCs w:val="16"/>
      <w:lang w:val="x-none" w:eastAsia="fi-FI"/>
    </w:rPr>
  </w:style>
  <w:style w:type="paragraph" w:styleId="BodyTextFirstIndent">
    <w:name w:val="Body Text First Indent"/>
    <w:basedOn w:val="BodyText"/>
    <w:link w:val="BodyTextFirstIndentChar"/>
    <w:uiPriority w:val="99"/>
    <w:semiHidden/>
    <w:rsid w:val="00A41B5E"/>
    <w:pPr>
      <w:spacing w:after="120"/>
      <w:ind w:firstLine="210"/>
    </w:pPr>
  </w:style>
  <w:style w:type="character" w:customStyle="1" w:styleId="BodyTextFirstIndentChar">
    <w:name w:val="Body Text First Indent Char"/>
    <w:basedOn w:val="BodyTextChar"/>
    <w:link w:val="BodyTextFirstIndent"/>
    <w:uiPriority w:val="99"/>
    <w:semiHidden/>
    <w:locked/>
    <w:rsid w:val="00A41B5E"/>
    <w:rPr>
      <w:rFonts w:ascii="Verdana" w:hAnsi="Verdana" w:cs="Times New Roman"/>
      <w:sz w:val="20"/>
      <w:szCs w:val="20"/>
      <w:lang w:val="x-none" w:eastAsia="fi-FI"/>
    </w:rPr>
  </w:style>
  <w:style w:type="paragraph" w:styleId="BodyTextIndent">
    <w:name w:val="Body Text Indent"/>
    <w:basedOn w:val="Normal"/>
    <w:link w:val="BodyTextIndentChar"/>
    <w:uiPriority w:val="99"/>
    <w:semiHidden/>
    <w:unhideWhenUsed/>
    <w:rsid w:val="00A41B5E"/>
    <w:pPr>
      <w:widowControl w:val="0"/>
      <w:spacing w:after="120"/>
      <w:ind w:left="283"/>
    </w:pPr>
    <w:rPr>
      <w:rFonts w:ascii="Verdana" w:hAnsi="Verdana"/>
      <w:sz w:val="20"/>
      <w:szCs w:val="20"/>
      <w:lang w:eastAsia="fi-FI"/>
    </w:rPr>
  </w:style>
  <w:style w:type="character" w:customStyle="1" w:styleId="BodyTextIndentChar">
    <w:name w:val="Body Text Indent Char"/>
    <w:basedOn w:val="DefaultParagraphFont"/>
    <w:link w:val="BodyTextIndent"/>
    <w:uiPriority w:val="99"/>
    <w:semiHidden/>
    <w:locked/>
    <w:rsid w:val="00A41B5E"/>
    <w:rPr>
      <w:rFonts w:ascii="Verdana" w:hAnsi="Verdana" w:cs="Times New Roman"/>
      <w:sz w:val="20"/>
      <w:szCs w:val="20"/>
      <w:lang w:val="x-none" w:eastAsia="fi-FI"/>
    </w:rPr>
  </w:style>
  <w:style w:type="paragraph" w:styleId="BodyTextFirstIndent2">
    <w:name w:val="Body Text First Indent 2"/>
    <w:basedOn w:val="Normal"/>
    <w:link w:val="BodyTextFirstIndent2Char"/>
    <w:uiPriority w:val="99"/>
    <w:semiHidden/>
    <w:rsid w:val="00A41B5E"/>
    <w:pPr>
      <w:widowControl w:val="0"/>
      <w:spacing w:after="120"/>
      <w:ind w:left="283" w:firstLine="210"/>
    </w:pPr>
    <w:rPr>
      <w:rFonts w:ascii="Verdana" w:hAnsi="Verdana"/>
      <w:sz w:val="20"/>
      <w:szCs w:val="20"/>
      <w:lang w:eastAsia="fi-FI"/>
    </w:rPr>
  </w:style>
  <w:style w:type="character" w:customStyle="1" w:styleId="BodyTextFirstIndent2Char">
    <w:name w:val="Body Text First Indent 2 Char"/>
    <w:basedOn w:val="BodyTextIndentChar"/>
    <w:link w:val="BodyTextFirstIndent2"/>
    <w:uiPriority w:val="99"/>
    <w:semiHidden/>
    <w:locked/>
    <w:rsid w:val="00A41B5E"/>
    <w:rPr>
      <w:rFonts w:ascii="Verdana" w:hAnsi="Verdana" w:cs="Times New Roman"/>
      <w:sz w:val="20"/>
      <w:szCs w:val="20"/>
      <w:lang w:val="x-none" w:eastAsia="fi-FI"/>
    </w:rPr>
  </w:style>
  <w:style w:type="character" w:customStyle="1" w:styleId="Bold">
    <w:name w:val="Bold"/>
    <w:basedOn w:val="DefaultParagraphFont"/>
    <w:rsid w:val="00A41B5E"/>
    <w:rPr>
      <w:rFonts w:ascii="Verdana" w:hAnsi="Verdana" w:cs="Times New Roman"/>
      <w:b/>
      <w:sz w:val="20"/>
    </w:rPr>
  </w:style>
  <w:style w:type="paragraph" w:customStyle="1" w:styleId="BulletedList1-usermanual">
    <w:name w:val="Bulleted List 1 - user manual"/>
    <w:basedOn w:val="Normal"/>
    <w:rsid w:val="00A41B5E"/>
    <w:pPr>
      <w:widowControl w:val="0"/>
      <w:numPr>
        <w:numId w:val="3"/>
      </w:numPr>
      <w:spacing w:line="360" w:lineRule="auto"/>
    </w:pPr>
    <w:rPr>
      <w:rFonts w:ascii="Verdana" w:hAnsi="Verdana"/>
      <w:sz w:val="20"/>
      <w:szCs w:val="20"/>
      <w:lang w:eastAsia="fi-FI"/>
    </w:rPr>
  </w:style>
  <w:style w:type="character" w:styleId="CommentReference">
    <w:name w:val="annotation reference"/>
    <w:basedOn w:val="DefaultParagraphFont"/>
    <w:uiPriority w:val="99"/>
    <w:rsid w:val="00A41B5E"/>
    <w:rPr>
      <w:rFonts w:cs="Times New Roman"/>
      <w:sz w:val="16"/>
      <w:szCs w:val="16"/>
    </w:rPr>
  </w:style>
  <w:style w:type="paragraph" w:styleId="CommentText">
    <w:name w:val="annotation text"/>
    <w:basedOn w:val="Normal"/>
    <w:link w:val="CommentTextChar"/>
    <w:uiPriority w:val="99"/>
    <w:semiHidden/>
    <w:rsid w:val="00A41B5E"/>
    <w:pPr>
      <w:widowControl w:val="0"/>
    </w:pPr>
    <w:rPr>
      <w:rFonts w:ascii="Verdana" w:hAnsi="Verdana"/>
      <w:sz w:val="20"/>
      <w:szCs w:val="20"/>
      <w:lang w:eastAsia="fi-FI"/>
    </w:rPr>
  </w:style>
  <w:style w:type="character" w:customStyle="1" w:styleId="CommentTextChar">
    <w:name w:val="Comment Text Char"/>
    <w:basedOn w:val="DefaultParagraphFont"/>
    <w:link w:val="CommentText"/>
    <w:uiPriority w:val="99"/>
    <w:semiHidden/>
    <w:locked/>
    <w:rsid w:val="00A41B5E"/>
    <w:rPr>
      <w:rFonts w:ascii="Verdana" w:hAnsi="Verdana" w:cs="Times New Roman"/>
      <w:sz w:val="20"/>
      <w:szCs w:val="20"/>
      <w:lang w:val="x-none" w:eastAsia="fi-FI"/>
    </w:rPr>
  </w:style>
  <w:style w:type="paragraph" w:styleId="CommentSubject">
    <w:name w:val="annotation subject"/>
    <w:basedOn w:val="CommentText"/>
    <w:next w:val="CommentText"/>
    <w:link w:val="CommentSubjectChar"/>
    <w:uiPriority w:val="99"/>
    <w:semiHidden/>
    <w:rsid w:val="00A41B5E"/>
    <w:rPr>
      <w:b/>
      <w:bCs/>
    </w:rPr>
  </w:style>
  <w:style w:type="character" w:customStyle="1" w:styleId="CommentSubjectChar">
    <w:name w:val="Comment Subject Char"/>
    <w:basedOn w:val="CommentTextChar"/>
    <w:link w:val="CommentSubject"/>
    <w:uiPriority w:val="99"/>
    <w:semiHidden/>
    <w:locked/>
    <w:rsid w:val="00A41B5E"/>
    <w:rPr>
      <w:rFonts w:ascii="Verdana" w:hAnsi="Verdana" w:cs="Times New Roman"/>
      <w:b/>
      <w:bCs/>
      <w:sz w:val="20"/>
      <w:szCs w:val="20"/>
      <w:lang w:val="x-none" w:eastAsia="fi-FI"/>
    </w:rPr>
  </w:style>
  <w:style w:type="paragraph" w:styleId="Footer">
    <w:name w:val="footer"/>
    <w:basedOn w:val="Normal"/>
    <w:link w:val="FooterChar"/>
    <w:uiPriority w:val="99"/>
    <w:rsid w:val="00A41B5E"/>
    <w:pPr>
      <w:widowControl w:val="0"/>
      <w:spacing w:line="160" w:lineRule="exact"/>
    </w:pPr>
    <w:rPr>
      <w:rFonts w:ascii="Verdana" w:hAnsi="Verdana"/>
      <w:spacing w:val="2"/>
      <w:sz w:val="13"/>
      <w:szCs w:val="20"/>
      <w:lang w:eastAsia="fi-FI"/>
    </w:rPr>
  </w:style>
  <w:style w:type="character" w:customStyle="1" w:styleId="FooterChar">
    <w:name w:val="Footer Char"/>
    <w:basedOn w:val="DefaultParagraphFont"/>
    <w:link w:val="Footer"/>
    <w:uiPriority w:val="99"/>
    <w:locked/>
    <w:rsid w:val="00A41B5E"/>
    <w:rPr>
      <w:rFonts w:ascii="Verdana" w:hAnsi="Verdana" w:cs="Times New Roman"/>
      <w:spacing w:val="2"/>
      <w:sz w:val="20"/>
      <w:szCs w:val="20"/>
      <w:lang w:val="x-none" w:eastAsia="fi-FI"/>
    </w:rPr>
  </w:style>
  <w:style w:type="paragraph" w:customStyle="1" w:styleId="Disclaimer">
    <w:name w:val="Disclaimer"/>
    <w:basedOn w:val="Footer"/>
    <w:rsid w:val="00A41B5E"/>
    <w:pPr>
      <w:spacing w:before="120" w:line="140" w:lineRule="exact"/>
    </w:pPr>
    <w:rPr>
      <w:spacing w:val="0"/>
      <w:sz w:val="11"/>
    </w:rPr>
  </w:style>
  <w:style w:type="character" w:styleId="FollowedHyperlink">
    <w:name w:val="FollowedHyperlink"/>
    <w:aliases w:val="Hyperlink opened"/>
    <w:basedOn w:val="DefaultParagraphFont"/>
    <w:uiPriority w:val="99"/>
    <w:rsid w:val="00A41B5E"/>
    <w:rPr>
      <w:rFonts w:ascii="Verdana" w:hAnsi="Verdana" w:cs="Times New Roman"/>
      <w:color w:val="800080"/>
      <w:sz w:val="20"/>
      <w:u w:val="single"/>
    </w:rPr>
  </w:style>
  <w:style w:type="character" w:styleId="FootnoteReference">
    <w:name w:val="footnote reference"/>
    <w:aliases w:val="Footnote"/>
    <w:basedOn w:val="DefaultParagraphFont"/>
    <w:uiPriority w:val="99"/>
    <w:semiHidden/>
    <w:rsid w:val="00A41B5E"/>
    <w:rPr>
      <w:rFonts w:ascii="Georgia" w:hAnsi="Georgia" w:cs="Times New Roman"/>
      <w:sz w:val="16"/>
      <w:vertAlign w:val="superscript"/>
    </w:rPr>
  </w:style>
  <w:style w:type="paragraph" w:styleId="FootnoteText">
    <w:name w:val="footnote text"/>
    <w:basedOn w:val="Normal"/>
    <w:link w:val="FootnoteTextChar"/>
    <w:uiPriority w:val="99"/>
    <w:semiHidden/>
    <w:rsid w:val="00A41B5E"/>
    <w:pPr>
      <w:widowControl w:val="0"/>
    </w:pPr>
    <w:rPr>
      <w:rFonts w:ascii="Verdana" w:hAnsi="Verdana"/>
      <w:sz w:val="20"/>
      <w:szCs w:val="20"/>
      <w:lang w:eastAsia="fi-FI"/>
    </w:rPr>
  </w:style>
  <w:style w:type="character" w:customStyle="1" w:styleId="FootnoteTextChar">
    <w:name w:val="Footnote Text Char"/>
    <w:basedOn w:val="DefaultParagraphFont"/>
    <w:link w:val="FootnoteText"/>
    <w:uiPriority w:val="99"/>
    <w:semiHidden/>
    <w:locked/>
    <w:rsid w:val="00A41B5E"/>
    <w:rPr>
      <w:rFonts w:ascii="Verdana" w:hAnsi="Verdana" w:cs="Times New Roman"/>
      <w:sz w:val="20"/>
      <w:szCs w:val="20"/>
      <w:lang w:val="x-none" w:eastAsia="fi-FI"/>
    </w:rPr>
  </w:style>
  <w:style w:type="paragraph" w:customStyle="1" w:styleId="Footnotes">
    <w:name w:val="Footnotes"/>
    <w:basedOn w:val="BodyText"/>
    <w:rsid w:val="00A41B5E"/>
    <w:rPr>
      <w:rFonts w:ascii="Georgia" w:hAnsi="Georgia"/>
      <w:sz w:val="18"/>
    </w:rPr>
  </w:style>
  <w:style w:type="paragraph" w:styleId="Header">
    <w:name w:val="header"/>
    <w:basedOn w:val="Normal"/>
    <w:link w:val="HeaderChar"/>
    <w:uiPriority w:val="99"/>
    <w:rsid w:val="00A41B5E"/>
    <w:pPr>
      <w:widowControl w:val="0"/>
      <w:tabs>
        <w:tab w:val="left" w:pos="4536"/>
        <w:tab w:val="left" w:pos="7088"/>
        <w:tab w:val="left" w:pos="8789"/>
      </w:tabs>
    </w:pPr>
    <w:rPr>
      <w:rFonts w:ascii="Verdana" w:hAnsi="Verdana"/>
      <w:sz w:val="20"/>
      <w:szCs w:val="20"/>
      <w:lang w:eastAsia="fi-FI"/>
    </w:rPr>
  </w:style>
  <w:style w:type="character" w:customStyle="1" w:styleId="HeaderChar">
    <w:name w:val="Header Char"/>
    <w:basedOn w:val="DefaultParagraphFont"/>
    <w:link w:val="Header"/>
    <w:uiPriority w:val="99"/>
    <w:locked/>
    <w:rsid w:val="00A41B5E"/>
    <w:rPr>
      <w:rFonts w:ascii="Verdana" w:hAnsi="Verdana" w:cs="Times New Roman"/>
      <w:sz w:val="20"/>
      <w:szCs w:val="20"/>
      <w:lang w:val="x-none" w:eastAsia="fi-FI"/>
    </w:rPr>
  </w:style>
  <w:style w:type="character" w:styleId="Hyperlink">
    <w:name w:val="Hyperlink"/>
    <w:basedOn w:val="DefaultParagraphFont"/>
    <w:uiPriority w:val="99"/>
    <w:rsid w:val="00A41B5E"/>
    <w:rPr>
      <w:rFonts w:ascii="Verdana" w:hAnsi="Verdana" w:cs="Times New Roman"/>
      <w:color w:val="0000FF"/>
      <w:sz w:val="20"/>
      <w:u w:val="single"/>
    </w:rPr>
  </w:style>
  <w:style w:type="character" w:customStyle="1" w:styleId="Italic">
    <w:name w:val="Italic"/>
    <w:basedOn w:val="DefaultParagraphFont"/>
    <w:rsid w:val="00A41B5E"/>
    <w:rPr>
      <w:rFonts w:ascii="Verdana" w:hAnsi="Verdana" w:cs="Times New Roman"/>
      <w:i/>
      <w:sz w:val="20"/>
    </w:rPr>
  </w:style>
  <w:style w:type="paragraph" w:customStyle="1" w:styleId="Leipteksti1">
    <w:name w:val="Leipäteksti1"/>
    <w:basedOn w:val="Normal"/>
    <w:semiHidden/>
    <w:rsid w:val="00A41B5E"/>
    <w:pPr>
      <w:ind w:left="2608"/>
    </w:pPr>
  </w:style>
  <w:style w:type="character" w:styleId="PageNumber">
    <w:name w:val="page number"/>
    <w:basedOn w:val="DefaultParagraphFont"/>
    <w:uiPriority w:val="99"/>
    <w:rsid w:val="00A41B5E"/>
    <w:rPr>
      <w:rFonts w:ascii="Verdana" w:hAnsi="Verdana" w:cs="Times New Roman"/>
      <w:sz w:val="20"/>
    </w:rPr>
  </w:style>
  <w:style w:type="table" w:styleId="TableGrid">
    <w:name w:val="Table Grid"/>
    <w:basedOn w:val="TableNormal"/>
    <w:uiPriority w:val="59"/>
    <w:rsid w:val="00A41B5E"/>
    <w:pPr>
      <w:widowControl w:val="0"/>
      <w:spacing w:after="0" w:line="240" w:lineRule="auto"/>
    </w:pPr>
    <w:rPr>
      <w:rFonts w:ascii="Verdana" w:hAnsi="Verdan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BodyText"/>
    <w:rsid w:val="00A41B5E"/>
    <w:pPr>
      <w:spacing w:after="120"/>
    </w:pPr>
    <w:rPr>
      <w:b/>
      <w:color w:val="FFCC00"/>
      <w:sz w:val="18"/>
      <w:szCs w:val="18"/>
    </w:rPr>
  </w:style>
  <w:style w:type="paragraph" w:customStyle="1" w:styleId="Tabletext">
    <w:name w:val="Tabletext"/>
    <w:basedOn w:val="BodyText"/>
    <w:rsid w:val="00A41B5E"/>
    <w:pPr>
      <w:spacing w:after="0"/>
    </w:pPr>
    <w:rPr>
      <w:sz w:val="18"/>
    </w:rPr>
  </w:style>
  <w:style w:type="paragraph" w:styleId="TOC1">
    <w:name w:val="toc 1"/>
    <w:basedOn w:val="Normal"/>
    <w:next w:val="Normal"/>
    <w:autoRedefine/>
    <w:uiPriority w:val="39"/>
    <w:rsid w:val="00A41B5E"/>
    <w:pPr>
      <w:widowControl w:val="0"/>
      <w:tabs>
        <w:tab w:val="right" w:leader="dot" w:pos="10196"/>
      </w:tabs>
      <w:ind w:left="425" w:hanging="425"/>
    </w:pPr>
    <w:rPr>
      <w:rFonts w:ascii="Verdana" w:hAnsi="Verdana"/>
      <w:noProof/>
      <w:sz w:val="20"/>
      <w:szCs w:val="20"/>
      <w:lang w:eastAsia="fi-FI"/>
    </w:rPr>
  </w:style>
  <w:style w:type="paragraph" w:styleId="TOC2">
    <w:name w:val="toc 2"/>
    <w:basedOn w:val="Normal"/>
    <w:next w:val="Normal"/>
    <w:autoRedefine/>
    <w:uiPriority w:val="39"/>
    <w:rsid w:val="00A41B5E"/>
    <w:pPr>
      <w:widowControl w:val="0"/>
      <w:tabs>
        <w:tab w:val="right" w:leader="dot" w:pos="10196"/>
      </w:tabs>
      <w:ind w:left="992" w:hanging="567"/>
    </w:pPr>
    <w:rPr>
      <w:rFonts w:ascii="Verdana" w:hAnsi="Verdana"/>
      <w:noProof/>
      <w:sz w:val="20"/>
      <w:szCs w:val="20"/>
      <w:lang w:eastAsia="fi-FI"/>
    </w:rPr>
  </w:style>
  <w:style w:type="paragraph" w:styleId="TOC3">
    <w:name w:val="toc 3"/>
    <w:basedOn w:val="Normal"/>
    <w:next w:val="Normal"/>
    <w:autoRedefine/>
    <w:uiPriority w:val="39"/>
    <w:rsid w:val="00A41B5E"/>
    <w:pPr>
      <w:widowControl w:val="0"/>
      <w:tabs>
        <w:tab w:val="right" w:leader="dot" w:pos="10196"/>
      </w:tabs>
      <w:ind w:left="1843" w:hanging="851"/>
    </w:pPr>
    <w:rPr>
      <w:rFonts w:ascii="Verdana" w:hAnsi="Verdana"/>
      <w:sz w:val="20"/>
      <w:szCs w:val="20"/>
      <w:lang w:eastAsia="fi-FI"/>
    </w:rPr>
  </w:style>
  <w:style w:type="character" w:styleId="Strong">
    <w:name w:val="Strong"/>
    <w:basedOn w:val="DefaultParagraphFont"/>
    <w:uiPriority w:val="22"/>
    <w:qFormat/>
    <w:rsid w:val="004E600F"/>
    <w:rPr>
      <w:b/>
    </w:rPr>
  </w:style>
  <w:style w:type="paragraph" w:styleId="NormalWeb">
    <w:name w:val="Normal (Web)"/>
    <w:basedOn w:val="Normal"/>
    <w:uiPriority w:val="99"/>
    <w:rsid w:val="004E600F"/>
    <w:pPr>
      <w:spacing w:before="100" w:beforeAutospacing="1" w:after="240"/>
    </w:pPr>
  </w:style>
  <w:style w:type="numbering" w:customStyle="1" w:styleId="ECHABulletlist">
    <w:name w:val="ECHA Bullet list"/>
    <w:pPr>
      <w:numPr>
        <w:numId w:val="1"/>
      </w:numPr>
    </w:pPr>
  </w:style>
  <w:style w:type="numbering" w:customStyle="1" w:styleId="ECHANumberlist">
    <w:name w:val="ECHA Number 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28448-6768-46EE-B024-7CDE398F8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2089</Words>
  <Characters>11913</Characters>
  <Application>Microsoft Office Word</Application>
  <DocSecurity>0</DocSecurity>
  <Lines>99</Lines>
  <Paragraphs>27</Paragraphs>
  <ScaleCrop>false</ScaleCrop>
  <Company>European Chemicals Agency</Company>
  <LinksUpToDate>false</LinksUpToDate>
  <CharactersWithSpaces>13975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PENNESE Daniele</dc:creator>
  <cp:keywords/>
  <dc:description/>
  <cp:lastModifiedBy>PENNESE Daniele</cp:lastModifiedBy>
  <cp:revision>2</cp:revision>
  <dcterms:created xsi:type="dcterms:W3CDTF">2020-11-04T09:24:00Z</dcterms:created>
  <dcterms:modified xsi:type="dcterms:W3CDTF">2020-11-04T09:24:00Z</dcterms:modified>
</cp:coreProperties>
</file>