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BF68D" w14:textId="77777777" w:rsidR="00CD630C" w:rsidRPr="00BD2EF1" w:rsidRDefault="00CD630C" w:rsidP="00CD630C">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9264" behindDoc="0" locked="0" layoutInCell="1" allowOverlap="1" wp14:anchorId="418DFB18" wp14:editId="7EE68C93">
                <wp:simplePos x="0" y="0"/>
                <wp:positionH relativeFrom="column">
                  <wp:posOffset>-394335</wp:posOffset>
                </wp:positionH>
                <wp:positionV relativeFrom="paragraph">
                  <wp:posOffset>6985</wp:posOffset>
                </wp:positionV>
                <wp:extent cx="6528435" cy="8867775"/>
                <wp:effectExtent l="0" t="0" r="24765" b="28575"/>
                <wp:wrapNone/>
                <wp:docPr id="3"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C38A48" id="Rechthoek 2" o:spid="_x0000_s1026" style="position:absolute;margin-left:-31.05pt;margin-top:.55pt;width:514.05pt;height:6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" filled="f"/>
            </w:pict>
          </mc:Fallback>
        </mc:AlternateContent>
      </w:r>
      <w:r w:rsidRPr="00BD2EF1">
        <w:rPr>
          <w:sz w:val="36"/>
          <w:szCs w:val="36"/>
        </w:rPr>
        <w:t>Regulation (EU) No 528/2012 concerning the making available on the market and use of biocidal products</w:t>
      </w:r>
    </w:p>
    <w:p w14:paraId="45EE2E0E" w14:textId="77777777" w:rsidR="00CD630C" w:rsidRDefault="00CD630C" w:rsidP="00CD630C">
      <w:pPr>
        <w:tabs>
          <w:tab w:val="left" w:pos="8505"/>
        </w:tabs>
        <w:ind w:left="-142" w:right="-45"/>
      </w:pPr>
    </w:p>
    <w:p w14:paraId="5D6996B8" w14:textId="77777777" w:rsidR="00CD630C" w:rsidRPr="00BD2EF1" w:rsidRDefault="00CD630C" w:rsidP="00CD630C">
      <w:pPr>
        <w:tabs>
          <w:tab w:val="left" w:pos="8505"/>
        </w:tabs>
        <w:ind w:left="-142" w:right="-45"/>
      </w:pPr>
    </w:p>
    <w:p w14:paraId="36C7E8A9" w14:textId="77777777" w:rsidR="00CD630C" w:rsidRPr="00BD2EF1" w:rsidRDefault="00CD630C" w:rsidP="00CD630C">
      <w:pPr>
        <w:jc w:val="center"/>
        <w:rPr>
          <w:b/>
          <w:bCs/>
          <w:sz w:val="36"/>
          <w:szCs w:val="36"/>
        </w:rPr>
      </w:pPr>
      <w:r w:rsidRPr="00BD2EF1">
        <w:rPr>
          <w:b/>
          <w:bCs/>
          <w:sz w:val="36"/>
          <w:szCs w:val="36"/>
        </w:rPr>
        <w:t>PRODUCT ASSESSMENT REPORT OF A BIOCIDAL PRODUCT FOR NATIONAL AUTHORISATION APPLICATIONS</w:t>
      </w:r>
    </w:p>
    <w:p w14:paraId="2E3570BD" w14:textId="77777777" w:rsidR="00CD630C" w:rsidRDefault="00CD630C" w:rsidP="00CD630C"/>
    <w:p w14:paraId="5332D83A" w14:textId="77777777" w:rsidR="00CD630C" w:rsidRPr="00BD2EF1" w:rsidRDefault="00CD630C" w:rsidP="00CD630C"/>
    <w:p w14:paraId="609E138B" w14:textId="77777777" w:rsidR="00CD630C" w:rsidRPr="00BD2EF1" w:rsidRDefault="00CD630C" w:rsidP="00CD630C">
      <w:pPr>
        <w:tabs>
          <w:tab w:val="left" w:pos="8505"/>
        </w:tabs>
        <w:ind w:left="-142" w:right="-45"/>
        <w:jc w:val="center"/>
        <w:rPr>
          <w:b/>
          <w:sz w:val="36"/>
        </w:rPr>
      </w:pPr>
      <w:r w:rsidRPr="00BD2EF1">
        <w:rPr>
          <w:noProof/>
          <w:lang w:val="fr-FR" w:eastAsia="fr-FR"/>
        </w:rPr>
        <w:drawing>
          <wp:inline distT="0" distB="0" distL="0" distR="0" wp14:anchorId="6DABE0D4" wp14:editId="75DD27EA">
            <wp:extent cx="1200150" cy="1247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2B60999C" w14:textId="1C24B497" w:rsidR="00CD630C" w:rsidRPr="00BD2EF1" w:rsidRDefault="00E73BFF" w:rsidP="00CD630C">
      <w:pPr>
        <w:keepNext/>
        <w:widowControl w:val="0"/>
        <w:tabs>
          <w:tab w:val="left" w:pos="1304"/>
        </w:tabs>
        <w:suppressAutoHyphens/>
        <w:autoSpaceDE w:val="0"/>
        <w:autoSpaceDN w:val="0"/>
        <w:adjustRightInd w:val="0"/>
        <w:spacing w:before="480" w:after="120" w:line="400" w:lineRule="atLeast"/>
        <w:jc w:val="center"/>
        <w:rPr>
          <w:bCs/>
          <w:sz w:val="32"/>
          <w:szCs w:val="32"/>
        </w:rPr>
      </w:pPr>
      <w:r>
        <w:rPr>
          <w:bCs/>
          <w:sz w:val="32"/>
          <w:szCs w:val="32"/>
        </w:rPr>
        <w:t>APAISYL REPULSIF MOUSTIQUE</w:t>
      </w:r>
      <w:r w:rsidR="00ED3131">
        <w:rPr>
          <w:bCs/>
          <w:sz w:val="32"/>
          <w:szCs w:val="32"/>
        </w:rPr>
        <w:t>S</w:t>
      </w:r>
      <w:r>
        <w:rPr>
          <w:bCs/>
          <w:sz w:val="32"/>
          <w:szCs w:val="32"/>
        </w:rPr>
        <w:t xml:space="preserve"> LOTION</w:t>
      </w:r>
    </w:p>
    <w:p w14:paraId="33F1AE8B" w14:textId="77777777" w:rsidR="00CD630C" w:rsidRPr="00BD2EF1" w:rsidRDefault="00CD630C" w:rsidP="00CD630C">
      <w:pPr>
        <w:rPr>
          <w:bCs/>
        </w:rPr>
      </w:pPr>
    </w:p>
    <w:p w14:paraId="59C1DF2A" w14:textId="77777777" w:rsidR="00CD630C" w:rsidRPr="00BD2EF1" w:rsidRDefault="00CD630C" w:rsidP="00CD630C">
      <w:pPr>
        <w:tabs>
          <w:tab w:val="left" w:pos="8505"/>
        </w:tabs>
        <w:ind w:left="-142" w:right="-45"/>
        <w:jc w:val="center"/>
        <w:rPr>
          <w:bCs/>
          <w:sz w:val="32"/>
          <w:szCs w:val="32"/>
        </w:rPr>
      </w:pPr>
      <w:r w:rsidRPr="00BD2EF1">
        <w:rPr>
          <w:bCs/>
          <w:sz w:val="32"/>
          <w:szCs w:val="32"/>
        </w:rPr>
        <w:t xml:space="preserve">Product type </w:t>
      </w:r>
      <w:r>
        <w:rPr>
          <w:bCs/>
          <w:sz w:val="32"/>
          <w:szCs w:val="32"/>
        </w:rPr>
        <w:t>19</w:t>
      </w:r>
    </w:p>
    <w:p w14:paraId="7D9B31D6" w14:textId="77777777" w:rsidR="00CD630C" w:rsidRPr="00BD2EF1" w:rsidRDefault="00CD630C" w:rsidP="00CD630C">
      <w:pPr>
        <w:tabs>
          <w:tab w:val="left" w:pos="8505"/>
        </w:tabs>
        <w:ind w:right="-45"/>
        <w:rPr>
          <w:bCs/>
        </w:rPr>
      </w:pPr>
    </w:p>
    <w:p w14:paraId="45D3C7F1" w14:textId="77777777" w:rsidR="00CD630C" w:rsidRPr="00BD2EF1" w:rsidRDefault="00CD630C" w:rsidP="00CD630C">
      <w:pPr>
        <w:tabs>
          <w:tab w:val="left" w:pos="8505"/>
        </w:tabs>
        <w:ind w:left="-142" w:right="-45"/>
        <w:jc w:val="center"/>
        <w:rPr>
          <w:bCs/>
          <w:sz w:val="32"/>
          <w:szCs w:val="32"/>
        </w:rPr>
      </w:pPr>
      <w:r>
        <w:rPr>
          <w:bCs/>
          <w:sz w:val="32"/>
          <w:szCs w:val="32"/>
        </w:rPr>
        <w:t xml:space="preserve">Ethyl </w:t>
      </w:r>
      <w:proofErr w:type="spellStart"/>
      <w:r>
        <w:rPr>
          <w:bCs/>
          <w:sz w:val="32"/>
          <w:szCs w:val="32"/>
        </w:rPr>
        <w:t>butylacetylaminopropionate</w:t>
      </w:r>
      <w:proofErr w:type="spellEnd"/>
      <w:r>
        <w:rPr>
          <w:bCs/>
          <w:sz w:val="32"/>
          <w:szCs w:val="32"/>
        </w:rPr>
        <w:t xml:space="preserve"> </w:t>
      </w:r>
      <w:r>
        <w:rPr>
          <w:bCs/>
          <w:sz w:val="32"/>
          <w:szCs w:val="32"/>
        </w:rPr>
        <w:br/>
      </w:r>
      <w:r w:rsidRPr="00053EC8">
        <w:rPr>
          <w:bCs/>
          <w:sz w:val="28"/>
          <w:szCs w:val="32"/>
        </w:rPr>
        <w:t>(Further referred to as IR3535</w:t>
      </w:r>
      <w:r w:rsidRPr="00374D99">
        <w:rPr>
          <w:bCs/>
          <w:sz w:val="28"/>
          <w:szCs w:val="32"/>
          <w:vertAlign w:val="superscript"/>
        </w:rPr>
        <w:t>®</w:t>
      </w:r>
      <w:r w:rsidRPr="00053EC8">
        <w:rPr>
          <w:bCs/>
          <w:sz w:val="28"/>
          <w:szCs w:val="32"/>
        </w:rPr>
        <w:t>)</w:t>
      </w:r>
    </w:p>
    <w:p w14:paraId="68AA4349" w14:textId="77777777" w:rsidR="00CD630C" w:rsidRPr="00BD2EF1" w:rsidRDefault="00CD630C" w:rsidP="00CD630C">
      <w:pPr>
        <w:tabs>
          <w:tab w:val="left" w:pos="8505"/>
        </w:tabs>
        <w:ind w:right="-45"/>
        <w:rPr>
          <w:bCs/>
        </w:rPr>
      </w:pPr>
    </w:p>
    <w:p w14:paraId="66E44672" w14:textId="712B8696" w:rsidR="00CD630C" w:rsidRPr="00BD2EF1" w:rsidRDefault="00CD630C" w:rsidP="00CD630C">
      <w:pPr>
        <w:tabs>
          <w:tab w:val="left" w:pos="8505"/>
        </w:tabs>
        <w:ind w:right="-45"/>
        <w:jc w:val="center"/>
        <w:rPr>
          <w:bCs/>
          <w:sz w:val="32"/>
          <w:szCs w:val="32"/>
        </w:rPr>
      </w:pPr>
      <w:r>
        <w:rPr>
          <w:bCs/>
          <w:sz w:val="32"/>
          <w:szCs w:val="32"/>
        </w:rPr>
        <w:t xml:space="preserve">Case Number in R4BP: </w:t>
      </w:r>
      <w:r w:rsidR="00E73BFF">
        <w:rPr>
          <w:bCs/>
          <w:sz w:val="32"/>
          <w:szCs w:val="32"/>
        </w:rPr>
        <w:t>BC-XN054054-24</w:t>
      </w:r>
    </w:p>
    <w:p w14:paraId="5E6F7813" w14:textId="77777777" w:rsidR="00CD630C" w:rsidRPr="00BD2EF1" w:rsidRDefault="00CD630C" w:rsidP="00CD630C">
      <w:pPr>
        <w:tabs>
          <w:tab w:val="left" w:pos="8505"/>
        </w:tabs>
        <w:ind w:right="-45"/>
        <w:rPr>
          <w:bCs/>
        </w:rPr>
      </w:pPr>
    </w:p>
    <w:p w14:paraId="755E69FC" w14:textId="0610E14A" w:rsidR="00CD630C" w:rsidRPr="00BD2EF1" w:rsidRDefault="00CD630C" w:rsidP="00CD630C">
      <w:pPr>
        <w:tabs>
          <w:tab w:val="left" w:pos="8505"/>
        </w:tabs>
        <w:ind w:left="-142" w:right="-45"/>
        <w:jc w:val="center"/>
        <w:rPr>
          <w:bCs/>
          <w:sz w:val="32"/>
          <w:szCs w:val="32"/>
        </w:rPr>
      </w:pPr>
      <w:r w:rsidRPr="00BD2EF1">
        <w:rPr>
          <w:bCs/>
          <w:sz w:val="32"/>
          <w:szCs w:val="32"/>
        </w:rPr>
        <w:t xml:space="preserve">Evaluating Competent Authority: </w:t>
      </w:r>
      <w:r w:rsidR="00E73BFF">
        <w:rPr>
          <w:bCs/>
          <w:sz w:val="32"/>
          <w:szCs w:val="32"/>
        </w:rPr>
        <w:t>France</w:t>
      </w:r>
    </w:p>
    <w:p w14:paraId="4214D6C4" w14:textId="77777777" w:rsidR="00CD630C" w:rsidRPr="00BD2EF1" w:rsidRDefault="00CD630C" w:rsidP="00CD630C">
      <w:pPr>
        <w:tabs>
          <w:tab w:val="left" w:pos="8505"/>
        </w:tabs>
        <w:ind w:left="-142" w:right="-45"/>
        <w:jc w:val="center"/>
      </w:pPr>
      <w:r w:rsidRPr="00BD2EF1">
        <w:t xml:space="preserve"> </w:t>
      </w:r>
    </w:p>
    <w:p w14:paraId="347FFE89" w14:textId="52B198BB" w:rsidR="00CD630C" w:rsidRDefault="00CD630C" w:rsidP="00CD630C">
      <w:pPr>
        <w:jc w:val="center"/>
        <w:rPr>
          <w:bCs/>
          <w:sz w:val="32"/>
          <w:szCs w:val="32"/>
        </w:rPr>
      </w:pPr>
      <w:r w:rsidRPr="00BD2EF1">
        <w:rPr>
          <w:bCs/>
          <w:sz w:val="32"/>
          <w:szCs w:val="32"/>
        </w:rPr>
        <w:t xml:space="preserve">Date: </w:t>
      </w:r>
      <w:r w:rsidR="001A7525">
        <w:rPr>
          <w:bCs/>
          <w:sz w:val="32"/>
          <w:szCs w:val="32"/>
        </w:rPr>
        <w:t>February 2020</w:t>
      </w:r>
    </w:p>
    <w:p w14:paraId="2D54A5BD" w14:textId="77777777" w:rsidR="00CD630C" w:rsidRDefault="00CD630C" w:rsidP="00CD630C">
      <w:pPr>
        <w:spacing w:after="160" w:line="259" w:lineRule="auto"/>
        <w:rPr>
          <w:bCs/>
          <w:sz w:val="32"/>
          <w:szCs w:val="32"/>
        </w:rPr>
      </w:pPr>
    </w:p>
    <w:p w14:paraId="23670094" w14:textId="77777777" w:rsidR="00CD630C" w:rsidRPr="00BD2EF1" w:rsidRDefault="00CD630C" w:rsidP="00CD630C">
      <w:pPr>
        <w:spacing w:after="160" w:line="259" w:lineRule="auto"/>
        <w:rPr>
          <w:bCs/>
          <w:sz w:val="32"/>
          <w:szCs w:val="32"/>
        </w:rPr>
        <w:sectPr w:rsidR="00CD630C" w:rsidRPr="00BD2EF1" w:rsidSect="006456DE">
          <w:headerReference w:type="default" r:id="rId9"/>
          <w:footerReference w:type="default" r:id="rId10"/>
          <w:pgSz w:w="11906" w:h="16838"/>
          <w:pgMar w:top="1440" w:right="1440" w:bottom="1440" w:left="1440" w:header="709" w:footer="709" w:gutter="0"/>
          <w:cols w:space="708"/>
          <w:docGrid w:linePitch="360"/>
        </w:sectPr>
      </w:pPr>
    </w:p>
    <w:p w14:paraId="0B5A67F1" w14:textId="77777777" w:rsidR="00C5528E" w:rsidRPr="00BD2EF1" w:rsidRDefault="00DA3C10" w:rsidP="00DA3C10">
      <w:pPr>
        <w:pStyle w:val="Titre1"/>
        <w:numPr>
          <w:ilvl w:val="0"/>
          <w:numId w:val="0"/>
        </w:numPr>
      </w:pPr>
      <w:bookmarkStart w:id="0" w:name="_Toc8296446"/>
      <w:r w:rsidRPr="00BD2EF1">
        <w:lastRenderedPageBreak/>
        <w:t>Table of Contents</w:t>
      </w:r>
      <w:bookmarkEnd w:id="0"/>
    </w:p>
    <w:p w14:paraId="212C277A" w14:textId="43618BB2" w:rsidR="00410660" w:rsidRDefault="008D16AA">
      <w:pPr>
        <w:pStyle w:val="TM1"/>
        <w:tabs>
          <w:tab w:val="right" w:leader="dot" w:pos="9402"/>
        </w:tabs>
        <w:rPr>
          <w:rFonts w:asciiTheme="minorHAnsi" w:eastAsiaTheme="minorEastAsia" w:hAnsiTheme="minorHAnsi" w:cstheme="minorBidi"/>
          <w:b w:val="0"/>
          <w:caps w:val="0"/>
          <w:noProof/>
          <w:sz w:val="22"/>
          <w:szCs w:val="22"/>
        </w:rPr>
      </w:pPr>
      <w:r>
        <w:rPr>
          <w:sz w:val="22"/>
        </w:rPr>
        <w:fldChar w:fldCharType="begin"/>
      </w:r>
      <w:r w:rsidR="00A14D85">
        <w:rPr>
          <w:sz w:val="22"/>
        </w:rPr>
        <w:instrText xml:space="preserve"> TOC \o "1-5" \h \z \u </w:instrText>
      </w:r>
      <w:r>
        <w:rPr>
          <w:sz w:val="22"/>
        </w:rPr>
        <w:fldChar w:fldCharType="separate"/>
      </w:r>
      <w:hyperlink w:anchor="_Toc8296446" w:history="1">
        <w:r w:rsidR="00410660" w:rsidRPr="00853AB4">
          <w:rPr>
            <w:rStyle w:val="Lienhypertexte"/>
            <w:noProof/>
          </w:rPr>
          <w:t>Table of Contents</w:t>
        </w:r>
        <w:r w:rsidR="00410660">
          <w:rPr>
            <w:noProof/>
            <w:webHidden/>
          </w:rPr>
          <w:tab/>
        </w:r>
        <w:r w:rsidR="00410660">
          <w:rPr>
            <w:noProof/>
            <w:webHidden/>
          </w:rPr>
          <w:fldChar w:fldCharType="begin"/>
        </w:r>
        <w:r w:rsidR="00410660">
          <w:rPr>
            <w:noProof/>
            <w:webHidden/>
          </w:rPr>
          <w:instrText xml:space="preserve"> PAGEREF _Toc8296446 \h </w:instrText>
        </w:r>
        <w:r w:rsidR="00410660">
          <w:rPr>
            <w:noProof/>
            <w:webHidden/>
          </w:rPr>
        </w:r>
        <w:r w:rsidR="00410660">
          <w:rPr>
            <w:noProof/>
            <w:webHidden/>
          </w:rPr>
          <w:fldChar w:fldCharType="separate"/>
        </w:r>
        <w:r w:rsidR="00213659">
          <w:rPr>
            <w:noProof/>
            <w:webHidden/>
          </w:rPr>
          <w:t>2</w:t>
        </w:r>
        <w:r w:rsidR="00410660">
          <w:rPr>
            <w:noProof/>
            <w:webHidden/>
          </w:rPr>
          <w:fldChar w:fldCharType="end"/>
        </w:r>
      </w:hyperlink>
    </w:p>
    <w:p w14:paraId="35F338DB" w14:textId="40970742" w:rsidR="00410660" w:rsidRDefault="00F26AF2">
      <w:pPr>
        <w:pStyle w:val="TM1"/>
        <w:tabs>
          <w:tab w:val="left" w:pos="400"/>
          <w:tab w:val="right" w:leader="dot" w:pos="9402"/>
        </w:tabs>
        <w:rPr>
          <w:rFonts w:asciiTheme="minorHAnsi" w:eastAsiaTheme="minorEastAsia" w:hAnsiTheme="minorHAnsi" w:cstheme="minorBidi"/>
          <w:b w:val="0"/>
          <w:caps w:val="0"/>
          <w:noProof/>
          <w:sz w:val="22"/>
          <w:szCs w:val="22"/>
        </w:rPr>
      </w:pPr>
      <w:hyperlink w:anchor="_Toc8296447" w:history="1">
        <w:r w:rsidR="00410660" w:rsidRPr="00853AB4">
          <w:rPr>
            <w:rStyle w:val="Lienhypertexte"/>
            <w:noProof/>
          </w:rPr>
          <w:t>1</w:t>
        </w:r>
        <w:r w:rsidR="00410660">
          <w:rPr>
            <w:rFonts w:asciiTheme="minorHAnsi" w:eastAsiaTheme="minorEastAsia" w:hAnsiTheme="minorHAnsi" w:cstheme="minorBidi"/>
            <w:b w:val="0"/>
            <w:caps w:val="0"/>
            <w:noProof/>
            <w:sz w:val="22"/>
            <w:szCs w:val="22"/>
          </w:rPr>
          <w:tab/>
        </w:r>
        <w:r w:rsidR="00410660" w:rsidRPr="00853AB4">
          <w:rPr>
            <w:rStyle w:val="Lienhypertexte"/>
            <w:noProof/>
          </w:rPr>
          <w:t>Conclusion</w:t>
        </w:r>
        <w:r w:rsidR="00410660">
          <w:rPr>
            <w:noProof/>
            <w:webHidden/>
          </w:rPr>
          <w:tab/>
        </w:r>
        <w:r w:rsidR="00410660">
          <w:rPr>
            <w:noProof/>
            <w:webHidden/>
          </w:rPr>
          <w:fldChar w:fldCharType="begin"/>
        </w:r>
        <w:r w:rsidR="00410660">
          <w:rPr>
            <w:noProof/>
            <w:webHidden/>
          </w:rPr>
          <w:instrText xml:space="preserve"> PAGEREF _Toc8296447 \h </w:instrText>
        </w:r>
        <w:r w:rsidR="00410660">
          <w:rPr>
            <w:noProof/>
            <w:webHidden/>
          </w:rPr>
        </w:r>
        <w:r w:rsidR="00410660">
          <w:rPr>
            <w:noProof/>
            <w:webHidden/>
          </w:rPr>
          <w:fldChar w:fldCharType="separate"/>
        </w:r>
        <w:r w:rsidR="00213659">
          <w:rPr>
            <w:noProof/>
            <w:webHidden/>
          </w:rPr>
          <w:t>7</w:t>
        </w:r>
        <w:r w:rsidR="00410660">
          <w:rPr>
            <w:noProof/>
            <w:webHidden/>
          </w:rPr>
          <w:fldChar w:fldCharType="end"/>
        </w:r>
      </w:hyperlink>
    </w:p>
    <w:p w14:paraId="4ED8F29D" w14:textId="40D4FBC3" w:rsidR="00410660" w:rsidRDefault="00F26AF2">
      <w:pPr>
        <w:pStyle w:val="TM1"/>
        <w:tabs>
          <w:tab w:val="left" w:pos="400"/>
          <w:tab w:val="right" w:leader="dot" w:pos="9402"/>
        </w:tabs>
        <w:rPr>
          <w:rFonts w:asciiTheme="minorHAnsi" w:eastAsiaTheme="minorEastAsia" w:hAnsiTheme="minorHAnsi" w:cstheme="minorBidi"/>
          <w:b w:val="0"/>
          <w:caps w:val="0"/>
          <w:noProof/>
          <w:sz w:val="22"/>
          <w:szCs w:val="22"/>
        </w:rPr>
      </w:pPr>
      <w:hyperlink w:anchor="_Toc8296448" w:history="1">
        <w:r w:rsidR="00410660" w:rsidRPr="00853AB4">
          <w:rPr>
            <w:rStyle w:val="Lienhypertexte"/>
            <w:noProof/>
          </w:rPr>
          <w:t>2</w:t>
        </w:r>
        <w:r w:rsidR="00410660">
          <w:rPr>
            <w:rFonts w:asciiTheme="minorHAnsi" w:eastAsiaTheme="minorEastAsia" w:hAnsiTheme="minorHAnsi" w:cstheme="minorBidi"/>
            <w:b w:val="0"/>
            <w:caps w:val="0"/>
            <w:noProof/>
            <w:sz w:val="22"/>
            <w:szCs w:val="22"/>
          </w:rPr>
          <w:tab/>
        </w:r>
        <w:r w:rsidR="00410660" w:rsidRPr="00853AB4">
          <w:rPr>
            <w:rStyle w:val="Lienhypertexte"/>
            <w:noProof/>
          </w:rPr>
          <w:t>Assessment Report</w:t>
        </w:r>
        <w:r w:rsidR="00410660">
          <w:rPr>
            <w:noProof/>
            <w:webHidden/>
          </w:rPr>
          <w:tab/>
        </w:r>
        <w:r w:rsidR="00410660">
          <w:rPr>
            <w:noProof/>
            <w:webHidden/>
          </w:rPr>
          <w:fldChar w:fldCharType="begin"/>
        </w:r>
        <w:r w:rsidR="00410660">
          <w:rPr>
            <w:noProof/>
            <w:webHidden/>
          </w:rPr>
          <w:instrText xml:space="preserve"> PAGEREF _Toc8296448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73E04EB1" w14:textId="240AA636"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449" w:history="1">
        <w:r w:rsidR="00410660" w:rsidRPr="00853AB4">
          <w:rPr>
            <w:rStyle w:val="Lienhypertexte"/>
            <w:noProof/>
          </w:rPr>
          <w:t>2.1</w:t>
        </w:r>
        <w:r w:rsidR="00410660">
          <w:rPr>
            <w:rFonts w:asciiTheme="minorHAnsi" w:eastAsiaTheme="minorEastAsia" w:hAnsiTheme="minorHAnsi" w:cstheme="minorBidi"/>
            <w:caps w:val="0"/>
            <w:noProof/>
            <w:sz w:val="22"/>
            <w:szCs w:val="22"/>
          </w:rPr>
          <w:tab/>
        </w:r>
        <w:r w:rsidR="00410660" w:rsidRPr="00853AB4">
          <w:rPr>
            <w:rStyle w:val="Lienhypertexte"/>
            <w:noProof/>
          </w:rPr>
          <w:t>Summary of the product assessment</w:t>
        </w:r>
        <w:r w:rsidR="00410660">
          <w:rPr>
            <w:noProof/>
            <w:webHidden/>
          </w:rPr>
          <w:tab/>
        </w:r>
        <w:r w:rsidR="00410660">
          <w:rPr>
            <w:noProof/>
            <w:webHidden/>
          </w:rPr>
          <w:fldChar w:fldCharType="begin"/>
        </w:r>
        <w:r w:rsidR="00410660">
          <w:rPr>
            <w:noProof/>
            <w:webHidden/>
          </w:rPr>
          <w:instrText xml:space="preserve"> PAGEREF _Toc8296449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7F37DE73" w14:textId="0AAA7F65"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50" w:history="1">
        <w:r w:rsidR="00410660" w:rsidRPr="00853AB4">
          <w:rPr>
            <w:rStyle w:val="Lienhypertexte"/>
            <w:noProof/>
          </w:rPr>
          <w:t>2.1.1</w:t>
        </w:r>
        <w:r w:rsidR="00410660">
          <w:rPr>
            <w:rFonts w:asciiTheme="minorHAnsi" w:eastAsiaTheme="minorEastAsia" w:hAnsiTheme="minorHAnsi" w:cstheme="minorBidi"/>
            <w:i w:val="0"/>
            <w:noProof/>
            <w:sz w:val="22"/>
            <w:szCs w:val="22"/>
          </w:rPr>
          <w:tab/>
        </w:r>
        <w:r w:rsidR="00410660" w:rsidRPr="00853AB4">
          <w:rPr>
            <w:rStyle w:val="Lienhypertexte"/>
            <w:noProof/>
          </w:rPr>
          <w:t>Administrative information</w:t>
        </w:r>
        <w:r w:rsidR="00410660">
          <w:rPr>
            <w:noProof/>
            <w:webHidden/>
          </w:rPr>
          <w:tab/>
        </w:r>
        <w:r w:rsidR="00410660">
          <w:rPr>
            <w:noProof/>
            <w:webHidden/>
          </w:rPr>
          <w:fldChar w:fldCharType="begin"/>
        </w:r>
        <w:r w:rsidR="00410660">
          <w:rPr>
            <w:noProof/>
            <w:webHidden/>
          </w:rPr>
          <w:instrText xml:space="preserve"> PAGEREF _Toc8296450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1D5DCF40" w14:textId="16837912" w:rsidR="00410660" w:rsidRDefault="00F26AF2" w:rsidP="00A80F2E">
      <w:pPr>
        <w:pStyle w:val="TM4"/>
        <w:rPr>
          <w:rFonts w:asciiTheme="minorHAnsi" w:eastAsiaTheme="minorEastAsia" w:hAnsiTheme="minorHAnsi" w:cstheme="minorBidi"/>
          <w:noProof/>
          <w:sz w:val="22"/>
          <w:szCs w:val="22"/>
        </w:rPr>
      </w:pPr>
      <w:hyperlink w:anchor="_Toc8296451" w:history="1">
        <w:r w:rsidR="00410660" w:rsidRPr="00853AB4">
          <w:rPr>
            <w:rStyle w:val="Lienhypertexte"/>
            <w:noProof/>
          </w:rPr>
          <w:t>2.1.1.1</w:t>
        </w:r>
        <w:r w:rsidR="00410660">
          <w:rPr>
            <w:rFonts w:asciiTheme="minorHAnsi" w:eastAsiaTheme="minorEastAsia" w:hAnsiTheme="minorHAnsi" w:cstheme="minorBidi"/>
            <w:noProof/>
            <w:sz w:val="22"/>
            <w:szCs w:val="22"/>
          </w:rPr>
          <w:tab/>
        </w:r>
        <w:r w:rsidR="00410660" w:rsidRPr="00853AB4">
          <w:rPr>
            <w:rStyle w:val="Lienhypertexte"/>
            <w:noProof/>
          </w:rPr>
          <w:t>Identifier of the product</w:t>
        </w:r>
        <w:r w:rsidR="00410660">
          <w:rPr>
            <w:noProof/>
            <w:webHidden/>
          </w:rPr>
          <w:tab/>
        </w:r>
        <w:r w:rsidR="00410660">
          <w:rPr>
            <w:noProof/>
            <w:webHidden/>
          </w:rPr>
          <w:fldChar w:fldCharType="begin"/>
        </w:r>
        <w:r w:rsidR="00410660">
          <w:rPr>
            <w:noProof/>
            <w:webHidden/>
          </w:rPr>
          <w:instrText xml:space="preserve"> PAGEREF _Toc8296451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32E48C43" w14:textId="40FBD039" w:rsidR="00410660" w:rsidRDefault="00F26AF2" w:rsidP="00A80F2E">
      <w:pPr>
        <w:pStyle w:val="TM4"/>
        <w:rPr>
          <w:rFonts w:asciiTheme="minorHAnsi" w:eastAsiaTheme="minorEastAsia" w:hAnsiTheme="minorHAnsi" w:cstheme="minorBidi"/>
          <w:noProof/>
          <w:sz w:val="22"/>
          <w:szCs w:val="22"/>
        </w:rPr>
      </w:pPr>
      <w:hyperlink w:anchor="_Toc8296452" w:history="1">
        <w:r w:rsidR="00410660" w:rsidRPr="00853AB4">
          <w:rPr>
            <w:rStyle w:val="Lienhypertexte"/>
            <w:noProof/>
          </w:rPr>
          <w:t>2.1.1.2</w:t>
        </w:r>
        <w:r w:rsidR="00410660">
          <w:rPr>
            <w:rFonts w:asciiTheme="minorHAnsi" w:eastAsiaTheme="minorEastAsia" w:hAnsiTheme="minorHAnsi" w:cstheme="minorBidi"/>
            <w:noProof/>
            <w:sz w:val="22"/>
            <w:szCs w:val="22"/>
          </w:rPr>
          <w:tab/>
        </w:r>
        <w:r w:rsidR="00410660" w:rsidRPr="00853AB4">
          <w:rPr>
            <w:rStyle w:val="Lienhypertexte"/>
            <w:noProof/>
          </w:rPr>
          <w:t>Authorisation holder</w:t>
        </w:r>
        <w:r w:rsidR="00410660">
          <w:rPr>
            <w:noProof/>
            <w:webHidden/>
          </w:rPr>
          <w:tab/>
        </w:r>
        <w:r w:rsidR="00410660">
          <w:rPr>
            <w:noProof/>
            <w:webHidden/>
          </w:rPr>
          <w:fldChar w:fldCharType="begin"/>
        </w:r>
        <w:r w:rsidR="00410660">
          <w:rPr>
            <w:noProof/>
            <w:webHidden/>
          </w:rPr>
          <w:instrText xml:space="preserve"> PAGEREF _Toc8296452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04E5C128" w14:textId="3E13A460" w:rsidR="00410660" w:rsidRDefault="00F26AF2" w:rsidP="00A80F2E">
      <w:pPr>
        <w:pStyle w:val="TM4"/>
        <w:rPr>
          <w:rFonts w:asciiTheme="minorHAnsi" w:eastAsiaTheme="minorEastAsia" w:hAnsiTheme="minorHAnsi" w:cstheme="minorBidi"/>
          <w:noProof/>
          <w:sz w:val="22"/>
          <w:szCs w:val="22"/>
        </w:rPr>
      </w:pPr>
      <w:hyperlink w:anchor="_Toc8296453" w:history="1">
        <w:r w:rsidR="00410660" w:rsidRPr="00853AB4">
          <w:rPr>
            <w:rStyle w:val="Lienhypertexte"/>
            <w:noProof/>
          </w:rPr>
          <w:t>2.1.1.3</w:t>
        </w:r>
        <w:r w:rsidR="00410660">
          <w:rPr>
            <w:rFonts w:asciiTheme="minorHAnsi" w:eastAsiaTheme="minorEastAsia" w:hAnsiTheme="minorHAnsi" w:cstheme="minorBidi"/>
            <w:noProof/>
            <w:sz w:val="22"/>
            <w:szCs w:val="22"/>
          </w:rPr>
          <w:tab/>
        </w:r>
        <w:r w:rsidR="00410660" w:rsidRPr="00853AB4">
          <w:rPr>
            <w:rStyle w:val="Lienhypertexte"/>
            <w:noProof/>
          </w:rPr>
          <w:t>Manufacturer(s) of the products</w:t>
        </w:r>
        <w:r w:rsidR="00410660">
          <w:rPr>
            <w:noProof/>
            <w:webHidden/>
          </w:rPr>
          <w:tab/>
        </w:r>
        <w:r w:rsidR="00410660">
          <w:rPr>
            <w:noProof/>
            <w:webHidden/>
          </w:rPr>
          <w:fldChar w:fldCharType="begin"/>
        </w:r>
        <w:r w:rsidR="00410660">
          <w:rPr>
            <w:noProof/>
            <w:webHidden/>
          </w:rPr>
          <w:instrText xml:space="preserve"> PAGEREF _Toc8296453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7D2FD4B3" w14:textId="17D3D566" w:rsidR="00410660" w:rsidRDefault="00F26AF2" w:rsidP="00A80F2E">
      <w:pPr>
        <w:pStyle w:val="TM4"/>
        <w:rPr>
          <w:rFonts w:asciiTheme="minorHAnsi" w:eastAsiaTheme="minorEastAsia" w:hAnsiTheme="minorHAnsi" w:cstheme="minorBidi"/>
          <w:noProof/>
          <w:sz w:val="22"/>
          <w:szCs w:val="22"/>
        </w:rPr>
      </w:pPr>
      <w:hyperlink w:anchor="_Toc8296454" w:history="1">
        <w:r w:rsidR="00410660" w:rsidRPr="00853AB4">
          <w:rPr>
            <w:rStyle w:val="Lienhypertexte"/>
            <w:noProof/>
          </w:rPr>
          <w:t>2.1.1.4</w:t>
        </w:r>
        <w:r w:rsidR="00410660">
          <w:rPr>
            <w:rFonts w:asciiTheme="minorHAnsi" w:eastAsiaTheme="minorEastAsia" w:hAnsiTheme="minorHAnsi" w:cstheme="minorBidi"/>
            <w:noProof/>
            <w:sz w:val="22"/>
            <w:szCs w:val="22"/>
          </w:rPr>
          <w:tab/>
        </w:r>
        <w:r w:rsidR="00410660" w:rsidRPr="00853AB4">
          <w:rPr>
            <w:rStyle w:val="Lienhypertexte"/>
            <w:noProof/>
          </w:rPr>
          <w:t>Manufacturer(s) of the active substance</w:t>
        </w:r>
        <w:r w:rsidR="00410660">
          <w:rPr>
            <w:noProof/>
            <w:webHidden/>
          </w:rPr>
          <w:tab/>
        </w:r>
        <w:r w:rsidR="00410660">
          <w:rPr>
            <w:noProof/>
            <w:webHidden/>
          </w:rPr>
          <w:fldChar w:fldCharType="begin"/>
        </w:r>
        <w:r w:rsidR="00410660">
          <w:rPr>
            <w:noProof/>
            <w:webHidden/>
          </w:rPr>
          <w:instrText xml:space="preserve"> PAGEREF _Toc8296454 \h </w:instrText>
        </w:r>
        <w:r w:rsidR="00410660">
          <w:rPr>
            <w:noProof/>
            <w:webHidden/>
          </w:rPr>
        </w:r>
        <w:r w:rsidR="00410660">
          <w:rPr>
            <w:noProof/>
            <w:webHidden/>
          </w:rPr>
          <w:fldChar w:fldCharType="separate"/>
        </w:r>
        <w:r w:rsidR="00213659">
          <w:rPr>
            <w:noProof/>
            <w:webHidden/>
          </w:rPr>
          <w:t>8</w:t>
        </w:r>
        <w:r w:rsidR="00410660">
          <w:rPr>
            <w:noProof/>
            <w:webHidden/>
          </w:rPr>
          <w:fldChar w:fldCharType="end"/>
        </w:r>
      </w:hyperlink>
    </w:p>
    <w:p w14:paraId="2EFFC792" w14:textId="204CBBD2"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55" w:history="1">
        <w:r w:rsidR="00410660" w:rsidRPr="00853AB4">
          <w:rPr>
            <w:rStyle w:val="Lienhypertexte"/>
            <w:noProof/>
          </w:rPr>
          <w:t>2.1.2</w:t>
        </w:r>
        <w:r w:rsidR="00410660">
          <w:rPr>
            <w:rFonts w:asciiTheme="minorHAnsi" w:eastAsiaTheme="minorEastAsia" w:hAnsiTheme="minorHAnsi" w:cstheme="minorBidi"/>
            <w:i w:val="0"/>
            <w:noProof/>
            <w:sz w:val="22"/>
            <w:szCs w:val="22"/>
          </w:rPr>
          <w:tab/>
        </w:r>
        <w:r w:rsidR="00410660" w:rsidRPr="00853AB4">
          <w:rPr>
            <w:rStyle w:val="Lienhypertexte"/>
            <w:noProof/>
          </w:rPr>
          <w:t>Product composition and formulation</w:t>
        </w:r>
        <w:r w:rsidR="00410660">
          <w:rPr>
            <w:noProof/>
            <w:webHidden/>
          </w:rPr>
          <w:tab/>
        </w:r>
        <w:r w:rsidR="00410660">
          <w:rPr>
            <w:noProof/>
            <w:webHidden/>
          </w:rPr>
          <w:fldChar w:fldCharType="begin"/>
        </w:r>
        <w:r w:rsidR="00410660">
          <w:rPr>
            <w:noProof/>
            <w:webHidden/>
          </w:rPr>
          <w:instrText xml:space="preserve"> PAGEREF _Toc8296455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2597FF49" w14:textId="1457EFAA" w:rsidR="00410660" w:rsidRDefault="00F26AF2" w:rsidP="00A80F2E">
      <w:pPr>
        <w:pStyle w:val="TM4"/>
        <w:rPr>
          <w:rFonts w:asciiTheme="minorHAnsi" w:eastAsiaTheme="minorEastAsia" w:hAnsiTheme="minorHAnsi" w:cstheme="minorBidi"/>
          <w:noProof/>
          <w:sz w:val="22"/>
          <w:szCs w:val="22"/>
        </w:rPr>
      </w:pPr>
      <w:hyperlink w:anchor="_Toc8296456" w:history="1">
        <w:r w:rsidR="00410660" w:rsidRPr="00853AB4">
          <w:rPr>
            <w:rStyle w:val="Lienhypertexte"/>
            <w:noProof/>
          </w:rPr>
          <w:t>2.1.2.1</w:t>
        </w:r>
        <w:r w:rsidR="00410660">
          <w:rPr>
            <w:rFonts w:asciiTheme="minorHAnsi" w:eastAsiaTheme="minorEastAsia" w:hAnsiTheme="minorHAnsi" w:cstheme="minorBidi"/>
            <w:noProof/>
            <w:sz w:val="22"/>
            <w:szCs w:val="22"/>
          </w:rPr>
          <w:tab/>
        </w:r>
        <w:r w:rsidR="00410660" w:rsidRPr="00853AB4">
          <w:rPr>
            <w:rStyle w:val="Lienhypertexte"/>
            <w:noProof/>
          </w:rPr>
          <w:t>Identity of the active substance</w:t>
        </w:r>
        <w:r w:rsidR="00410660">
          <w:rPr>
            <w:noProof/>
            <w:webHidden/>
          </w:rPr>
          <w:tab/>
        </w:r>
        <w:r w:rsidR="00410660">
          <w:rPr>
            <w:noProof/>
            <w:webHidden/>
          </w:rPr>
          <w:fldChar w:fldCharType="begin"/>
        </w:r>
        <w:r w:rsidR="00410660">
          <w:rPr>
            <w:noProof/>
            <w:webHidden/>
          </w:rPr>
          <w:instrText xml:space="preserve"> PAGEREF _Toc8296456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532965CA" w14:textId="5AB4F1B9" w:rsidR="00410660" w:rsidRDefault="00F26AF2" w:rsidP="00A80F2E">
      <w:pPr>
        <w:pStyle w:val="TM4"/>
        <w:rPr>
          <w:rFonts w:asciiTheme="minorHAnsi" w:eastAsiaTheme="minorEastAsia" w:hAnsiTheme="minorHAnsi" w:cstheme="minorBidi"/>
          <w:noProof/>
          <w:sz w:val="22"/>
          <w:szCs w:val="22"/>
        </w:rPr>
      </w:pPr>
      <w:hyperlink w:anchor="_Toc8296457" w:history="1">
        <w:r w:rsidR="00410660" w:rsidRPr="00853AB4">
          <w:rPr>
            <w:rStyle w:val="Lienhypertexte"/>
            <w:noProof/>
          </w:rPr>
          <w:t>2.1.2.2</w:t>
        </w:r>
        <w:r w:rsidR="00410660">
          <w:rPr>
            <w:rFonts w:asciiTheme="minorHAnsi" w:eastAsiaTheme="minorEastAsia" w:hAnsiTheme="minorHAnsi" w:cstheme="minorBidi"/>
            <w:noProof/>
            <w:sz w:val="22"/>
            <w:szCs w:val="22"/>
          </w:rPr>
          <w:tab/>
        </w:r>
        <w:r w:rsidR="00410660" w:rsidRPr="00853AB4">
          <w:rPr>
            <w:rStyle w:val="Lienhypertexte"/>
            <w:noProof/>
          </w:rPr>
          <w:t>Candidate(s) for substitution</w:t>
        </w:r>
        <w:r w:rsidR="00410660">
          <w:rPr>
            <w:noProof/>
            <w:webHidden/>
          </w:rPr>
          <w:tab/>
        </w:r>
        <w:r w:rsidR="00410660">
          <w:rPr>
            <w:noProof/>
            <w:webHidden/>
          </w:rPr>
          <w:fldChar w:fldCharType="begin"/>
        </w:r>
        <w:r w:rsidR="00410660">
          <w:rPr>
            <w:noProof/>
            <w:webHidden/>
          </w:rPr>
          <w:instrText xml:space="preserve"> PAGEREF _Toc8296457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7632E127" w14:textId="1D3A2B69" w:rsidR="00410660" w:rsidRDefault="00F26AF2" w:rsidP="00A80F2E">
      <w:pPr>
        <w:pStyle w:val="TM4"/>
        <w:rPr>
          <w:rFonts w:asciiTheme="minorHAnsi" w:eastAsiaTheme="minorEastAsia" w:hAnsiTheme="minorHAnsi" w:cstheme="minorBidi"/>
          <w:noProof/>
          <w:sz w:val="22"/>
          <w:szCs w:val="22"/>
        </w:rPr>
      </w:pPr>
      <w:hyperlink w:anchor="_Toc8296458" w:history="1">
        <w:r w:rsidR="00410660" w:rsidRPr="00853AB4">
          <w:rPr>
            <w:rStyle w:val="Lienhypertexte"/>
            <w:noProof/>
          </w:rPr>
          <w:t>2.1.2.3</w:t>
        </w:r>
        <w:r w:rsidR="00410660">
          <w:rPr>
            <w:rFonts w:asciiTheme="minorHAnsi" w:eastAsiaTheme="minorEastAsia" w:hAnsiTheme="minorHAnsi" w:cstheme="minorBidi"/>
            <w:noProof/>
            <w:sz w:val="22"/>
            <w:szCs w:val="22"/>
          </w:rPr>
          <w:tab/>
        </w:r>
        <w:r w:rsidR="00410660" w:rsidRPr="00853AB4">
          <w:rPr>
            <w:rStyle w:val="Lienhypertexte"/>
            <w:noProof/>
          </w:rPr>
          <w:t>Qualitative and quantitative information on the composition of the biocidal product</w:t>
        </w:r>
        <w:r w:rsidR="00410660">
          <w:rPr>
            <w:noProof/>
            <w:webHidden/>
          </w:rPr>
          <w:tab/>
        </w:r>
        <w:r w:rsidR="00410660">
          <w:rPr>
            <w:noProof/>
            <w:webHidden/>
          </w:rPr>
          <w:fldChar w:fldCharType="begin"/>
        </w:r>
        <w:r w:rsidR="00410660">
          <w:rPr>
            <w:noProof/>
            <w:webHidden/>
          </w:rPr>
          <w:instrText xml:space="preserve"> PAGEREF _Toc8296458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18F48F27" w14:textId="295A5909" w:rsidR="00410660" w:rsidRDefault="00F26AF2" w:rsidP="00A80F2E">
      <w:pPr>
        <w:pStyle w:val="TM4"/>
        <w:rPr>
          <w:rFonts w:asciiTheme="minorHAnsi" w:eastAsiaTheme="minorEastAsia" w:hAnsiTheme="minorHAnsi" w:cstheme="minorBidi"/>
          <w:noProof/>
          <w:sz w:val="22"/>
          <w:szCs w:val="22"/>
        </w:rPr>
      </w:pPr>
      <w:hyperlink w:anchor="_Toc8296459" w:history="1">
        <w:r w:rsidR="00410660" w:rsidRPr="00853AB4">
          <w:rPr>
            <w:rStyle w:val="Lienhypertexte"/>
            <w:noProof/>
          </w:rPr>
          <w:t>2.1.2.4</w:t>
        </w:r>
        <w:r w:rsidR="00410660">
          <w:rPr>
            <w:rFonts w:asciiTheme="minorHAnsi" w:eastAsiaTheme="minorEastAsia" w:hAnsiTheme="minorHAnsi" w:cstheme="minorBidi"/>
            <w:noProof/>
            <w:sz w:val="22"/>
            <w:szCs w:val="22"/>
          </w:rPr>
          <w:tab/>
        </w:r>
        <w:r w:rsidR="00410660" w:rsidRPr="00853AB4">
          <w:rPr>
            <w:rStyle w:val="Lienhypertexte"/>
            <w:noProof/>
          </w:rPr>
          <w:t>Information on technical equivalence</w:t>
        </w:r>
        <w:r w:rsidR="00410660">
          <w:rPr>
            <w:noProof/>
            <w:webHidden/>
          </w:rPr>
          <w:tab/>
        </w:r>
        <w:r w:rsidR="00410660">
          <w:rPr>
            <w:noProof/>
            <w:webHidden/>
          </w:rPr>
          <w:fldChar w:fldCharType="begin"/>
        </w:r>
        <w:r w:rsidR="00410660">
          <w:rPr>
            <w:noProof/>
            <w:webHidden/>
          </w:rPr>
          <w:instrText xml:space="preserve"> PAGEREF _Toc8296459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792499EA" w14:textId="1A1212A5" w:rsidR="00410660" w:rsidRDefault="00F26AF2" w:rsidP="00A80F2E">
      <w:pPr>
        <w:pStyle w:val="TM4"/>
        <w:rPr>
          <w:rFonts w:asciiTheme="minorHAnsi" w:eastAsiaTheme="minorEastAsia" w:hAnsiTheme="minorHAnsi" w:cstheme="minorBidi"/>
          <w:noProof/>
          <w:sz w:val="22"/>
          <w:szCs w:val="22"/>
        </w:rPr>
      </w:pPr>
      <w:hyperlink w:anchor="_Toc8296460" w:history="1">
        <w:r w:rsidR="00410660" w:rsidRPr="00853AB4">
          <w:rPr>
            <w:rStyle w:val="Lienhypertexte"/>
            <w:noProof/>
          </w:rPr>
          <w:t>2.1.2.5</w:t>
        </w:r>
        <w:r w:rsidR="00410660">
          <w:rPr>
            <w:rFonts w:asciiTheme="minorHAnsi" w:eastAsiaTheme="minorEastAsia" w:hAnsiTheme="minorHAnsi" w:cstheme="minorBidi"/>
            <w:noProof/>
            <w:sz w:val="22"/>
            <w:szCs w:val="22"/>
          </w:rPr>
          <w:tab/>
        </w:r>
        <w:r w:rsidR="00410660" w:rsidRPr="00853AB4">
          <w:rPr>
            <w:rStyle w:val="Lienhypertexte"/>
            <w:noProof/>
          </w:rPr>
          <w:t>Information on the substance(s) of concern</w:t>
        </w:r>
        <w:r w:rsidR="00410660">
          <w:rPr>
            <w:noProof/>
            <w:webHidden/>
          </w:rPr>
          <w:tab/>
        </w:r>
        <w:r w:rsidR="00410660">
          <w:rPr>
            <w:noProof/>
            <w:webHidden/>
          </w:rPr>
          <w:fldChar w:fldCharType="begin"/>
        </w:r>
        <w:r w:rsidR="00410660">
          <w:rPr>
            <w:noProof/>
            <w:webHidden/>
          </w:rPr>
          <w:instrText xml:space="preserve"> PAGEREF _Toc8296460 \h </w:instrText>
        </w:r>
        <w:r w:rsidR="00410660">
          <w:rPr>
            <w:noProof/>
            <w:webHidden/>
          </w:rPr>
        </w:r>
        <w:r w:rsidR="00410660">
          <w:rPr>
            <w:noProof/>
            <w:webHidden/>
          </w:rPr>
          <w:fldChar w:fldCharType="separate"/>
        </w:r>
        <w:r w:rsidR="00213659">
          <w:rPr>
            <w:noProof/>
            <w:webHidden/>
          </w:rPr>
          <w:t>9</w:t>
        </w:r>
        <w:r w:rsidR="00410660">
          <w:rPr>
            <w:noProof/>
            <w:webHidden/>
          </w:rPr>
          <w:fldChar w:fldCharType="end"/>
        </w:r>
      </w:hyperlink>
    </w:p>
    <w:p w14:paraId="0C31A28B" w14:textId="4499C751" w:rsidR="00410660" w:rsidRDefault="00F26AF2" w:rsidP="00A80F2E">
      <w:pPr>
        <w:pStyle w:val="TM4"/>
        <w:rPr>
          <w:rFonts w:asciiTheme="minorHAnsi" w:eastAsiaTheme="minorEastAsia" w:hAnsiTheme="minorHAnsi" w:cstheme="minorBidi"/>
          <w:noProof/>
          <w:sz w:val="22"/>
          <w:szCs w:val="22"/>
        </w:rPr>
      </w:pPr>
      <w:hyperlink w:anchor="_Toc8296461" w:history="1">
        <w:r w:rsidR="00410660" w:rsidRPr="00853AB4">
          <w:rPr>
            <w:rStyle w:val="Lienhypertexte"/>
            <w:noProof/>
          </w:rPr>
          <w:t>2.1.2.6</w:t>
        </w:r>
        <w:r w:rsidR="00410660">
          <w:rPr>
            <w:rFonts w:asciiTheme="minorHAnsi" w:eastAsiaTheme="minorEastAsia" w:hAnsiTheme="minorHAnsi" w:cstheme="minorBidi"/>
            <w:noProof/>
            <w:sz w:val="22"/>
            <w:szCs w:val="22"/>
          </w:rPr>
          <w:tab/>
        </w:r>
        <w:r w:rsidR="00410660" w:rsidRPr="00853AB4">
          <w:rPr>
            <w:rStyle w:val="Lienhypertexte"/>
            <w:noProof/>
          </w:rPr>
          <w:t>Type of formulation</w:t>
        </w:r>
        <w:r w:rsidR="00410660">
          <w:rPr>
            <w:noProof/>
            <w:webHidden/>
          </w:rPr>
          <w:tab/>
        </w:r>
        <w:r w:rsidR="00410660">
          <w:rPr>
            <w:noProof/>
            <w:webHidden/>
          </w:rPr>
          <w:fldChar w:fldCharType="begin"/>
        </w:r>
        <w:r w:rsidR="00410660">
          <w:rPr>
            <w:noProof/>
            <w:webHidden/>
          </w:rPr>
          <w:instrText xml:space="preserve"> PAGEREF _Toc8296461 \h </w:instrText>
        </w:r>
        <w:r w:rsidR="00410660">
          <w:rPr>
            <w:noProof/>
            <w:webHidden/>
          </w:rPr>
        </w:r>
        <w:r w:rsidR="00410660">
          <w:rPr>
            <w:noProof/>
            <w:webHidden/>
          </w:rPr>
          <w:fldChar w:fldCharType="separate"/>
        </w:r>
        <w:r w:rsidR="00213659">
          <w:rPr>
            <w:noProof/>
            <w:webHidden/>
          </w:rPr>
          <w:t>10</w:t>
        </w:r>
        <w:r w:rsidR="00410660">
          <w:rPr>
            <w:noProof/>
            <w:webHidden/>
          </w:rPr>
          <w:fldChar w:fldCharType="end"/>
        </w:r>
      </w:hyperlink>
    </w:p>
    <w:p w14:paraId="67355DC6" w14:textId="075E1F00"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62" w:history="1">
        <w:r w:rsidR="00410660" w:rsidRPr="00853AB4">
          <w:rPr>
            <w:rStyle w:val="Lienhypertexte"/>
            <w:noProof/>
          </w:rPr>
          <w:t>2.1.3</w:t>
        </w:r>
        <w:r w:rsidR="00410660">
          <w:rPr>
            <w:rFonts w:asciiTheme="minorHAnsi" w:eastAsiaTheme="minorEastAsia" w:hAnsiTheme="minorHAnsi" w:cstheme="minorBidi"/>
            <w:i w:val="0"/>
            <w:noProof/>
            <w:sz w:val="22"/>
            <w:szCs w:val="22"/>
          </w:rPr>
          <w:tab/>
        </w:r>
        <w:r w:rsidR="00410660" w:rsidRPr="00853AB4">
          <w:rPr>
            <w:rStyle w:val="Lienhypertexte"/>
            <w:noProof/>
          </w:rPr>
          <w:t>Hazard and precautionary statements</w:t>
        </w:r>
        <w:r w:rsidR="00410660">
          <w:rPr>
            <w:noProof/>
            <w:webHidden/>
          </w:rPr>
          <w:tab/>
        </w:r>
        <w:r w:rsidR="00410660">
          <w:rPr>
            <w:noProof/>
            <w:webHidden/>
          </w:rPr>
          <w:fldChar w:fldCharType="begin"/>
        </w:r>
        <w:r w:rsidR="00410660">
          <w:rPr>
            <w:noProof/>
            <w:webHidden/>
          </w:rPr>
          <w:instrText xml:space="preserve"> PAGEREF _Toc8296462 \h </w:instrText>
        </w:r>
        <w:r w:rsidR="00410660">
          <w:rPr>
            <w:noProof/>
            <w:webHidden/>
          </w:rPr>
        </w:r>
        <w:r w:rsidR="00410660">
          <w:rPr>
            <w:noProof/>
            <w:webHidden/>
          </w:rPr>
          <w:fldChar w:fldCharType="separate"/>
        </w:r>
        <w:r w:rsidR="00213659">
          <w:rPr>
            <w:noProof/>
            <w:webHidden/>
          </w:rPr>
          <w:t>11</w:t>
        </w:r>
        <w:r w:rsidR="00410660">
          <w:rPr>
            <w:noProof/>
            <w:webHidden/>
          </w:rPr>
          <w:fldChar w:fldCharType="end"/>
        </w:r>
      </w:hyperlink>
    </w:p>
    <w:p w14:paraId="055B6660" w14:textId="356B56C6"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63" w:history="1">
        <w:r w:rsidR="00410660" w:rsidRPr="00853AB4">
          <w:rPr>
            <w:rStyle w:val="Lienhypertexte"/>
            <w:noProof/>
          </w:rPr>
          <w:t>2.1.4</w:t>
        </w:r>
        <w:r w:rsidR="00410660">
          <w:rPr>
            <w:rFonts w:asciiTheme="minorHAnsi" w:eastAsiaTheme="minorEastAsia" w:hAnsiTheme="minorHAnsi" w:cstheme="minorBidi"/>
            <w:i w:val="0"/>
            <w:noProof/>
            <w:sz w:val="22"/>
            <w:szCs w:val="22"/>
          </w:rPr>
          <w:tab/>
        </w:r>
        <w:r w:rsidR="00410660" w:rsidRPr="00853AB4">
          <w:rPr>
            <w:rStyle w:val="Lienhypertexte"/>
            <w:noProof/>
          </w:rPr>
          <w:t>Authorised use(s)</w:t>
        </w:r>
        <w:r w:rsidR="00410660">
          <w:rPr>
            <w:noProof/>
            <w:webHidden/>
          </w:rPr>
          <w:tab/>
        </w:r>
        <w:r w:rsidR="00410660">
          <w:rPr>
            <w:noProof/>
            <w:webHidden/>
          </w:rPr>
          <w:fldChar w:fldCharType="begin"/>
        </w:r>
        <w:r w:rsidR="00410660">
          <w:rPr>
            <w:noProof/>
            <w:webHidden/>
          </w:rPr>
          <w:instrText xml:space="preserve"> PAGEREF _Toc8296463 \h </w:instrText>
        </w:r>
        <w:r w:rsidR="00410660">
          <w:rPr>
            <w:noProof/>
            <w:webHidden/>
          </w:rPr>
        </w:r>
        <w:r w:rsidR="00410660">
          <w:rPr>
            <w:noProof/>
            <w:webHidden/>
          </w:rPr>
          <w:fldChar w:fldCharType="separate"/>
        </w:r>
        <w:r w:rsidR="00213659">
          <w:rPr>
            <w:noProof/>
            <w:webHidden/>
          </w:rPr>
          <w:t>12</w:t>
        </w:r>
        <w:r w:rsidR="00410660">
          <w:rPr>
            <w:noProof/>
            <w:webHidden/>
          </w:rPr>
          <w:fldChar w:fldCharType="end"/>
        </w:r>
      </w:hyperlink>
    </w:p>
    <w:p w14:paraId="1E732481" w14:textId="208FCBBA" w:rsidR="00410660" w:rsidRDefault="00F26AF2" w:rsidP="00A80F2E">
      <w:pPr>
        <w:pStyle w:val="TM4"/>
        <w:rPr>
          <w:rFonts w:asciiTheme="minorHAnsi" w:eastAsiaTheme="minorEastAsia" w:hAnsiTheme="minorHAnsi" w:cstheme="minorBidi"/>
          <w:noProof/>
          <w:sz w:val="22"/>
          <w:szCs w:val="22"/>
        </w:rPr>
      </w:pPr>
      <w:hyperlink w:anchor="_Toc8296464" w:history="1">
        <w:r w:rsidR="00410660" w:rsidRPr="00853AB4">
          <w:rPr>
            <w:rStyle w:val="Lienhypertexte"/>
            <w:noProof/>
          </w:rPr>
          <w:t>2.1.4.1</w:t>
        </w:r>
        <w:r w:rsidR="00410660">
          <w:rPr>
            <w:rFonts w:asciiTheme="minorHAnsi" w:eastAsiaTheme="minorEastAsia" w:hAnsiTheme="minorHAnsi" w:cstheme="minorBidi"/>
            <w:noProof/>
            <w:sz w:val="22"/>
            <w:szCs w:val="22"/>
          </w:rPr>
          <w:tab/>
        </w:r>
        <w:r w:rsidR="00410660" w:rsidRPr="00853AB4">
          <w:rPr>
            <w:rStyle w:val="Lienhypertexte"/>
            <w:noProof/>
          </w:rPr>
          <w:t>Use description</w:t>
        </w:r>
        <w:r w:rsidR="00410660">
          <w:rPr>
            <w:noProof/>
            <w:webHidden/>
          </w:rPr>
          <w:tab/>
        </w:r>
        <w:r w:rsidR="00410660">
          <w:rPr>
            <w:noProof/>
            <w:webHidden/>
          </w:rPr>
          <w:fldChar w:fldCharType="begin"/>
        </w:r>
        <w:r w:rsidR="00410660">
          <w:rPr>
            <w:noProof/>
            <w:webHidden/>
          </w:rPr>
          <w:instrText xml:space="preserve"> PAGEREF _Toc8296464 \h </w:instrText>
        </w:r>
        <w:r w:rsidR="00410660">
          <w:rPr>
            <w:noProof/>
            <w:webHidden/>
          </w:rPr>
        </w:r>
        <w:r w:rsidR="00410660">
          <w:rPr>
            <w:noProof/>
            <w:webHidden/>
          </w:rPr>
          <w:fldChar w:fldCharType="separate"/>
        </w:r>
        <w:r w:rsidR="00213659">
          <w:rPr>
            <w:noProof/>
            <w:webHidden/>
          </w:rPr>
          <w:t>12</w:t>
        </w:r>
        <w:r w:rsidR="00410660">
          <w:rPr>
            <w:noProof/>
            <w:webHidden/>
          </w:rPr>
          <w:fldChar w:fldCharType="end"/>
        </w:r>
      </w:hyperlink>
    </w:p>
    <w:p w14:paraId="424C221C" w14:textId="302C47F6" w:rsidR="00410660" w:rsidRDefault="00F26AF2" w:rsidP="00A80F2E">
      <w:pPr>
        <w:pStyle w:val="TM4"/>
        <w:rPr>
          <w:rFonts w:asciiTheme="minorHAnsi" w:eastAsiaTheme="minorEastAsia" w:hAnsiTheme="minorHAnsi" w:cstheme="minorBidi"/>
          <w:noProof/>
          <w:sz w:val="22"/>
          <w:szCs w:val="22"/>
        </w:rPr>
      </w:pPr>
      <w:hyperlink w:anchor="_Toc8296465" w:history="1">
        <w:r w:rsidR="00410660" w:rsidRPr="00853AB4">
          <w:rPr>
            <w:rStyle w:val="Lienhypertexte"/>
            <w:noProof/>
          </w:rPr>
          <w:t>2.1.4.2</w:t>
        </w:r>
        <w:r w:rsidR="00410660">
          <w:rPr>
            <w:rFonts w:asciiTheme="minorHAnsi" w:eastAsiaTheme="minorEastAsia" w:hAnsiTheme="minorHAnsi" w:cstheme="minorBidi"/>
            <w:noProof/>
            <w:sz w:val="22"/>
            <w:szCs w:val="22"/>
          </w:rPr>
          <w:tab/>
        </w:r>
        <w:r w:rsidR="00410660" w:rsidRPr="00853AB4">
          <w:rPr>
            <w:rStyle w:val="Lienhypertexte"/>
            <w:noProof/>
          </w:rPr>
          <w:t>Use-specific instructions for use</w:t>
        </w:r>
        <w:r w:rsidR="00410660">
          <w:rPr>
            <w:noProof/>
            <w:webHidden/>
          </w:rPr>
          <w:tab/>
        </w:r>
        <w:r w:rsidR="00410660">
          <w:rPr>
            <w:noProof/>
            <w:webHidden/>
          </w:rPr>
          <w:fldChar w:fldCharType="begin"/>
        </w:r>
        <w:r w:rsidR="00410660">
          <w:rPr>
            <w:noProof/>
            <w:webHidden/>
          </w:rPr>
          <w:instrText xml:space="preserve"> PAGEREF _Toc8296465 \h </w:instrText>
        </w:r>
        <w:r w:rsidR="00410660">
          <w:rPr>
            <w:noProof/>
            <w:webHidden/>
          </w:rPr>
        </w:r>
        <w:r w:rsidR="00410660">
          <w:rPr>
            <w:noProof/>
            <w:webHidden/>
          </w:rPr>
          <w:fldChar w:fldCharType="separate"/>
        </w:r>
        <w:r w:rsidR="00213659">
          <w:rPr>
            <w:noProof/>
            <w:webHidden/>
          </w:rPr>
          <w:t>12</w:t>
        </w:r>
        <w:r w:rsidR="00410660">
          <w:rPr>
            <w:noProof/>
            <w:webHidden/>
          </w:rPr>
          <w:fldChar w:fldCharType="end"/>
        </w:r>
      </w:hyperlink>
    </w:p>
    <w:p w14:paraId="7DC55D51" w14:textId="55BCE81F" w:rsidR="00410660" w:rsidRDefault="00F26AF2" w:rsidP="00A80F2E">
      <w:pPr>
        <w:pStyle w:val="TM4"/>
        <w:rPr>
          <w:rFonts w:asciiTheme="minorHAnsi" w:eastAsiaTheme="minorEastAsia" w:hAnsiTheme="minorHAnsi" w:cstheme="minorBidi"/>
          <w:noProof/>
          <w:sz w:val="22"/>
          <w:szCs w:val="22"/>
        </w:rPr>
      </w:pPr>
      <w:hyperlink w:anchor="_Toc8296466" w:history="1">
        <w:r w:rsidR="00410660" w:rsidRPr="00853AB4">
          <w:rPr>
            <w:rStyle w:val="Lienhypertexte"/>
            <w:noProof/>
          </w:rPr>
          <w:t>2.1.4.3</w:t>
        </w:r>
        <w:r w:rsidR="00410660">
          <w:rPr>
            <w:rFonts w:asciiTheme="minorHAnsi" w:eastAsiaTheme="minorEastAsia" w:hAnsiTheme="minorHAnsi" w:cstheme="minorBidi"/>
            <w:noProof/>
            <w:sz w:val="22"/>
            <w:szCs w:val="22"/>
          </w:rPr>
          <w:tab/>
        </w:r>
        <w:r w:rsidR="00410660" w:rsidRPr="00853AB4">
          <w:rPr>
            <w:rStyle w:val="Lienhypertexte"/>
            <w:noProof/>
          </w:rPr>
          <w:t>Use-specific risk mitigation measures</w:t>
        </w:r>
        <w:r w:rsidR="00410660">
          <w:rPr>
            <w:noProof/>
            <w:webHidden/>
          </w:rPr>
          <w:tab/>
        </w:r>
        <w:r w:rsidR="00410660">
          <w:rPr>
            <w:noProof/>
            <w:webHidden/>
          </w:rPr>
          <w:fldChar w:fldCharType="begin"/>
        </w:r>
        <w:r w:rsidR="00410660">
          <w:rPr>
            <w:noProof/>
            <w:webHidden/>
          </w:rPr>
          <w:instrText xml:space="preserve"> PAGEREF _Toc8296466 \h </w:instrText>
        </w:r>
        <w:r w:rsidR="00410660">
          <w:rPr>
            <w:noProof/>
            <w:webHidden/>
          </w:rPr>
        </w:r>
        <w:r w:rsidR="00410660">
          <w:rPr>
            <w:noProof/>
            <w:webHidden/>
          </w:rPr>
          <w:fldChar w:fldCharType="separate"/>
        </w:r>
        <w:r w:rsidR="00213659">
          <w:rPr>
            <w:noProof/>
            <w:webHidden/>
          </w:rPr>
          <w:t>13</w:t>
        </w:r>
        <w:r w:rsidR="00410660">
          <w:rPr>
            <w:noProof/>
            <w:webHidden/>
          </w:rPr>
          <w:fldChar w:fldCharType="end"/>
        </w:r>
      </w:hyperlink>
    </w:p>
    <w:p w14:paraId="1799E1C4" w14:textId="691C8AE9" w:rsidR="00410660" w:rsidRDefault="00F26AF2" w:rsidP="00A80F2E">
      <w:pPr>
        <w:pStyle w:val="TM4"/>
        <w:rPr>
          <w:rFonts w:asciiTheme="minorHAnsi" w:eastAsiaTheme="minorEastAsia" w:hAnsiTheme="minorHAnsi" w:cstheme="minorBidi"/>
          <w:noProof/>
          <w:sz w:val="22"/>
          <w:szCs w:val="22"/>
        </w:rPr>
      </w:pPr>
      <w:hyperlink w:anchor="_Toc8296467" w:history="1">
        <w:r w:rsidR="00410660" w:rsidRPr="00853AB4">
          <w:rPr>
            <w:rStyle w:val="Lienhypertexte"/>
            <w:noProof/>
          </w:rPr>
          <w:t>2.1.4.4</w:t>
        </w:r>
        <w:r w:rsidR="00410660">
          <w:rPr>
            <w:rFonts w:asciiTheme="minorHAnsi" w:eastAsiaTheme="minorEastAsia" w:hAnsiTheme="minorHAnsi" w:cstheme="minorBidi"/>
            <w:noProof/>
            <w:sz w:val="22"/>
            <w:szCs w:val="22"/>
          </w:rPr>
          <w:tab/>
        </w:r>
        <w:r w:rsidR="00410660" w:rsidRPr="00853AB4">
          <w:rPr>
            <w:rStyle w:val="Lienhypertexte"/>
            <w:noProof/>
          </w:rPr>
          <w:t>Where specific to the use, the particulars of likely direct or indirect effects, first aid instructions and emergency measures to protect the environment</w:t>
        </w:r>
        <w:r w:rsidR="00410660">
          <w:rPr>
            <w:noProof/>
            <w:webHidden/>
          </w:rPr>
          <w:tab/>
        </w:r>
        <w:r w:rsidR="00410660">
          <w:rPr>
            <w:noProof/>
            <w:webHidden/>
          </w:rPr>
          <w:fldChar w:fldCharType="begin"/>
        </w:r>
        <w:r w:rsidR="00410660">
          <w:rPr>
            <w:noProof/>
            <w:webHidden/>
          </w:rPr>
          <w:instrText xml:space="preserve"> PAGEREF _Toc8296467 \h </w:instrText>
        </w:r>
        <w:r w:rsidR="00410660">
          <w:rPr>
            <w:noProof/>
            <w:webHidden/>
          </w:rPr>
        </w:r>
        <w:r w:rsidR="00410660">
          <w:rPr>
            <w:noProof/>
            <w:webHidden/>
          </w:rPr>
          <w:fldChar w:fldCharType="separate"/>
        </w:r>
        <w:r w:rsidR="00213659">
          <w:rPr>
            <w:noProof/>
            <w:webHidden/>
          </w:rPr>
          <w:t>13</w:t>
        </w:r>
        <w:r w:rsidR="00410660">
          <w:rPr>
            <w:noProof/>
            <w:webHidden/>
          </w:rPr>
          <w:fldChar w:fldCharType="end"/>
        </w:r>
      </w:hyperlink>
    </w:p>
    <w:p w14:paraId="0576E111" w14:textId="238B2152" w:rsidR="00410660" w:rsidRDefault="00F26AF2" w:rsidP="00A80F2E">
      <w:pPr>
        <w:pStyle w:val="TM4"/>
        <w:rPr>
          <w:rFonts w:asciiTheme="minorHAnsi" w:eastAsiaTheme="minorEastAsia" w:hAnsiTheme="minorHAnsi" w:cstheme="minorBidi"/>
          <w:noProof/>
          <w:sz w:val="22"/>
          <w:szCs w:val="22"/>
        </w:rPr>
      </w:pPr>
      <w:hyperlink w:anchor="_Toc8296468" w:history="1">
        <w:r w:rsidR="00410660" w:rsidRPr="00853AB4">
          <w:rPr>
            <w:rStyle w:val="Lienhypertexte"/>
            <w:noProof/>
          </w:rPr>
          <w:t>2.1.4.5</w:t>
        </w:r>
        <w:r w:rsidR="00410660">
          <w:rPr>
            <w:rFonts w:asciiTheme="minorHAnsi" w:eastAsiaTheme="minorEastAsia" w:hAnsiTheme="minorHAnsi" w:cstheme="minorBidi"/>
            <w:noProof/>
            <w:sz w:val="22"/>
            <w:szCs w:val="22"/>
          </w:rPr>
          <w:tab/>
        </w:r>
        <w:r w:rsidR="00410660" w:rsidRPr="00853AB4">
          <w:rPr>
            <w:rStyle w:val="Lienhypertexte"/>
            <w:noProof/>
          </w:rPr>
          <w:t>Where specific to the use, the instructions for safe disposal of the product and its packaging</w:t>
        </w:r>
        <w:r w:rsidR="00410660">
          <w:rPr>
            <w:noProof/>
            <w:webHidden/>
          </w:rPr>
          <w:tab/>
        </w:r>
        <w:r w:rsidR="00410660">
          <w:rPr>
            <w:noProof/>
            <w:webHidden/>
          </w:rPr>
          <w:fldChar w:fldCharType="begin"/>
        </w:r>
        <w:r w:rsidR="00410660">
          <w:rPr>
            <w:noProof/>
            <w:webHidden/>
          </w:rPr>
          <w:instrText xml:space="preserve"> PAGEREF _Toc8296468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3CA4F9E1" w14:textId="6C5A9A6F" w:rsidR="00410660" w:rsidRDefault="00F26AF2" w:rsidP="00A80F2E">
      <w:pPr>
        <w:pStyle w:val="TM4"/>
        <w:rPr>
          <w:rFonts w:asciiTheme="minorHAnsi" w:eastAsiaTheme="minorEastAsia" w:hAnsiTheme="minorHAnsi" w:cstheme="minorBidi"/>
          <w:noProof/>
          <w:sz w:val="22"/>
          <w:szCs w:val="22"/>
        </w:rPr>
      </w:pPr>
      <w:hyperlink w:anchor="_Toc8296469" w:history="1">
        <w:r w:rsidR="00410660" w:rsidRPr="00853AB4">
          <w:rPr>
            <w:rStyle w:val="Lienhypertexte"/>
            <w:noProof/>
          </w:rPr>
          <w:t>2.1.4.6</w:t>
        </w:r>
        <w:r w:rsidR="00410660">
          <w:rPr>
            <w:rFonts w:asciiTheme="minorHAnsi" w:eastAsiaTheme="minorEastAsia" w:hAnsiTheme="minorHAnsi" w:cstheme="minorBidi"/>
            <w:noProof/>
            <w:sz w:val="22"/>
            <w:szCs w:val="22"/>
          </w:rPr>
          <w:tab/>
        </w:r>
        <w:r w:rsidR="00410660" w:rsidRPr="00853AB4">
          <w:rPr>
            <w:rStyle w:val="Lienhypertexte"/>
            <w:noProof/>
          </w:rPr>
          <w:t>Where specific to the use, the conditions of storage and shelf-life of the product under normal conditions of storage</w:t>
        </w:r>
        <w:r w:rsidR="00410660">
          <w:rPr>
            <w:noProof/>
            <w:webHidden/>
          </w:rPr>
          <w:tab/>
        </w:r>
        <w:r w:rsidR="00410660">
          <w:rPr>
            <w:noProof/>
            <w:webHidden/>
          </w:rPr>
          <w:fldChar w:fldCharType="begin"/>
        </w:r>
        <w:r w:rsidR="00410660">
          <w:rPr>
            <w:noProof/>
            <w:webHidden/>
          </w:rPr>
          <w:instrText xml:space="preserve"> PAGEREF _Toc8296469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20130921" w14:textId="36FC99D8"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70" w:history="1">
        <w:r w:rsidR="00410660" w:rsidRPr="00853AB4">
          <w:rPr>
            <w:rStyle w:val="Lienhypertexte"/>
            <w:noProof/>
          </w:rPr>
          <w:t>2.1.5</w:t>
        </w:r>
        <w:r w:rsidR="00410660">
          <w:rPr>
            <w:rFonts w:asciiTheme="minorHAnsi" w:eastAsiaTheme="minorEastAsia" w:hAnsiTheme="minorHAnsi" w:cstheme="minorBidi"/>
            <w:i w:val="0"/>
            <w:noProof/>
            <w:sz w:val="22"/>
            <w:szCs w:val="22"/>
          </w:rPr>
          <w:tab/>
        </w:r>
        <w:r w:rsidR="00410660" w:rsidRPr="00853AB4">
          <w:rPr>
            <w:rStyle w:val="Lienhypertexte"/>
            <w:noProof/>
          </w:rPr>
          <w:t>General directions for use</w:t>
        </w:r>
        <w:r w:rsidR="00410660">
          <w:rPr>
            <w:noProof/>
            <w:webHidden/>
          </w:rPr>
          <w:tab/>
        </w:r>
        <w:r w:rsidR="00410660">
          <w:rPr>
            <w:noProof/>
            <w:webHidden/>
          </w:rPr>
          <w:fldChar w:fldCharType="begin"/>
        </w:r>
        <w:r w:rsidR="00410660">
          <w:rPr>
            <w:noProof/>
            <w:webHidden/>
          </w:rPr>
          <w:instrText xml:space="preserve"> PAGEREF _Toc8296470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1551E90B" w14:textId="7F58F5CD" w:rsidR="00410660" w:rsidRDefault="00F26AF2" w:rsidP="00A80F2E">
      <w:pPr>
        <w:pStyle w:val="TM4"/>
        <w:rPr>
          <w:rFonts w:asciiTheme="minorHAnsi" w:eastAsiaTheme="minorEastAsia" w:hAnsiTheme="minorHAnsi" w:cstheme="minorBidi"/>
          <w:noProof/>
          <w:sz w:val="22"/>
          <w:szCs w:val="22"/>
        </w:rPr>
      </w:pPr>
      <w:hyperlink w:anchor="_Toc8296471" w:history="1">
        <w:r w:rsidR="00410660" w:rsidRPr="00853AB4">
          <w:rPr>
            <w:rStyle w:val="Lienhypertexte"/>
            <w:noProof/>
          </w:rPr>
          <w:t>2.1.5.1</w:t>
        </w:r>
        <w:r w:rsidR="00410660">
          <w:rPr>
            <w:rFonts w:asciiTheme="minorHAnsi" w:eastAsiaTheme="minorEastAsia" w:hAnsiTheme="minorHAnsi" w:cstheme="minorBidi"/>
            <w:noProof/>
            <w:sz w:val="22"/>
            <w:szCs w:val="22"/>
          </w:rPr>
          <w:tab/>
        </w:r>
        <w:r w:rsidR="00410660" w:rsidRPr="00853AB4">
          <w:rPr>
            <w:rStyle w:val="Lienhypertexte"/>
            <w:noProof/>
          </w:rPr>
          <w:t>Instructions for use</w:t>
        </w:r>
        <w:r w:rsidR="00410660">
          <w:rPr>
            <w:noProof/>
            <w:webHidden/>
          </w:rPr>
          <w:tab/>
        </w:r>
        <w:r w:rsidR="00410660">
          <w:rPr>
            <w:noProof/>
            <w:webHidden/>
          </w:rPr>
          <w:fldChar w:fldCharType="begin"/>
        </w:r>
        <w:r w:rsidR="00410660">
          <w:rPr>
            <w:noProof/>
            <w:webHidden/>
          </w:rPr>
          <w:instrText xml:space="preserve"> PAGEREF _Toc8296471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02660B5D" w14:textId="6BD8762E" w:rsidR="00410660" w:rsidRDefault="00F26AF2" w:rsidP="00A80F2E">
      <w:pPr>
        <w:pStyle w:val="TM4"/>
        <w:rPr>
          <w:rFonts w:asciiTheme="minorHAnsi" w:eastAsiaTheme="minorEastAsia" w:hAnsiTheme="minorHAnsi" w:cstheme="minorBidi"/>
          <w:noProof/>
          <w:sz w:val="22"/>
          <w:szCs w:val="22"/>
        </w:rPr>
      </w:pPr>
      <w:hyperlink w:anchor="_Toc8296472" w:history="1">
        <w:r w:rsidR="00410660" w:rsidRPr="00853AB4">
          <w:rPr>
            <w:rStyle w:val="Lienhypertexte"/>
            <w:noProof/>
          </w:rPr>
          <w:t>2.1.5.2</w:t>
        </w:r>
        <w:r w:rsidR="00410660">
          <w:rPr>
            <w:rFonts w:asciiTheme="minorHAnsi" w:eastAsiaTheme="minorEastAsia" w:hAnsiTheme="minorHAnsi" w:cstheme="minorBidi"/>
            <w:noProof/>
            <w:sz w:val="22"/>
            <w:szCs w:val="22"/>
          </w:rPr>
          <w:tab/>
        </w:r>
        <w:r w:rsidR="00410660" w:rsidRPr="00853AB4">
          <w:rPr>
            <w:rStyle w:val="Lienhypertexte"/>
            <w:noProof/>
          </w:rPr>
          <w:t>Risk mitigation measures</w:t>
        </w:r>
        <w:r w:rsidR="00410660">
          <w:rPr>
            <w:noProof/>
            <w:webHidden/>
          </w:rPr>
          <w:tab/>
        </w:r>
        <w:r w:rsidR="00410660">
          <w:rPr>
            <w:noProof/>
            <w:webHidden/>
          </w:rPr>
          <w:fldChar w:fldCharType="begin"/>
        </w:r>
        <w:r w:rsidR="00410660">
          <w:rPr>
            <w:noProof/>
            <w:webHidden/>
          </w:rPr>
          <w:instrText xml:space="preserve"> PAGEREF _Toc8296472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1FCEA363" w14:textId="676929F6" w:rsidR="00410660" w:rsidRDefault="00F26AF2" w:rsidP="00A80F2E">
      <w:pPr>
        <w:pStyle w:val="TM4"/>
        <w:rPr>
          <w:rFonts w:asciiTheme="minorHAnsi" w:eastAsiaTheme="minorEastAsia" w:hAnsiTheme="minorHAnsi" w:cstheme="minorBidi"/>
          <w:noProof/>
          <w:sz w:val="22"/>
          <w:szCs w:val="22"/>
        </w:rPr>
      </w:pPr>
      <w:hyperlink w:anchor="_Toc8296473" w:history="1">
        <w:r w:rsidR="00410660" w:rsidRPr="00853AB4">
          <w:rPr>
            <w:rStyle w:val="Lienhypertexte"/>
            <w:noProof/>
          </w:rPr>
          <w:t>2.1.5.3</w:t>
        </w:r>
        <w:r w:rsidR="00410660">
          <w:rPr>
            <w:rFonts w:asciiTheme="minorHAnsi" w:eastAsiaTheme="minorEastAsia" w:hAnsiTheme="minorHAnsi" w:cstheme="minorBidi"/>
            <w:noProof/>
            <w:sz w:val="22"/>
            <w:szCs w:val="22"/>
          </w:rPr>
          <w:tab/>
        </w:r>
        <w:r w:rsidR="00410660" w:rsidRPr="00853AB4">
          <w:rPr>
            <w:rStyle w:val="Lienhypertexte"/>
            <w:noProof/>
          </w:rPr>
          <w:t>Particulars of likely direct or indirect effects, first aid instructions and emergency measures to protect the environment</w:t>
        </w:r>
        <w:r w:rsidR="00410660">
          <w:rPr>
            <w:noProof/>
            <w:webHidden/>
          </w:rPr>
          <w:tab/>
        </w:r>
        <w:r w:rsidR="00410660">
          <w:rPr>
            <w:noProof/>
            <w:webHidden/>
          </w:rPr>
          <w:fldChar w:fldCharType="begin"/>
        </w:r>
        <w:r w:rsidR="00410660">
          <w:rPr>
            <w:noProof/>
            <w:webHidden/>
          </w:rPr>
          <w:instrText xml:space="preserve"> PAGEREF _Toc8296473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555ED413" w14:textId="4DFB5730" w:rsidR="00410660" w:rsidRDefault="00F26AF2" w:rsidP="00A80F2E">
      <w:pPr>
        <w:pStyle w:val="TM4"/>
        <w:rPr>
          <w:rFonts w:asciiTheme="minorHAnsi" w:eastAsiaTheme="minorEastAsia" w:hAnsiTheme="minorHAnsi" w:cstheme="minorBidi"/>
          <w:noProof/>
          <w:sz w:val="22"/>
          <w:szCs w:val="22"/>
        </w:rPr>
      </w:pPr>
      <w:hyperlink w:anchor="_Toc8296474" w:history="1">
        <w:r w:rsidR="00410660" w:rsidRPr="00853AB4">
          <w:rPr>
            <w:rStyle w:val="Lienhypertexte"/>
            <w:noProof/>
          </w:rPr>
          <w:t>2.1.5.4</w:t>
        </w:r>
        <w:r w:rsidR="00410660">
          <w:rPr>
            <w:rFonts w:asciiTheme="minorHAnsi" w:eastAsiaTheme="minorEastAsia" w:hAnsiTheme="minorHAnsi" w:cstheme="minorBidi"/>
            <w:noProof/>
            <w:sz w:val="22"/>
            <w:szCs w:val="22"/>
          </w:rPr>
          <w:tab/>
        </w:r>
        <w:r w:rsidR="00410660" w:rsidRPr="00853AB4">
          <w:rPr>
            <w:rStyle w:val="Lienhypertexte"/>
            <w:noProof/>
          </w:rPr>
          <w:t>Instructions for safe disposal of the product and its packaging</w:t>
        </w:r>
        <w:r w:rsidR="00410660">
          <w:rPr>
            <w:noProof/>
            <w:webHidden/>
          </w:rPr>
          <w:tab/>
        </w:r>
        <w:r w:rsidR="00410660">
          <w:rPr>
            <w:noProof/>
            <w:webHidden/>
          </w:rPr>
          <w:fldChar w:fldCharType="begin"/>
        </w:r>
        <w:r w:rsidR="00410660">
          <w:rPr>
            <w:noProof/>
            <w:webHidden/>
          </w:rPr>
          <w:instrText xml:space="preserve"> PAGEREF _Toc8296474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31FAB5D8" w14:textId="1BCAB808" w:rsidR="00410660" w:rsidRDefault="00F26AF2" w:rsidP="00A80F2E">
      <w:pPr>
        <w:pStyle w:val="TM4"/>
        <w:rPr>
          <w:rFonts w:asciiTheme="minorHAnsi" w:eastAsiaTheme="minorEastAsia" w:hAnsiTheme="minorHAnsi" w:cstheme="minorBidi"/>
          <w:noProof/>
          <w:sz w:val="22"/>
          <w:szCs w:val="22"/>
        </w:rPr>
      </w:pPr>
      <w:hyperlink w:anchor="_Toc8296475" w:history="1">
        <w:r w:rsidR="00410660" w:rsidRPr="00853AB4">
          <w:rPr>
            <w:rStyle w:val="Lienhypertexte"/>
            <w:noProof/>
          </w:rPr>
          <w:t>2.1.5.5</w:t>
        </w:r>
        <w:r w:rsidR="00410660">
          <w:rPr>
            <w:rFonts w:asciiTheme="minorHAnsi" w:eastAsiaTheme="minorEastAsia" w:hAnsiTheme="minorHAnsi" w:cstheme="minorBidi"/>
            <w:noProof/>
            <w:sz w:val="22"/>
            <w:szCs w:val="22"/>
          </w:rPr>
          <w:tab/>
        </w:r>
        <w:r w:rsidR="00410660" w:rsidRPr="00853AB4">
          <w:rPr>
            <w:rStyle w:val="Lienhypertexte"/>
            <w:noProof/>
          </w:rPr>
          <w:t>Conditions of storage and shelf-life of the product under normal conditions of storage</w:t>
        </w:r>
        <w:r w:rsidR="00410660">
          <w:rPr>
            <w:noProof/>
            <w:webHidden/>
          </w:rPr>
          <w:tab/>
        </w:r>
        <w:r w:rsidR="00410660">
          <w:rPr>
            <w:noProof/>
            <w:webHidden/>
          </w:rPr>
          <w:fldChar w:fldCharType="begin"/>
        </w:r>
        <w:r w:rsidR="00410660">
          <w:rPr>
            <w:noProof/>
            <w:webHidden/>
          </w:rPr>
          <w:instrText xml:space="preserve"> PAGEREF _Toc8296475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7A1EEA3E" w14:textId="43B322BF"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76" w:history="1">
        <w:r w:rsidR="00410660" w:rsidRPr="00853AB4">
          <w:rPr>
            <w:rStyle w:val="Lienhypertexte"/>
            <w:noProof/>
          </w:rPr>
          <w:t>2.1.6</w:t>
        </w:r>
        <w:r w:rsidR="00410660">
          <w:rPr>
            <w:rFonts w:asciiTheme="minorHAnsi" w:eastAsiaTheme="minorEastAsia" w:hAnsiTheme="minorHAnsi" w:cstheme="minorBidi"/>
            <w:i w:val="0"/>
            <w:noProof/>
            <w:sz w:val="22"/>
            <w:szCs w:val="22"/>
          </w:rPr>
          <w:tab/>
        </w:r>
        <w:r w:rsidR="00410660" w:rsidRPr="00853AB4">
          <w:rPr>
            <w:rStyle w:val="Lienhypertexte"/>
            <w:noProof/>
          </w:rPr>
          <w:t>Other information</w:t>
        </w:r>
        <w:r w:rsidR="00410660">
          <w:rPr>
            <w:noProof/>
            <w:webHidden/>
          </w:rPr>
          <w:tab/>
        </w:r>
        <w:r w:rsidR="00410660">
          <w:rPr>
            <w:noProof/>
            <w:webHidden/>
          </w:rPr>
          <w:fldChar w:fldCharType="begin"/>
        </w:r>
        <w:r w:rsidR="00410660">
          <w:rPr>
            <w:noProof/>
            <w:webHidden/>
          </w:rPr>
          <w:instrText xml:space="preserve"> PAGEREF _Toc8296476 \h </w:instrText>
        </w:r>
        <w:r w:rsidR="00410660">
          <w:rPr>
            <w:noProof/>
            <w:webHidden/>
          </w:rPr>
        </w:r>
        <w:r w:rsidR="00410660">
          <w:rPr>
            <w:noProof/>
            <w:webHidden/>
          </w:rPr>
          <w:fldChar w:fldCharType="separate"/>
        </w:r>
        <w:r w:rsidR="00213659">
          <w:rPr>
            <w:noProof/>
            <w:webHidden/>
          </w:rPr>
          <w:t>14</w:t>
        </w:r>
        <w:r w:rsidR="00410660">
          <w:rPr>
            <w:noProof/>
            <w:webHidden/>
          </w:rPr>
          <w:fldChar w:fldCharType="end"/>
        </w:r>
      </w:hyperlink>
    </w:p>
    <w:p w14:paraId="0F0D575E" w14:textId="682C7A9C"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77" w:history="1">
        <w:r w:rsidR="00410660" w:rsidRPr="00853AB4">
          <w:rPr>
            <w:rStyle w:val="Lienhypertexte"/>
            <w:noProof/>
          </w:rPr>
          <w:t>2.1.7</w:t>
        </w:r>
        <w:r w:rsidR="00410660">
          <w:rPr>
            <w:rFonts w:asciiTheme="minorHAnsi" w:eastAsiaTheme="minorEastAsia" w:hAnsiTheme="minorHAnsi" w:cstheme="minorBidi"/>
            <w:i w:val="0"/>
            <w:noProof/>
            <w:sz w:val="22"/>
            <w:szCs w:val="22"/>
          </w:rPr>
          <w:tab/>
        </w:r>
        <w:r w:rsidR="00410660" w:rsidRPr="00853AB4">
          <w:rPr>
            <w:rStyle w:val="Lienhypertexte"/>
            <w:noProof/>
          </w:rPr>
          <w:t>Packaging of the biocidal product</w:t>
        </w:r>
        <w:r w:rsidR="00410660">
          <w:rPr>
            <w:noProof/>
            <w:webHidden/>
          </w:rPr>
          <w:tab/>
        </w:r>
        <w:r w:rsidR="00410660">
          <w:rPr>
            <w:noProof/>
            <w:webHidden/>
          </w:rPr>
          <w:fldChar w:fldCharType="begin"/>
        </w:r>
        <w:r w:rsidR="00410660">
          <w:rPr>
            <w:noProof/>
            <w:webHidden/>
          </w:rPr>
          <w:instrText xml:space="preserve"> PAGEREF _Toc8296477 \h </w:instrText>
        </w:r>
        <w:r w:rsidR="00410660">
          <w:rPr>
            <w:noProof/>
            <w:webHidden/>
          </w:rPr>
        </w:r>
        <w:r w:rsidR="00410660">
          <w:rPr>
            <w:noProof/>
            <w:webHidden/>
          </w:rPr>
          <w:fldChar w:fldCharType="separate"/>
        </w:r>
        <w:r w:rsidR="00213659">
          <w:rPr>
            <w:noProof/>
            <w:webHidden/>
          </w:rPr>
          <w:t>15</w:t>
        </w:r>
        <w:r w:rsidR="00410660">
          <w:rPr>
            <w:noProof/>
            <w:webHidden/>
          </w:rPr>
          <w:fldChar w:fldCharType="end"/>
        </w:r>
      </w:hyperlink>
    </w:p>
    <w:p w14:paraId="0DDD7AF5" w14:textId="014D5376"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78" w:history="1">
        <w:r w:rsidR="00410660" w:rsidRPr="00853AB4">
          <w:rPr>
            <w:rStyle w:val="Lienhypertexte"/>
            <w:noProof/>
          </w:rPr>
          <w:t>2.1.8</w:t>
        </w:r>
        <w:r w:rsidR="00410660">
          <w:rPr>
            <w:rFonts w:asciiTheme="minorHAnsi" w:eastAsiaTheme="minorEastAsia" w:hAnsiTheme="minorHAnsi" w:cstheme="minorBidi"/>
            <w:i w:val="0"/>
            <w:noProof/>
            <w:sz w:val="22"/>
            <w:szCs w:val="22"/>
          </w:rPr>
          <w:tab/>
        </w:r>
        <w:r w:rsidR="00410660" w:rsidRPr="00853AB4">
          <w:rPr>
            <w:rStyle w:val="Lienhypertexte"/>
            <w:noProof/>
          </w:rPr>
          <w:t>Documentation</w:t>
        </w:r>
        <w:r w:rsidR="00410660">
          <w:rPr>
            <w:noProof/>
            <w:webHidden/>
          </w:rPr>
          <w:tab/>
        </w:r>
        <w:r w:rsidR="00410660">
          <w:rPr>
            <w:noProof/>
            <w:webHidden/>
          </w:rPr>
          <w:fldChar w:fldCharType="begin"/>
        </w:r>
        <w:r w:rsidR="00410660">
          <w:rPr>
            <w:noProof/>
            <w:webHidden/>
          </w:rPr>
          <w:instrText xml:space="preserve"> PAGEREF _Toc8296478 \h </w:instrText>
        </w:r>
        <w:r w:rsidR="00410660">
          <w:rPr>
            <w:noProof/>
            <w:webHidden/>
          </w:rPr>
        </w:r>
        <w:r w:rsidR="00410660">
          <w:rPr>
            <w:noProof/>
            <w:webHidden/>
          </w:rPr>
          <w:fldChar w:fldCharType="separate"/>
        </w:r>
        <w:r w:rsidR="00213659">
          <w:rPr>
            <w:noProof/>
            <w:webHidden/>
          </w:rPr>
          <w:t>16</w:t>
        </w:r>
        <w:r w:rsidR="00410660">
          <w:rPr>
            <w:noProof/>
            <w:webHidden/>
          </w:rPr>
          <w:fldChar w:fldCharType="end"/>
        </w:r>
      </w:hyperlink>
    </w:p>
    <w:p w14:paraId="04C2B943" w14:textId="000EADC2" w:rsidR="00410660" w:rsidRDefault="00F26AF2" w:rsidP="00A80F2E">
      <w:pPr>
        <w:pStyle w:val="TM4"/>
        <w:rPr>
          <w:rFonts w:asciiTheme="minorHAnsi" w:eastAsiaTheme="minorEastAsia" w:hAnsiTheme="minorHAnsi" w:cstheme="minorBidi"/>
          <w:noProof/>
          <w:sz w:val="22"/>
          <w:szCs w:val="22"/>
        </w:rPr>
      </w:pPr>
      <w:hyperlink w:anchor="_Toc8296479" w:history="1">
        <w:r w:rsidR="00410660" w:rsidRPr="00853AB4">
          <w:rPr>
            <w:rStyle w:val="Lienhypertexte"/>
            <w:noProof/>
          </w:rPr>
          <w:t>2.1.8.1</w:t>
        </w:r>
        <w:r w:rsidR="00410660">
          <w:rPr>
            <w:rFonts w:asciiTheme="minorHAnsi" w:eastAsiaTheme="minorEastAsia" w:hAnsiTheme="minorHAnsi" w:cstheme="minorBidi"/>
            <w:noProof/>
            <w:sz w:val="22"/>
            <w:szCs w:val="22"/>
          </w:rPr>
          <w:tab/>
        </w:r>
        <w:r w:rsidR="00410660" w:rsidRPr="00853AB4">
          <w:rPr>
            <w:rStyle w:val="Lienhypertexte"/>
            <w:noProof/>
          </w:rPr>
          <w:t>Data submitted in relation to product application</w:t>
        </w:r>
        <w:r w:rsidR="00410660">
          <w:rPr>
            <w:noProof/>
            <w:webHidden/>
          </w:rPr>
          <w:tab/>
        </w:r>
        <w:r w:rsidR="00410660">
          <w:rPr>
            <w:noProof/>
            <w:webHidden/>
          </w:rPr>
          <w:fldChar w:fldCharType="begin"/>
        </w:r>
        <w:r w:rsidR="00410660">
          <w:rPr>
            <w:noProof/>
            <w:webHidden/>
          </w:rPr>
          <w:instrText xml:space="preserve"> PAGEREF _Toc8296479 \h </w:instrText>
        </w:r>
        <w:r w:rsidR="00410660">
          <w:rPr>
            <w:noProof/>
            <w:webHidden/>
          </w:rPr>
        </w:r>
        <w:r w:rsidR="00410660">
          <w:rPr>
            <w:noProof/>
            <w:webHidden/>
          </w:rPr>
          <w:fldChar w:fldCharType="separate"/>
        </w:r>
        <w:r w:rsidR="00213659">
          <w:rPr>
            <w:noProof/>
            <w:webHidden/>
          </w:rPr>
          <w:t>16</w:t>
        </w:r>
        <w:r w:rsidR="00410660">
          <w:rPr>
            <w:noProof/>
            <w:webHidden/>
          </w:rPr>
          <w:fldChar w:fldCharType="end"/>
        </w:r>
      </w:hyperlink>
    </w:p>
    <w:p w14:paraId="3D49F1EB" w14:textId="21FBAB52" w:rsidR="00410660" w:rsidRDefault="00F26AF2" w:rsidP="00A80F2E">
      <w:pPr>
        <w:pStyle w:val="TM4"/>
        <w:rPr>
          <w:rFonts w:asciiTheme="minorHAnsi" w:eastAsiaTheme="minorEastAsia" w:hAnsiTheme="minorHAnsi" w:cstheme="minorBidi"/>
          <w:noProof/>
          <w:sz w:val="22"/>
          <w:szCs w:val="22"/>
        </w:rPr>
      </w:pPr>
      <w:hyperlink w:anchor="_Toc8296480" w:history="1">
        <w:r w:rsidR="00410660" w:rsidRPr="00853AB4">
          <w:rPr>
            <w:rStyle w:val="Lienhypertexte"/>
            <w:noProof/>
          </w:rPr>
          <w:t>2.1.8.2</w:t>
        </w:r>
        <w:r w:rsidR="00410660">
          <w:rPr>
            <w:rFonts w:asciiTheme="minorHAnsi" w:eastAsiaTheme="minorEastAsia" w:hAnsiTheme="minorHAnsi" w:cstheme="minorBidi"/>
            <w:noProof/>
            <w:sz w:val="22"/>
            <w:szCs w:val="22"/>
          </w:rPr>
          <w:tab/>
        </w:r>
        <w:r w:rsidR="00410660" w:rsidRPr="00853AB4">
          <w:rPr>
            <w:rStyle w:val="Lienhypertexte"/>
            <w:noProof/>
          </w:rPr>
          <w:t>Access to documentation</w:t>
        </w:r>
        <w:r w:rsidR="00410660">
          <w:rPr>
            <w:noProof/>
            <w:webHidden/>
          </w:rPr>
          <w:tab/>
        </w:r>
        <w:r w:rsidR="00410660">
          <w:rPr>
            <w:noProof/>
            <w:webHidden/>
          </w:rPr>
          <w:fldChar w:fldCharType="begin"/>
        </w:r>
        <w:r w:rsidR="00410660">
          <w:rPr>
            <w:noProof/>
            <w:webHidden/>
          </w:rPr>
          <w:instrText xml:space="preserve"> PAGEREF _Toc8296480 \h </w:instrText>
        </w:r>
        <w:r w:rsidR="00410660">
          <w:rPr>
            <w:noProof/>
            <w:webHidden/>
          </w:rPr>
        </w:r>
        <w:r w:rsidR="00410660">
          <w:rPr>
            <w:noProof/>
            <w:webHidden/>
          </w:rPr>
          <w:fldChar w:fldCharType="separate"/>
        </w:r>
        <w:r w:rsidR="00213659">
          <w:rPr>
            <w:noProof/>
            <w:webHidden/>
          </w:rPr>
          <w:t>16</w:t>
        </w:r>
        <w:r w:rsidR="00410660">
          <w:rPr>
            <w:noProof/>
            <w:webHidden/>
          </w:rPr>
          <w:fldChar w:fldCharType="end"/>
        </w:r>
      </w:hyperlink>
    </w:p>
    <w:p w14:paraId="58D28F26" w14:textId="39D90B24"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481" w:history="1">
        <w:r w:rsidR="00410660" w:rsidRPr="00853AB4">
          <w:rPr>
            <w:rStyle w:val="Lienhypertexte"/>
            <w:noProof/>
          </w:rPr>
          <w:t>2.2</w:t>
        </w:r>
        <w:r w:rsidR="00410660">
          <w:rPr>
            <w:rFonts w:asciiTheme="minorHAnsi" w:eastAsiaTheme="minorEastAsia" w:hAnsiTheme="minorHAnsi" w:cstheme="minorBidi"/>
            <w:caps w:val="0"/>
            <w:noProof/>
            <w:sz w:val="22"/>
            <w:szCs w:val="22"/>
          </w:rPr>
          <w:tab/>
        </w:r>
        <w:r w:rsidR="00410660" w:rsidRPr="00853AB4">
          <w:rPr>
            <w:rStyle w:val="Lienhypertexte"/>
            <w:noProof/>
          </w:rPr>
          <w:t>Assessment of the biocidal product</w:t>
        </w:r>
        <w:r w:rsidR="00410660">
          <w:rPr>
            <w:noProof/>
            <w:webHidden/>
          </w:rPr>
          <w:tab/>
        </w:r>
        <w:r w:rsidR="00410660">
          <w:rPr>
            <w:noProof/>
            <w:webHidden/>
          </w:rPr>
          <w:fldChar w:fldCharType="begin"/>
        </w:r>
        <w:r w:rsidR="00410660">
          <w:rPr>
            <w:noProof/>
            <w:webHidden/>
          </w:rPr>
          <w:instrText xml:space="preserve"> PAGEREF _Toc8296481 \h </w:instrText>
        </w:r>
        <w:r w:rsidR="00410660">
          <w:rPr>
            <w:noProof/>
            <w:webHidden/>
          </w:rPr>
        </w:r>
        <w:r w:rsidR="00410660">
          <w:rPr>
            <w:noProof/>
            <w:webHidden/>
          </w:rPr>
          <w:fldChar w:fldCharType="separate"/>
        </w:r>
        <w:r w:rsidR="00213659">
          <w:rPr>
            <w:noProof/>
            <w:webHidden/>
          </w:rPr>
          <w:t>17</w:t>
        </w:r>
        <w:r w:rsidR="00410660">
          <w:rPr>
            <w:noProof/>
            <w:webHidden/>
          </w:rPr>
          <w:fldChar w:fldCharType="end"/>
        </w:r>
      </w:hyperlink>
    </w:p>
    <w:p w14:paraId="20CA8949" w14:textId="054ABE00"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2" w:history="1">
        <w:r w:rsidR="00410660" w:rsidRPr="00853AB4">
          <w:rPr>
            <w:rStyle w:val="Lienhypertexte"/>
            <w:noProof/>
          </w:rPr>
          <w:t>2.2.1</w:t>
        </w:r>
        <w:r w:rsidR="00410660">
          <w:rPr>
            <w:rFonts w:asciiTheme="minorHAnsi" w:eastAsiaTheme="minorEastAsia" w:hAnsiTheme="minorHAnsi" w:cstheme="minorBidi"/>
            <w:i w:val="0"/>
            <w:noProof/>
            <w:sz w:val="22"/>
            <w:szCs w:val="22"/>
          </w:rPr>
          <w:tab/>
        </w:r>
        <w:r w:rsidR="00410660" w:rsidRPr="00853AB4">
          <w:rPr>
            <w:rStyle w:val="Lienhypertexte"/>
            <w:noProof/>
          </w:rPr>
          <w:t>Intended use(s) as applied for by the applicant</w:t>
        </w:r>
        <w:r w:rsidR="00410660">
          <w:rPr>
            <w:noProof/>
            <w:webHidden/>
          </w:rPr>
          <w:tab/>
        </w:r>
        <w:r w:rsidR="00410660">
          <w:rPr>
            <w:noProof/>
            <w:webHidden/>
          </w:rPr>
          <w:fldChar w:fldCharType="begin"/>
        </w:r>
        <w:r w:rsidR="00410660">
          <w:rPr>
            <w:noProof/>
            <w:webHidden/>
          </w:rPr>
          <w:instrText xml:space="preserve"> PAGEREF _Toc8296482 \h </w:instrText>
        </w:r>
        <w:r w:rsidR="00410660">
          <w:rPr>
            <w:noProof/>
            <w:webHidden/>
          </w:rPr>
        </w:r>
        <w:r w:rsidR="00410660">
          <w:rPr>
            <w:noProof/>
            <w:webHidden/>
          </w:rPr>
          <w:fldChar w:fldCharType="separate"/>
        </w:r>
        <w:r w:rsidR="00213659">
          <w:rPr>
            <w:noProof/>
            <w:webHidden/>
          </w:rPr>
          <w:t>17</w:t>
        </w:r>
        <w:r w:rsidR="00410660">
          <w:rPr>
            <w:noProof/>
            <w:webHidden/>
          </w:rPr>
          <w:fldChar w:fldCharType="end"/>
        </w:r>
      </w:hyperlink>
    </w:p>
    <w:p w14:paraId="15017F40" w14:textId="6B34989E"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3" w:history="1">
        <w:r w:rsidR="00410660" w:rsidRPr="00853AB4">
          <w:rPr>
            <w:rStyle w:val="Lienhypertexte"/>
            <w:noProof/>
          </w:rPr>
          <w:t>2.2.2</w:t>
        </w:r>
        <w:r w:rsidR="00410660">
          <w:rPr>
            <w:rFonts w:asciiTheme="minorHAnsi" w:eastAsiaTheme="minorEastAsia" w:hAnsiTheme="minorHAnsi" w:cstheme="minorBidi"/>
            <w:i w:val="0"/>
            <w:noProof/>
            <w:sz w:val="22"/>
            <w:szCs w:val="22"/>
          </w:rPr>
          <w:tab/>
        </w:r>
        <w:r w:rsidR="00410660" w:rsidRPr="00853AB4">
          <w:rPr>
            <w:rStyle w:val="Lienhypertexte"/>
            <w:noProof/>
          </w:rPr>
          <w:t>Clarification on product composition and compositions tested</w:t>
        </w:r>
        <w:r w:rsidR="00410660">
          <w:rPr>
            <w:noProof/>
            <w:webHidden/>
          </w:rPr>
          <w:tab/>
        </w:r>
        <w:r w:rsidR="00410660">
          <w:rPr>
            <w:noProof/>
            <w:webHidden/>
          </w:rPr>
          <w:fldChar w:fldCharType="begin"/>
        </w:r>
        <w:r w:rsidR="00410660">
          <w:rPr>
            <w:noProof/>
            <w:webHidden/>
          </w:rPr>
          <w:instrText xml:space="preserve"> PAGEREF _Toc8296483 \h </w:instrText>
        </w:r>
        <w:r w:rsidR="00410660">
          <w:rPr>
            <w:noProof/>
            <w:webHidden/>
          </w:rPr>
        </w:r>
        <w:r w:rsidR="00410660">
          <w:rPr>
            <w:noProof/>
            <w:webHidden/>
          </w:rPr>
          <w:fldChar w:fldCharType="separate"/>
        </w:r>
        <w:r w:rsidR="00213659">
          <w:rPr>
            <w:noProof/>
            <w:webHidden/>
          </w:rPr>
          <w:t>18</w:t>
        </w:r>
        <w:r w:rsidR="00410660">
          <w:rPr>
            <w:noProof/>
            <w:webHidden/>
          </w:rPr>
          <w:fldChar w:fldCharType="end"/>
        </w:r>
      </w:hyperlink>
    </w:p>
    <w:p w14:paraId="757B89E5" w14:textId="4E3B5E36"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4" w:history="1">
        <w:r w:rsidR="00410660" w:rsidRPr="00853AB4">
          <w:rPr>
            <w:rStyle w:val="Lienhypertexte"/>
            <w:noProof/>
          </w:rPr>
          <w:t>2.2.3</w:t>
        </w:r>
        <w:r w:rsidR="00410660">
          <w:rPr>
            <w:rFonts w:asciiTheme="minorHAnsi" w:eastAsiaTheme="minorEastAsia" w:hAnsiTheme="minorHAnsi" w:cstheme="minorBidi"/>
            <w:i w:val="0"/>
            <w:noProof/>
            <w:sz w:val="22"/>
            <w:szCs w:val="22"/>
          </w:rPr>
          <w:tab/>
        </w:r>
        <w:r w:rsidR="00410660" w:rsidRPr="00853AB4">
          <w:rPr>
            <w:rStyle w:val="Lienhypertexte"/>
            <w:noProof/>
          </w:rPr>
          <w:t>Physical, chemical and technical properties</w:t>
        </w:r>
        <w:r w:rsidR="00410660">
          <w:rPr>
            <w:noProof/>
            <w:webHidden/>
          </w:rPr>
          <w:tab/>
        </w:r>
        <w:r w:rsidR="00410660">
          <w:rPr>
            <w:noProof/>
            <w:webHidden/>
          </w:rPr>
          <w:fldChar w:fldCharType="begin"/>
        </w:r>
        <w:r w:rsidR="00410660">
          <w:rPr>
            <w:noProof/>
            <w:webHidden/>
          </w:rPr>
          <w:instrText xml:space="preserve"> PAGEREF _Toc8296484 \h </w:instrText>
        </w:r>
        <w:r w:rsidR="00410660">
          <w:rPr>
            <w:noProof/>
            <w:webHidden/>
          </w:rPr>
        </w:r>
        <w:r w:rsidR="00410660">
          <w:rPr>
            <w:noProof/>
            <w:webHidden/>
          </w:rPr>
          <w:fldChar w:fldCharType="separate"/>
        </w:r>
        <w:r w:rsidR="00213659">
          <w:rPr>
            <w:noProof/>
            <w:webHidden/>
          </w:rPr>
          <w:t>18</w:t>
        </w:r>
        <w:r w:rsidR="00410660">
          <w:rPr>
            <w:noProof/>
            <w:webHidden/>
          </w:rPr>
          <w:fldChar w:fldCharType="end"/>
        </w:r>
      </w:hyperlink>
    </w:p>
    <w:p w14:paraId="1F66199E" w14:textId="712C4D8B"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5" w:history="1">
        <w:r w:rsidR="00410660" w:rsidRPr="00853AB4">
          <w:rPr>
            <w:rStyle w:val="Lienhypertexte"/>
            <w:noProof/>
          </w:rPr>
          <w:t>2.2.4</w:t>
        </w:r>
        <w:r w:rsidR="00410660">
          <w:rPr>
            <w:rFonts w:asciiTheme="minorHAnsi" w:eastAsiaTheme="minorEastAsia" w:hAnsiTheme="minorHAnsi" w:cstheme="minorBidi"/>
            <w:i w:val="0"/>
            <w:noProof/>
            <w:sz w:val="22"/>
            <w:szCs w:val="22"/>
          </w:rPr>
          <w:tab/>
        </w:r>
        <w:r w:rsidR="00410660" w:rsidRPr="00853AB4">
          <w:rPr>
            <w:rStyle w:val="Lienhypertexte"/>
            <w:noProof/>
          </w:rPr>
          <w:t>Physical hazards and respective characteristics</w:t>
        </w:r>
        <w:r w:rsidR="00410660">
          <w:rPr>
            <w:noProof/>
            <w:webHidden/>
          </w:rPr>
          <w:tab/>
        </w:r>
        <w:r w:rsidR="00410660">
          <w:rPr>
            <w:noProof/>
            <w:webHidden/>
          </w:rPr>
          <w:fldChar w:fldCharType="begin"/>
        </w:r>
        <w:r w:rsidR="00410660">
          <w:rPr>
            <w:noProof/>
            <w:webHidden/>
          </w:rPr>
          <w:instrText xml:space="preserve"> PAGEREF _Toc8296485 \h </w:instrText>
        </w:r>
        <w:r w:rsidR="00410660">
          <w:rPr>
            <w:noProof/>
            <w:webHidden/>
          </w:rPr>
        </w:r>
        <w:r w:rsidR="00410660">
          <w:rPr>
            <w:noProof/>
            <w:webHidden/>
          </w:rPr>
          <w:fldChar w:fldCharType="separate"/>
        </w:r>
        <w:r w:rsidR="00213659">
          <w:rPr>
            <w:noProof/>
            <w:webHidden/>
          </w:rPr>
          <w:t>23</w:t>
        </w:r>
        <w:r w:rsidR="00410660">
          <w:rPr>
            <w:noProof/>
            <w:webHidden/>
          </w:rPr>
          <w:fldChar w:fldCharType="end"/>
        </w:r>
      </w:hyperlink>
    </w:p>
    <w:p w14:paraId="2AF18CF4" w14:textId="7D8894D8"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6" w:history="1">
        <w:r w:rsidR="00410660" w:rsidRPr="00853AB4">
          <w:rPr>
            <w:rStyle w:val="Lienhypertexte"/>
            <w:noProof/>
          </w:rPr>
          <w:t>2.2.5</w:t>
        </w:r>
        <w:r w:rsidR="00410660">
          <w:rPr>
            <w:rFonts w:asciiTheme="minorHAnsi" w:eastAsiaTheme="minorEastAsia" w:hAnsiTheme="minorHAnsi" w:cstheme="minorBidi"/>
            <w:i w:val="0"/>
            <w:noProof/>
            <w:sz w:val="22"/>
            <w:szCs w:val="22"/>
          </w:rPr>
          <w:tab/>
        </w:r>
        <w:r w:rsidR="00410660" w:rsidRPr="00853AB4">
          <w:rPr>
            <w:rStyle w:val="Lienhypertexte"/>
            <w:noProof/>
          </w:rPr>
          <w:t>Methods for detection and identification</w:t>
        </w:r>
        <w:r w:rsidR="00410660">
          <w:rPr>
            <w:noProof/>
            <w:webHidden/>
          </w:rPr>
          <w:tab/>
        </w:r>
        <w:r w:rsidR="00410660">
          <w:rPr>
            <w:noProof/>
            <w:webHidden/>
          </w:rPr>
          <w:fldChar w:fldCharType="begin"/>
        </w:r>
        <w:r w:rsidR="00410660">
          <w:rPr>
            <w:noProof/>
            <w:webHidden/>
          </w:rPr>
          <w:instrText xml:space="preserve"> PAGEREF _Toc8296486 \h </w:instrText>
        </w:r>
        <w:r w:rsidR="00410660">
          <w:rPr>
            <w:noProof/>
            <w:webHidden/>
          </w:rPr>
        </w:r>
        <w:r w:rsidR="00410660">
          <w:rPr>
            <w:noProof/>
            <w:webHidden/>
          </w:rPr>
          <w:fldChar w:fldCharType="separate"/>
        </w:r>
        <w:r w:rsidR="00213659">
          <w:rPr>
            <w:noProof/>
            <w:webHidden/>
          </w:rPr>
          <w:t>24</w:t>
        </w:r>
        <w:r w:rsidR="00410660">
          <w:rPr>
            <w:noProof/>
            <w:webHidden/>
          </w:rPr>
          <w:fldChar w:fldCharType="end"/>
        </w:r>
      </w:hyperlink>
    </w:p>
    <w:p w14:paraId="0FB93C38" w14:textId="095503F4"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87" w:history="1">
        <w:r w:rsidR="00410660" w:rsidRPr="00853AB4">
          <w:rPr>
            <w:rStyle w:val="Lienhypertexte"/>
            <w:noProof/>
          </w:rPr>
          <w:t>2.2.6</w:t>
        </w:r>
        <w:r w:rsidR="00410660">
          <w:rPr>
            <w:rFonts w:asciiTheme="minorHAnsi" w:eastAsiaTheme="minorEastAsia" w:hAnsiTheme="minorHAnsi" w:cstheme="minorBidi"/>
            <w:i w:val="0"/>
            <w:noProof/>
            <w:sz w:val="22"/>
            <w:szCs w:val="22"/>
          </w:rPr>
          <w:tab/>
        </w:r>
        <w:r w:rsidR="00410660" w:rsidRPr="00853AB4">
          <w:rPr>
            <w:rStyle w:val="Lienhypertexte"/>
            <w:noProof/>
          </w:rPr>
          <w:t>Efficacy against target organisms</w:t>
        </w:r>
        <w:r w:rsidR="00410660">
          <w:rPr>
            <w:noProof/>
            <w:webHidden/>
          </w:rPr>
          <w:tab/>
        </w:r>
        <w:r w:rsidR="00410660">
          <w:rPr>
            <w:noProof/>
            <w:webHidden/>
          </w:rPr>
          <w:fldChar w:fldCharType="begin"/>
        </w:r>
        <w:r w:rsidR="00410660">
          <w:rPr>
            <w:noProof/>
            <w:webHidden/>
          </w:rPr>
          <w:instrText xml:space="preserve"> PAGEREF _Toc8296487 \h </w:instrText>
        </w:r>
        <w:r w:rsidR="00410660">
          <w:rPr>
            <w:noProof/>
            <w:webHidden/>
          </w:rPr>
        </w:r>
        <w:r w:rsidR="00410660">
          <w:rPr>
            <w:noProof/>
            <w:webHidden/>
          </w:rPr>
          <w:fldChar w:fldCharType="separate"/>
        </w:r>
        <w:r w:rsidR="00213659">
          <w:rPr>
            <w:noProof/>
            <w:webHidden/>
          </w:rPr>
          <w:t>27</w:t>
        </w:r>
        <w:r w:rsidR="00410660">
          <w:rPr>
            <w:noProof/>
            <w:webHidden/>
          </w:rPr>
          <w:fldChar w:fldCharType="end"/>
        </w:r>
      </w:hyperlink>
    </w:p>
    <w:p w14:paraId="5047E013" w14:textId="227DC31F" w:rsidR="00410660" w:rsidRDefault="00F26AF2" w:rsidP="00A80F2E">
      <w:pPr>
        <w:pStyle w:val="TM4"/>
        <w:rPr>
          <w:rFonts w:asciiTheme="minorHAnsi" w:eastAsiaTheme="minorEastAsia" w:hAnsiTheme="minorHAnsi" w:cstheme="minorBidi"/>
          <w:noProof/>
          <w:sz w:val="22"/>
          <w:szCs w:val="22"/>
        </w:rPr>
      </w:pPr>
      <w:hyperlink w:anchor="_Toc8296488" w:history="1">
        <w:r w:rsidR="00410660" w:rsidRPr="00853AB4">
          <w:rPr>
            <w:rStyle w:val="Lienhypertexte"/>
            <w:noProof/>
          </w:rPr>
          <w:t>2.2.6.1</w:t>
        </w:r>
        <w:r w:rsidR="00410660">
          <w:rPr>
            <w:rFonts w:asciiTheme="minorHAnsi" w:eastAsiaTheme="minorEastAsia" w:hAnsiTheme="minorHAnsi" w:cstheme="minorBidi"/>
            <w:noProof/>
            <w:sz w:val="22"/>
            <w:szCs w:val="22"/>
          </w:rPr>
          <w:tab/>
        </w:r>
        <w:r w:rsidR="00410660" w:rsidRPr="00853AB4">
          <w:rPr>
            <w:rStyle w:val="Lienhypertexte"/>
            <w:noProof/>
          </w:rPr>
          <w:t>Function and field of use</w:t>
        </w:r>
        <w:r w:rsidR="00410660">
          <w:rPr>
            <w:noProof/>
            <w:webHidden/>
          </w:rPr>
          <w:tab/>
        </w:r>
        <w:r w:rsidR="00410660">
          <w:rPr>
            <w:noProof/>
            <w:webHidden/>
          </w:rPr>
          <w:fldChar w:fldCharType="begin"/>
        </w:r>
        <w:r w:rsidR="00410660">
          <w:rPr>
            <w:noProof/>
            <w:webHidden/>
          </w:rPr>
          <w:instrText xml:space="preserve"> PAGEREF _Toc8296488 \h </w:instrText>
        </w:r>
        <w:r w:rsidR="00410660">
          <w:rPr>
            <w:noProof/>
            <w:webHidden/>
          </w:rPr>
        </w:r>
        <w:r w:rsidR="00410660">
          <w:rPr>
            <w:noProof/>
            <w:webHidden/>
          </w:rPr>
          <w:fldChar w:fldCharType="separate"/>
        </w:r>
        <w:r w:rsidR="00213659">
          <w:rPr>
            <w:noProof/>
            <w:webHidden/>
          </w:rPr>
          <w:t>27</w:t>
        </w:r>
        <w:r w:rsidR="00410660">
          <w:rPr>
            <w:noProof/>
            <w:webHidden/>
          </w:rPr>
          <w:fldChar w:fldCharType="end"/>
        </w:r>
      </w:hyperlink>
    </w:p>
    <w:p w14:paraId="706C076D" w14:textId="70465FCB" w:rsidR="00410660" w:rsidRDefault="00F26AF2" w:rsidP="00A80F2E">
      <w:pPr>
        <w:pStyle w:val="TM4"/>
        <w:rPr>
          <w:rFonts w:asciiTheme="minorHAnsi" w:eastAsiaTheme="minorEastAsia" w:hAnsiTheme="minorHAnsi" w:cstheme="minorBidi"/>
          <w:noProof/>
          <w:sz w:val="22"/>
          <w:szCs w:val="22"/>
        </w:rPr>
      </w:pPr>
      <w:hyperlink w:anchor="_Toc8296489" w:history="1">
        <w:r w:rsidR="00410660" w:rsidRPr="00853AB4">
          <w:rPr>
            <w:rStyle w:val="Lienhypertexte"/>
            <w:noProof/>
          </w:rPr>
          <w:t>2.2.6.2</w:t>
        </w:r>
        <w:r w:rsidR="00410660">
          <w:rPr>
            <w:rFonts w:asciiTheme="minorHAnsi" w:eastAsiaTheme="minorEastAsia" w:hAnsiTheme="minorHAnsi" w:cstheme="minorBidi"/>
            <w:noProof/>
            <w:sz w:val="22"/>
            <w:szCs w:val="22"/>
          </w:rPr>
          <w:tab/>
        </w:r>
        <w:r w:rsidR="00410660" w:rsidRPr="00853AB4">
          <w:rPr>
            <w:rStyle w:val="Lienhypertexte"/>
            <w:noProof/>
          </w:rPr>
          <w:t>Organisms to be controlled and products, organisms or objects to be protected</w:t>
        </w:r>
        <w:r w:rsidR="00410660">
          <w:rPr>
            <w:noProof/>
            <w:webHidden/>
          </w:rPr>
          <w:tab/>
        </w:r>
        <w:r w:rsidR="00410660">
          <w:rPr>
            <w:noProof/>
            <w:webHidden/>
          </w:rPr>
          <w:fldChar w:fldCharType="begin"/>
        </w:r>
        <w:r w:rsidR="00410660">
          <w:rPr>
            <w:noProof/>
            <w:webHidden/>
          </w:rPr>
          <w:instrText xml:space="preserve"> PAGEREF _Toc8296489 \h </w:instrText>
        </w:r>
        <w:r w:rsidR="00410660">
          <w:rPr>
            <w:noProof/>
            <w:webHidden/>
          </w:rPr>
        </w:r>
        <w:r w:rsidR="00410660">
          <w:rPr>
            <w:noProof/>
            <w:webHidden/>
          </w:rPr>
          <w:fldChar w:fldCharType="separate"/>
        </w:r>
        <w:r w:rsidR="00213659">
          <w:rPr>
            <w:noProof/>
            <w:webHidden/>
          </w:rPr>
          <w:t>27</w:t>
        </w:r>
        <w:r w:rsidR="00410660">
          <w:rPr>
            <w:noProof/>
            <w:webHidden/>
          </w:rPr>
          <w:fldChar w:fldCharType="end"/>
        </w:r>
      </w:hyperlink>
    </w:p>
    <w:p w14:paraId="7B65C838" w14:textId="6500D745" w:rsidR="00410660" w:rsidRDefault="00F26AF2" w:rsidP="00A80F2E">
      <w:pPr>
        <w:pStyle w:val="TM4"/>
        <w:rPr>
          <w:rFonts w:asciiTheme="minorHAnsi" w:eastAsiaTheme="minorEastAsia" w:hAnsiTheme="minorHAnsi" w:cstheme="minorBidi"/>
          <w:noProof/>
          <w:sz w:val="22"/>
          <w:szCs w:val="22"/>
        </w:rPr>
      </w:pPr>
      <w:hyperlink w:anchor="_Toc8296490" w:history="1">
        <w:r w:rsidR="00410660" w:rsidRPr="00853AB4">
          <w:rPr>
            <w:rStyle w:val="Lienhypertexte"/>
            <w:noProof/>
          </w:rPr>
          <w:t>2.2.6.3</w:t>
        </w:r>
        <w:r w:rsidR="00410660">
          <w:rPr>
            <w:rFonts w:asciiTheme="minorHAnsi" w:eastAsiaTheme="minorEastAsia" w:hAnsiTheme="minorHAnsi" w:cstheme="minorBidi"/>
            <w:noProof/>
            <w:sz w:val="22"/>
            <w:szCs w:val="22"/>
          </w:rPr>
          <w:tab/>
        </w:r>
        <w:r w:rsidR="00410660" w:rsidRPr="00853AB4">
          <w:rPr>
            <w:rStyle w:val="Lienhypertexte"/>
            <w:noProof/>
          </w:rPr>
          <w:t>Effects on target organisms, including unacceptable suffering</w:t>
        </w:r>
        <w:r w:rsidR="00410660">
          <w:rPr>
            <w:noProof/>
            <w:webHidden/>
          </w:rPr>
          <w:tab/>
        </w:r>
        <w:r w:rsidR="00410660">
          <w:rPr>
            <w:noProof/>
            <w:webHidden/>
          </w:rPr>
          <w:fldChar w:fldCharType="begin"/>
        </w:r>
        <w:r w:rsidR="00410660">
          <w:rPr>
            <w:noProof/>
            <w:webHidden/>
          </w:rPr>
          <w:instrText xml:space="preserve"> PAGEREF _Toc8296490 \h </w:instrText>
        </w:r>
        <w:r w:rsidR="00410660">
          <w:rPr>
            <w:noProof/>
            <w:webHidden/>
          </w:rPr>
        </w:r>
        <w:r w:rsidR="00410660">
          <w:rPr>
            <w:noProof/>
            <w:webHidden/>
          </w:rPr>
          <w:fldChar w:fldCharType="separate"/>
        </w:r>
        <w:r w:rsidR="00213659">
          <w:rPr>
            <w:noProof/>
            <w:webHidden/>
          </w:rPr>
          <w:t>27</w:t>
        </w:r>
        <w:r w:rsidR="00410660">
          <w:rPr>
            <w:noProof/>
            <w:webHidden/>
          </w:rPr>
          <w:fldChar w:fldCharType="end"/>
        </w:r>
      </w:hyperlink>
    </w:p>
    <w:p w14:paraId="0ABF14A4" w14:textId="39BDEDD7" w:rsidR="00410660" w:rsidRDefault="00F26AF2" w:rsidP="00A80F2E">
      <w:pPr>
        <w:pStyle w:val="TM4"/>
        <w:rPr>
          <w:rFonts w:asciiTheme="minorHAnsi" w:eastAsiaTheme="minorEastAsia" w:hAnsiTheme="minorHAnsi" w:cstheme="minorBidi"/>
          <w:noProof/>
          <w:sz w:val="22"/>
          <w:szCs w:val="22"/>
        </w:rPr>
      </w:pPr>
      <w:hyperlink w:anchor="_Toc8296491" w:history="1">
        <w:r w:rsidR="00410660" w:rsidRPr="00853AB4">
          <w:rPr>
            <w:rStyle w:val="Lienhypertexte"/>
            <w:noProof/>
          </w:rPr>
          <w:t>2.2.6.4</w:t>
        </w:r>
        <w:r w:rsidR="00410660">
          <w:rPr>
            <w:rFonts w:asciiTheme="minorHAnsi" w:eastAsiaTheme="minorEastAsia" w:hAnsiTheme="minorHAnsi" w:cstheme="minorBidi"/>
            <w:noProof/>
            <w:sz w:val="22"/>
            <w:szCs w:val="22"/>
          </w:rPr>
          <w:tab/>
        </w:r>
        <w:r w:rsidR="00410660" w:rsidRPr="00853AB4">
          <w:rPr>
            <w:rStyle w:val="Lienhypertexte"/>
            <w:noProof/>
          </w:rPr>
          <w:t>Mode of action, including time delay</w:t>
        </w:r>
        <w:r w:rsidR="00410660">
          <w:rPr>
            <w:noProof/>
            <w:webHidden/>
          </w:rPr>
          <w:tab/>
        </w:r>
        <w:r w:rsidR="00410660">
          <w:rPr>
            <w:noProof/>
            <w:webHidden/>
          </w:rPr>
          <w:fldChar w:fldCharType="begin"/>
        </w:r>
        <w:r w:rsidR="00410660">
          <w:rPr>
            <w:noProof/>
            <w:webHidden/>
          </w:rPr>
          <w:instrText xml:space="preserve"> PAGEREF _Toc8296491 \h </w:instrText>
        </w:r>
        <w:r w:rsidR="00410660">
          <w:rPr>
            <w:noProof/>
            <w:webHidden/>
          </w:rPr>
        </w:r>
        <w:r w:rsidR="00410660">
          <w:rPr>
            <w:noProof/>
            <w:webHidden/>
          </w:rPr>
          <w:fldChar w:fldCharType="separate"/>
        </w:r>
        <w:r w:rsidR="00213659">
          <w:rPr>
            <w:noProof/>
            <w:webHidden/>
          </w:rPr>
          <w:t>27</w:t>
        </w:r>
        <w:r w:rsidR="00410660">
          <w:rPr>
            <w:noProof/>
            <w:webHidden/>
          </w:rPr>
          <w:fldChar w:fldCharType="end"/>
        </w:r>
      </w:hyperlink>
    </w:p>
    <w:p w14:paraId="5F879AA3" w14:textId="0CA71228" w:rsidR="00410660" w:rsidRDefault="00F26AF2" w:rsidP="00A80F2E">
      <w:pPr>
        <w:pStyle w:val="TM4"/>
        <w:rPr>
          <w:rFonts w:asciiTheme="minorHAnsi" w:eastAsiaTheme="minorEastAsia" w:hAnsiTheme="minorHAnsi" w:cstheme="minorBidi"/>
          <w:noProof/>
          <w:sz w:val="22"/>
          <w:szCs w:val="22"/>
        </w:rPr>
      </w:pPr>
      <w:hyperlink w:anchor="_Toc8296492" w:history="1">
        <w:r w:rsidR="00410660" w:rsidRPr="00853AB4">
          <w:rPr>
            <w:rStyle w:val="Lienhypertexte"/>
            <w:noProof/>
          </w:rPr>
          <w:t>2.2.6.5</w:t>
        </w:r>
        <w:r w:rsidR="00410660">
          <w:rPr>
            <w:rFonts w:asciiTheme="minorHAnsi" w:eastAsiaTheme="minorEastAsia" w:hAnsiTheme="minorHAnsi" w:cstheme="minorBidi"/>
            <w:noProof/>
            <w:sz w:val="22"/>
            <w:szCs w:val="22"/>
          </w:rPr>
          <w:tab/>
        </w:r>
        <w:r w:rsidR="00410660" w:rsidRPr="00853AB4">
          <w:rPr>
            <w:rStyle w:val="Lienhypertexte"/>
            <w:noProof/>
          </w:rPr>
          <w:t>Efficacy data</w:t>
        </w:r>
        <w:r w:rsidR="00410660">
          <w:rPr>
            <w:noProof/>
            <w:webHidden/>
          </w:rPr>
          <w:tab/>
        </w:r>
        <w:r w:rsidR="00410660">
          <w:rPr>
            <w:noProof/>
            <w:webHidden/>
          </w:rPr>
          <w:fldChar w:fldCharType="begin"/>
        </w:r>
        <w:r w:rsidR="00410660">
          <w:rPr>
            <w:noProof/>
            <w:webHidden/>
          </w:rPr>
          <w:instrText xml:space="preserve"> PAGEREF _Toc8296492 \h </w:instrText>
        </w:r>
        <w:r w:rsidR="00410660">
          <w:rPr>
            <w:noProof/>
            <w:webHidden/>
          </w:rPr>
        </w:r>
        <w:r w:rsidR="00410660">
          <w:rPr>
            <w:noProof/>
            <w:webHidden/>
          </w:rPr>
          <w:fldChar w:fldCharType="separate"/>
        </w:r>
        <w:r w:rsidR="00213659">
          <w:rPr>
            <w:noProof/>
            <w:webHidden/>
          </w:rPr>
          <w:t>28</w:t>
        </w:r>
        <w:r w:rsidR="00410660">
          <w:rPr>
            <w:noProof/>
            <w:webHidden/>
          </w:rPr>
          <w:fldChar w:fldCharType="end"/>
        </w:r>
      </w:hyperlink>
    </w:p>
    <w:p w14:paraId="70444EDB" w14:textId="6F784AD7" w:rsidR="00410660" w:rsidRDefault="00F26AF2" w:rsidP="00A80F2E">
      <w:pPr>
        <w:pStyle w:val="TM4"/>
        <w:rPr>
          <w:rFonts w:asciiTheme="minorHAnsi" w:eastAsiaTheme="minorEastAsia" w:hAnsiTheme="minorHAnsi" w:cstheme="minorBidi"/>
          <w:noProof/>
          <w:sz w:val="22"/>
          <w:szCs w:val="22"/>
        </w:rPr>
      </w:pPr>
      <w:hyperlink w:anchor="_Toc8296493" w:history="1">
        <w:r w:rsidR="00410660" w:rsidRPr="00853AB4">
          <w:rPr>
            <w:rStyle w:val="Lienhypertexte"/>
            <w:noProof/>
          </w:rPr>
          <w:t>2.2.6.6</w:t>
        </w:r>
        <w:r w:rsidR="00410660">
          <w:rPr>
            <w:rFonts w:asciiTheme="minorHAnsi" w:eastAsiaTheme="minorEastAsia" w:hAnsiTheme="minorHAnsi" w:cstheme="minorBidi"/>
            <w:noProof/>
            <w:sz w:val="22"/>
            <w:szCs w:val="22"/>
          </w:rPr>
          <w:tab/>
        </w:r>
        <w:r w:rsidR="00410660" w:rsidRPr="00853AB4">
          <w:rPr>
            <w:rStyle w:val="Lienhypertexte"/>
            <w:noProof/>
          </w:rPr>
          <w:t>Occurrence of resistance and resistance management</w:t>
        </w:r>
        <w:r w:rsidR="00410660">
          <w:rPr>
            <w:noProof/>
            <w:webHidden/>
          </w:rPr>
          <w:tab/>
        </w:r>
        <w:r w:rsidR="00410660">
          <w:rPr>
            <w:noProof/>
            <w:webHidden/>
          </w:rPr>
          <w:fldChar w:fldCharType="begin"/>
        </w:r>
        <w:r w:rsidR="00410660">
          <w:rPr>
            <w:noProof/>
            <w:webHidden/>
          </w:rPr>
          <w:instrText xml:space="preserve"> PAGEREF _Toc8296493 \h </w:instrText>
        </w:r>
        <w:r w:rsidR="00410660">
          <w:rPr>
            <w:noProof/>
            <w:webHidden/>
          </w:rPr>
        </w:r>
        <w:r w:rsidR="00410660">
          <w:rPr>
            <w:noProof/>
            <w:webHidden/>
          </w:rPr>
          <w:fldChar w:fldCharType="separate"/>
        </w:r>
        <w:r w:rsidR="00213659">
          <w:rPr>
            <w:noProof/>
            <w:webHidden/>
          </w:rPr>
          <w:t>30</w:t>
        </w:r>
        <w:r w:rsidR="00410660">
          <w:rPr>
            <w:noProof/>
            <w:webHidden/>
          </w:rPr>
          <w:fldChar w:fldCharType="end"/>
        </w:r>
      </w:hyperlink>
    </w:p>
    <w:p w14:paraId="07921A21" w14:textId="39A274BB" w:rsidR="00410660" w:rsidRDefault="00F26AF2" w:rsidP="00A80F2E">
      <w:pPr>
        <w:pStyle w:val="TM4"/>
        <w:rPr>
          <w:rFonts w:asciiTheme="minorHAnsi" w:eastAsiaTheme="minorEastAsia" w:hAnsiTheme="minorHAnsi" w:cstheme="minorBidi"/>
          <w:noProof/>
          <w:sz w:val="22"/>
          <w:szCs w:val="22"/>
        </w:rPr>
      </w:pPr>
      <w:hyperlink w:anchor="_Toc8296494" w:history="1">
        <w:r w:rsidR="00410660" w:rsidRPr="00853AB4">
          <w:rPr>
            <w:rStyle w:val="Lienhypertexte"/>
            <w:noProof/>
          </w:rPr>
          <w:t>2.2.6.7</w:t>
        </w:r>
        <w:r w:rsidR="00410660">
          <w:rPr>
            <w:rFonts w:asciiTheme="minorHAnsi" w:eastAsiaTheme="minorEastAsia" w:hAnsiTheme="minorHAnsi" w:cstheme="minorBidi"/>
            <w:noProof/>
            <w:sz w:val="22"/>
            <w:szCs w:val="22"/>
          </w:rPr>
          <w:tab/>
        </w:r>
        <w:r w:rsidR="00410660" w:rsidRPr="00853AB4">
          <w:rPr>
            <w:rStyle w:val="Lienhypertexte"/>
            <w:noProof/>
          </w:rPr>
          <w:t>Known limitations</w:t>
        </w:r>
        <w:r w:rsidR="00410660">
          <w:rPr>
            <w:noProof/>
            <w:webHidden/>
          </w:rPr>
          <w:tab/>
        </w:r>
        <w:r w:rsidR="00410660">
          <w:rPr>
            <w:noProof/>
            <w:webHidden/>
          </w:rPr>
          <w:fldChar w:fldCharType="begin"/>
        </w:r>
        <w:r w:rsidR="00410660">
          <w:rPr>
            <w:noProof/>
            <w:webHidden/>
          </w:rPr>
          <w:instrText xml:space="preserve"> PAGEREF _Toc8296494 \h </w:instrText>
        </w:r>
        <w:r w:rsidR="00410660">
          <w:rPr>
            <w:noProof/>
            <w:webHidden/>
          </w:rPr>
        </w:r>
        <w:r w:rsidR="00410660">
          <w:rPr>
            <w:noProof/>
            <w:webHidden/>
          </w:rPr>
          <w:fldChar w:fldCharType="separate"/>
        </w:r>
        <w:r w:rsidR="00213659">
          <w:rPr>
            <w:noProof/>
            <w:webHidden/>
          </w:rPr>
          <w:t>30</w:t>
        </w:r>
        <w:r w:rsidR="00410660">
          <w:rPr>
            <w:noProof/>
            <w:webHidden/>
          </w:rPr>
          <w:fldChar w:fldCharType="end"/>
        </w:r>
      </w:hyperlink>
    </w:p>
    <w:p w14:paraId="0B010D21" w14:textId="42CDBCF4" w:rsidR="00410660" w:rsidRDefault="00F26AF2" w:rsidP="00A80F2E">
      <w:pPr>
        <w:pStyle w:val="TM4"/>
        <w:rPr>
          <w:rFonts w:asciiTheme="minorHAnsi" w:eastAsiaTheme="minorEastAsia" w:hAnsiTheme="minorHAnsi" w:cstheme="minorBidi"/>
          <w:noProof/>
          <w:sz w:val="22"/>
          <w:szCs w:val="22"/>
        </w:rPr>
      </w:pPr>
      <w:hyperlink w:anchor="_Toc8296495" w:history="1">
        <w:r w:rsidR="00410660" w:rsidRPr="00853AB4">
          <w:rPr>
            <w:rStyle w:val="Lienhypertexte"/>
            <w:noProof/>
          </w:rPr>
          <w:t>2.2.6.8</w:t>
        </w:r>
        <w:r w:rsidR="00410660">
          <w:rPr>
            <w:rFonts w:asciiTheme="minorHAnsi" w:eastAsiaTheme="minorEastAsia" w:hAnsiTheme="minorHAnsi" w:cstheme="minorBidi"/>
            <w:noProof/>
            <w:sz w:val="22"/>
            <w:szCs w:val="22"/>
          </w:rPr>
          <w:tab/>
        </w:r>
        <w:r w:rsidR="00410660" w:rsidRPr="00853AB4">
          <w:rPr>
            <w:rStyle w:val="Lienhypertexte"/>
            <w:noProof/>
          </w:rPr>
          <w:t>Evaluation of the label claims</w:t>
        </w:r>
        <w:r w:rsidR="00410660">
          <w:rPr>
            <w:noProof/>
            <w:webHidden/>
          </w:rPr>
          <w:tab/>
        </w:r>
        <w:r w:rsidR="00410660">
          <w:rPr>
            <w:noProof/>
            <w:webHidden/>
          </w:rPr>
          <w:fldChar w:fldCharType="begin"/>
        </w:r>
        <w:r w:rsidR="00410660">
          <w:rPr>
            <w:noProof/>
            <w:webHidden/>
          </w:rPr>
          <w:instrText xml:space="preserve"> PAGEREF _Toc8296495 \h </w:instrText>
        </w:r>
        <w:r w:rsidR="00410660">
          <w:rPr>
            <w:noProof/>
            <w:webHidden/>
          </w:rPr>
        </w:r>
        <w:r w:rsidR="00410660">
          <w:rPr>
            <w:noProof/>
            <w:webHidden/>
          </w:rPr>
          <w:fldChar w:fldCharType="separate"/>
        </w:r>
        <w:r w:rsidR="00213659">
          <w:rPr>
            <w:noProof/>
            <w:webHidden/>
          </w:rPr>
          <w:t>30</w:t>
        </w:r>
        <w:r w:rsidR="00410660">
          <w:rPr>
            <w:noProof/>
            <w:webHidden/>
          </w:rPr>
          <w:fldChar w:fldCharType="end"/>
        </w:r>
      </w:hyperlink>
    </w:p>
    <w:p w14:paraId="426153C0" w14:textId="6A493F34" w:rsidR="00410660" w:rsidRDefault="00F26AF2" w:rsidP="00A80F2E">
      <w:pPr>
        <w:pStyle w:val="TM4"/>
        <w:rPr>
          <w:rFonts w:asciiTheme="minorHAnsi" w:eastAsiaTheme="minorEastAsia" w:hAnsiTheme="minorHAnsi" w:cstheme="minorBidi"/>
          <w:noProof/>
          <w:sz w:val="22"/>
          <w:szCs w:val="22"/>
        </w:rPr>
      </w:pPr>
      <w:hyperlink w:anchor="_Toc8296496" w:history="1">
        <w:r w:rsidR="00410660" w:rsidRPr="00853AB4">
          <w:rPr>
            <w:rStyle w:val="Lienhypertexte"/>
            <w:noProof/>
          </w:rPr>
          <w:t>2.2.6.9</w:t>
        </w:r>
        <w:r w:rsidR="00410660">
          <w:rPr>
            <w:rFonts w:asciiTheme="minorHAnsi" w:eastAsiaTheme="minorEastAsia" w:hAnsiTheme="minorHAnsi" w:cstheme="minorBidi"/>
            <w:noProof/>
            <w:sz w:val="22"/>
            <w:szCs w:val="22"/>
          </w:rPr>
          <w:tab/>
        </w:r>
        <w:r w:rsidR="00410660" w:rsidRPr="00853AB4">
          <w:rPr>
            <w:rStyle w:val="Lienhypertexte"/>
            <w:noProof/>
          </w:rPr>
          <w:t>Relevant information if the product is intended to be authorised for use with other biocidal product(s)</w:t>
        </w:r>
        <w:r w:rsidR="00410660">
          <w:rPr>
            <w:noProof/>
            <w:webHidden/>
          </w:rPr>
          <w:tab/>
        </w:r>
        <w:r w:rsidR="00410660">
          <w:rPr>
            <w:noProof/>
            <w:webHidden/>
          </w:rPr>
          <w:fldChar w:fldCharType="begin"/>
        </w:r>
        <w:r w:rsidR="00410660">
          <w:rPr>
            <w:noProof/>
            <w:webHidden/>
          </w:rPr>
          <w:instrText xml:space="preserve"> PAGEREF _Toc8296496 \h </w:instrText>
        </w:r>
        <w:r w:rsidR="00410660">
          <w:rPr>
            <w:noProof/>
            <w:webHidden/>
          </w:rPr>
        </w:r>
        <w:r w:rsidR="00410660">
          <w:rPr>
            <w:noProof/>
            <w:webHidden/>
          </w:rPr>
          <w:fldChar w:fldCharType="separate"/>
        </w:r>
        <w:r w:rsidR="00213659">
          <w:rPr>
            <w:noProof/>
            <w:webHidden/>
          </w:rPr>
          <w:t>31</w:t>
        </w:r>
        <w:r w:rsidR="00410660">
          <w:rPr>
            <w:noProof/>
            <w:webHidden/>
          </w:rPr>
          <w:fldChar w:fldCharType="end"/>
        </w:r>
      </w:hyperlink>
    </w:p>
    <w:p w14:paraId="2AD6BF66" w14:textId="0B985081"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497" w:history="1">
        <w:r w:rsidR="00410660" w:rsidRPr="00853AB4">
          <w:rPr>
            <w:rStyle w:val="Lienhypertexte"/>
            <w:noProof/>
          </w:rPr>
          <w:t>2.2.7</w:t>
        </w:r>
        <w:r w:rsidR="00410660">
          <w:rPr>
            <w:rFonts w:asciiTheme="minorHAnsi" w:eastAsiaTheme="minorEastAsia" w:hAnsiTheme="minorHAnsi" w:cstheme="minorBidi"/>
            <w:i w:val="0"/>
            <w:noProof/>
            <w:sz w:val="22"/>
            <w:szCs w:val="22"/>
          </w:rPr>
          <w:tab/>
        </w:r>
        <w:r w:rsidR="00410660" w:rsidRPr="00853AB4">
          <w:rPr>
            <w:rStyle w:val="Lienhypertexte"/>
            <w:noProof/>
          </w:rPr>
          <w:t>Risk assessment for human health</w:t>
        </w:r>
        <w:r w:rsidR="00410660">
          <w:rPr>
            <w:noProof/>
            <w:webHidden/>
          </w:rPr>
          <w:tab/>
        </w:r>
        <w:r w:rsidR="00410660">
          <w:rPr>
            <w:noProof/>
            <w:webHidden/>
          </w:rPr>
          <w:fldChar w:fldCharType="begin"/>
        </w:r>
        <w:r w:rsidR="00410660">
          <w:rPr>
            <w:noProof/>
            <w:webHidden/>
          </w:rPr>
          <w:instrText xml:space="preserve"> PAGEREF _Toc8296497 \h </w:instrText>
        </w:r>
        <w:r w:rsidR="00410660">
          <w:rPr>
            <w:noProof/>
            <w:webHidden/>
          </w:rPr>
        </w:r>
        <w:r w:rsidR="00410660">
          <w:rPr>
            <w:noProof/>
            <w:webHidden/>
          </w:rPr>
          <w:fldChar w:fldCharType="separate"/>
        </w:r>
        <w:r w:rsidR="00213659">
          <w:rPr>
            <w:noProof/>
            <w:webHidden/>
          </w:rPr>
          <w:t>32</w:t>
        </w:r>
        <w:r w:rsidR="00410660">
          <w:rPr>
            <w:noProof/>
            <w:webHidden/>
          </w:rPr>
          <w:fldChar w:fldCharType="end"/>
        </w:r>
      </w:hyperlink>
    </w:p>
    <w:p w14:paraId="0B796CF2" w14:textId="7448D6A3" w:rsidR="00410660" w:rsidRDefault="00F26AF2" w:rsidP="00A80F2E">
      <w:pPr>
        <w:pStyle w:val="TM4"/>
        <w:rPr>
          <w:rFonts w:asciiTheme="minorHAnsi" w:eastAsiaTheme="minorEastAsia" w:hAnsiTheme="minorHAnsi" w:cstheme="minorBidi"/>
          <w:noProof/>
          <w:sz w:val="22"/>
          <w:szCs w:val="22"/>
        </w:rPr>
      </w:pPr>
      <w:hyperlink w:anchor="_Toc8296498" w:history="1">
        <w:r w:rsidR="00410660" w:rsidRPr="00853AB4">
          <w:rPr>
            <w:rStyle w:val="Lienhypertexte"/>
            <w:noProof/>
          </w:rPr>
          <w:t>2.2.7.1</w:t>
        </w:r>
        <w:r w:rsidR="00410660">
          <w:rPr>
            <w:rFonts w:asciiTheme="minorHAnsi" w:eastAsiaTheme="minorEastAsia" w:hAnsiTheme="minorHAnsi" w:cstheme="minorBidi"/>
            <w:noProof/>
            <w:sz w:val="22"/>
            <w:szCs w:val="22"/>
          </w:rPr>
          <w:tab/>
        </w:r>
        <w:r w:rsidR="00410660" w:rsidRPr="00853AB4">
          <w:rPr>
            <w:rStyle w:val="Lienhypertexte"/>
            <w:noProof/>
          </w:rPr>
          <w:t>Assessment of effects on Human Health</w:t>
        </w:r>
        <w:r w:rsidR="00410660">
          <w:rPr>
            <w:noProof/>
            <w:webHidden/>
          </w:rPr>
          <w:tab/>
        </w:r>
        <w:r w:rsidR="00410660">
          <w:rPr>
            <w:noProof/>
            <w:webHidden/>
          </w:rPr>
          <w:fldChar w:fldCharType="begin"/>
        </w:r>
        <w:r w:rsidR="00410660">
          <w:rPr>
            <w:noProof/>
            <w:webHidden/>
          </w:rPr>
          <w:instrText xml:space="preserve"> PAGEREF _Toc8296498 \h </w:instrText>
        </w:r>
        <w:r w:rsidR="00410660">
          <w:rPr>
            <w:noProof/>
            <w:webHidden/>
          </w:rPr>
        </w:r>
        <w:r w:rsidR="00410660">
          <w:rPr>
            <w:noProof/>
            <w:webHidden/>
          </w:rPr>
          <w:fldChar w:fldCharType="separate"/>
        </w:r>
        <w:r w:rsidR="00213659">
          <w:rPr>
            <w:noProof/>
            <w:webHidden/>
          </w:rPr>
          <w:t>32</w:t>
        </w:r>
        <w:r w:rsidR="00410660">
          <w:rPr>
            <w:noProof/>
            <w:webHidden/>
          </w:rPr>
          <w:fldChar w:fldCharType="end"/>
        </w:r>
      </w:hyperlink>
    </w:p>
    <w:p w14:paraId="4C553EEE" w14:textId="41CF881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499" w:history="1">
        <w:r w:rsidR="00410660" w:rsidRPr="00853AB4">
          <w:rPr>
            <w:rStyle w:val="Lienhypertexte"/>
            <w:noProof/>
            <w:lang w:val="en-GB"/>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lang w:val="en-GB"/>
          </w:rPr>
          <w:t>Skin corrosion and irritation</w:t>
        </w:r>
        <w:r w:rsidR="00410660">
          <w:rPr>
            <w:noProof/>
            <w:webHidden/>
          </w:rPr>
          <w:tab/>
        </w:r>
        <w:r w:rsidR="00410660">
          <w:rPr>
            <w:noProof/>
            <w:webHidden/>
          </w:rPr>
          <w:fldChar w:fldCharType="begin"/>
        </w:r>
        <w:r w:rsidR="00410660">
          <w:rPr>
            <w:noProof/>
            <w:webHidden/>
          </w:rPr>
          <w:instrText xml:space="preserve"> PAGEREF _Toc8296499 \h </w:instrText>
        </w:r>
        <w:r w:rsidR="00410660">
          <w:rPr>
            <w:noProof/>
            <w:webHidden/>
          </w:rPr>
        </w:r>
        <w:r w:rsidR="00410660">
          <w:rPr>
            <w:noProof/>
            <w:webHidden/>
          </w:rPr>
          <w:fldChar w:fldCharType="separate"/>
        </w:r>
        <w:r w:rsidR="00213659">
          <w:rPr>
            <w:noProof/>
            <w:webHidden/>
          </w:rPr>
          <w:t>32</w:t>
        </w:r>
        <w:r w:rsidR="00410660">
          <w:rPr>
            <w:noProof/>
            <w:webHidden/>
          </w:rPr>
          <w:fldChar w:fldCharType="end"/>
        </w:r>
      </w:hyperlink>
    </w:p>
    <w:p w14:paraId="7D5C0115" w14:textId="4908FFDF"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0" w:history="1">
        <w:r w:rsidR="00410660" w:rsidRPr="00853AB4">
          <w:rPr>
            <w:rStyle w:val="Lienhypertexte"/>
            <w:noProof/>
            <w:lang w:val="en-GB"/>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lang w:val="en-GB"/>
          </w:rPr>
          <w:t>Eye Irritation</w:t>
        </w:r>
        <w:r w:rsidR="00410660">
          <w:rPr>
            <w:noProof/>
            <w:webHidden/>
          </w:rPr>
          <w:tab/>
        </w:r>
        <w:r w:rsidR="00410660">
          <w:rPr>
            <w:noProof/>
            <w:webHidden/>
          </w:rPr>
          <w:fldChar w:fldCharType="begin"/>
        </w:r>
        <w:r w:rsidR="00410660">
          <w:rPr>
            <w:noProof/>
            <w:webHidden/>
          </w:rPr>
          <w:instrText xml:space="preserve"> PAGEREF _Toc8296500 \h </w:instrText>
        </w:r>
        <w:r w:rsidR="00410660">
          <w:rPr>
            <w:noProof/>
            <w:webHidden/>
          </w:rPr>
        </w:r>
        <w:r w:rsidR="00410660">
          <w:rPr>
            <w:noProof/>
            <w:webHidden/>
          </w:rPr>
          <w:fldChar w:fldCharType="separate"/>
        </w:r>
        <w:r w:rsidR="00213659">
          <w:rPr>
            <w:noProof/>
            <w:webHidden/>
          </w:rPr>
          <w:t>34</w:t>
        </w:r>
        <w:r w:rsidR="00410660">
          <w:rPr>
            <w:noProof/>
            <w:webHidden/>
          </w:rPr>
          <w:fldChar w:fldCharType="end"/>
        </w:r>
      </w:hyperlink>
    </w:p>
    <w:p w14:paraId="4DA26D8D" w14:textId="15F74CE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1" w:history="1">
        <w:r w:rsidR="00410660" w:rsidRPr="00853AB4">
          <w:rPr>
            <w:rStyle w:val="Lienhypertexte"/>
            <w:noProof/>
            <w:lang w:val="en-GB"/>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lang w:val="en-GB"/>
          </w:rPr>
          <w:t>Respiratory tract irritation</w:t>
        </w:r>
        <w:r w:rsidR="00410660">
          <w:rPr>
            <w:noProof/>
            <w:webHidden/>
          </w:rPr>
          <w:tab/>
        </w:r>
        <w:r w:rsidR="00410660">
          <w:rPr>
            <w:noProof/>
            <w:webHidden/>
          </w:rPr>
          <w:fldChar w:fldCharType="begin"/>
        </w:r>
        <w:r w:rsidR="00410660">
          <w:rPr>
            <w:noProof/>
            <w:webHidden/>
          </w:rPr>
          <w:instrText xml:space="preserve"> PAGEREF _Toc8296501 \h </w:instrText>
        </w:r>
        <w:r w:rsidR="00410660">
          <w:rPr>
            <w:noProof/>
            <w:webHidden/>
          </w:rPr>
        </w:r>
        <w:r w:rsidR="00410660">
          <w:rPr>
            <w:noProof/>
            <w:webHidden/>
          </w:rPr>
          <w:fldChar w:fldCharType="separate"/>
        </w:r>
        <w:r w:rsidR="00213659">
          <w:rPr>
            <w:noProof/>
            <w:webHidden/>
          </w:rPr>
          <w:t>36</w:t>
        </w:r>
        <w:r w:rsidR="00410660">
          <w:rPr>
            <w:noProof/>
            <w:webHidden/>
          </w:rPr>
          <w:fldChar w:fldCharType="end"/>
        </w:r>
      </w:hyperlink>
    </w:p>
    <w:p w14:paraId="6B519BDA" w14:textId="19E0BAD3"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2" w:history="1">
        <w:r w:rsidR="00410660" w:rsidRPr="00853AB4">
          <w:rPr>
            <w:rStyle w:val="Lienhypertexte"/>
            <w:noProof/>
            <w:lang w:val="en-GB"/>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lang w:val="en-GB"/>
          </w:rPr>
          <w:t>Skin sensitization</w:t>
        </w:r>
        <w:r w:rsidR="00410660">
          <w:rPr>
            <w:noProof/>
            <w:webHidden/>
          </w:rPr>
          <w:tab/>
        </w:r>
        <w:r w:rsidR="00410660">
          <w:rPr>
            <w:noProof/>
            <w:webHidden/>
          </w:rPr>
          <w:fldChar w:fldCharType="begin"/>
        </w:r>
        <w:r w:rsidR="00410660">
          <w:rPr>
            <w:noProof/>
            <w:webHidden/>
          </w:rPr>
          <w:instrText xml:space="preserve"> PAGEREF _Toc8296502 \h </w:instrText>
        </w:r>
        <w:r w:rsidR="00410660">
          <w:rPr>
            <w:noProof/>
            <w:webHidden/>
          </w:rPr>
        </w:r>
        <w:r w:rsidR="00410660">
          <w:rPr>
            <w:noProof/>
            <w:webHidden/>
          </w:rPr>
          <w:fldChar w:fldCharType="separate"/>
        </w:r>
        <w:r w:rsidR="00213659">
          <w:rPr>
            <w:noProof/>
            <w:webHidden/>
          </w:rPr>
          <w:t>37</w:t>
        </w:r>
        <w:r w:rsidR="00410660">
          <w:rPr>
            <w:noProof/>
            <w:webHidden/>
          </w:rPr>
          <w:fldChar w:fldCharType="end"/>
        </w:r>
      </w:hyperlink>
    </w:p>
    <w:p w14:paraId="34D4EE09" w14:textId="0FB6D0AE"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3"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Respiratory sensitization (ADS)</w:t>
        </w:r>
        <w:r w:rsidR="00410660">
          <w:rPr>
            <w:noProof/>
            <w:webHidden/>
          </w:rPr>
          <w:tab/>
        </w:r>
        <w:r w:rsidR="00410660">
          <w:rPr>
            <w:noProof/>
            <w:webHidden/>
          </w:rPr>
          <w:fldChar w:fldCharType="begin"/>
        </w:r>
        <w:r w:rsidR="00410660">
          <w:rPr>
            <w:noProof/>
            <w:webHidden/>
          </w:rPr>
          <w:instrText xml:space="preserve"> PAGEREF _Toc8296503 \h </w:instrText>
        </w:r>
        <w:r w:rsidR="00410660">
          <w:rPr>
            <w:noProof/>
            <w:webHidden/>
          </w:rPr>
        </w:r>
        <w:r w:rsidR="00410660">
          <w:rPr>
            <w:noProof/>
            <w:webHidden/>
          </w:rPr>
          <w:fldChar w:fldCharType="separate"/>
        </w:r>
        <w:r w:rsidR="00213659">
          <w:rPr>
            <w:noProof/>
            <w:webHidden/>
          </w:rPr>
          <w:t>38</w:t>
        </w:r>
        <w:r w:rsidR="00410660">
          <w:rPr>
            <w:noProof/>
            <w:webHidden/>
          </w:rPr>
          <w:fldChar w:fldCharType="end"/>
        </w:r>
      </w:hyperlink>
    </w:p>
    <w:p w14:paraId="67BCA237" w14:textId="38CE6332"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4" w:history="1">
        <w:r w:rsidR="00410660" w:rsidRPr="00853AB4">
          <w:rPr>
            <w:rStyle w:val="Lienhypertexte"/>
            <w:noProof/>
          </w:rPr>
          <w:t>(VI)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Acute toxicity</w:t>
        </w:r>
        <w:r w:rsidR="00410660">
          <w:rPr>
            <w:noProof/>
            <w:webHidden/>
          </w:rPr>
          <w:tab/>
        </w:r>
        <w:r w:rsidR="00410660">
          <w:rPr>
            <w:noProof/>
            <w:webHidden/>
          </w:rPr>
          <w:fldChar w:fldCharType="begin"/>
        </w:r>
        <w:r w:rsidR="00410660">
          <w:rPr>
            <w:noProof/>
            <w:webHidden/>
          </w:rPr>
          <w:instrText xml:space="preserve"> PAGEREF _Toc8296504 \h </w:instrText>
        </w:r>
        <w:r w:rsidR="00410660">
          <w:rPr>
            <w:noProof/>
            <w:webHidden/>
          </w:rPr>
        </w:r>
        <w:r w:rsidR="00410660">
          <w:rPr>
            <w:noProof/>
            <w:webHidden/>
          </w:rPr>
          <w:fldChar w:fldCharType="separate"/>
        </w:r>
        <w:r w:rsidR="00213659">
          <w:rPr>
            <w:noProof/>
            <w:webHidden/>
          </w:rPr>
          <w:t>40</w:t>
        </w:r>
        <w:r w:rsidR="00410660">
          <w:rPr>
            <w:noProof/>
            <w:webHidden/>
          </w:rPr>
          <w:fldChar w:fldCharType="end"/>
        </w:r>
      </w:hyperlink>
    </w:p>
    <w:p w14:paraId="4AA7F4BE" w14:textId="4ACC403F"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5" w:history="1">
        <w:r w:rsidR="00410660" w:rsidRPr="00853AB4">
          <w:rPr>
            <w:rStyle w:val="Lienhypertexte"/>
            <w:noProof/>
          </w:rPr>
          <w:t>(VII)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Information on dermal absorption</w:t>
        </w:r>
        <w:r w:rsidR="00410660">
          <w:rPr>
            <w:noProof/>
            <w:webHidden/>
          </w:rPr>
          <w:tab/>
        </w:r>
        <w:r w:rsidR="00410660">
          <w:rPr>
            <w:noProof/>
            <w:webHidden/>
          </w:rPr>
          <w:fldChar w:fldCharType="begin"/>
        </w:r>
        <w:r w:rsidR="00410660">
          <w:rPr>
            <w:noProof/>
            <w:webHidden/>
          </w:rPr>
          <w:instrText xml:space="preserve"> PAGEREF _Toc8296505 \h </w:instrText>
        </w:r>
        <w:r w:rsidR="00410660">
          <w:rPr>
            <w:noProof/>
            <w:webHidden/>
          </w:rPr>
        </w:r>
        <w:r w:rsidR="00410660">
          <w:rPr>
            <w:noProof/>
            <w:webHidden/>
          </w:rPr>
          <w:fldChar w:fldCharType="separate"/>
        </w:r>
        <w:r w:rsidR="00213659">
          <w:rPr>
            <w:noProof/>
            <w:webHidden/>
          </w:rPr>
          <w:t>43</w:t>
        </w:r>
        <w:r w:rsidR="00410660">
          <w:rPr>
            <w:noProof/>
            <w:webHidden/>
          </w:rPr>
          <w:fldChar w:fldCharType="end"/>
        </w:r>
      </w:hyperlink>
    </w:p>
    <w:p w14:paraId="2864F1EB" w14:textId="04972D5F"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6" w:history="1">
        <w:r w:rsidR="00410660" w:rsidRPr="00853AB4">
          <w:rPr>
            <w:rStyle w:val="Lienhypertexte"/>
            <w:noProof/>
          </w:rPr>
          <w:t>(VIII)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Available toxicological data relating to non active substance(s) (i.e. substance(s) of concern)</w:t>
        </w:r>
        <w:r w:rsidR="00410660">
          <w:rPr>
            <w:noProof/>
            <w:webHidden/>
          </w:rPr>
          <w:tab/>
        </w:r>
        <w:r w:rsidR="00410660">
          <w:rPr>
            <w:noProof/>
            <w:webHidden/>
          </w:rPr>
          <w:fldChar w:fldCharType="begin"/>
        </w:r>
        <w:r w:rsidR="00410660">
          <w:rPr>
            <w:noProof/>
            <w:webHidden/>
          </w:rPr>
          <w:instrText xml:space="preserve"> PAGEREF _Toc8296506 \h </w:instrText>
        </w:r>
        <w:r w:rsidR="00410660">
          <w:rPr>
            <w:noProof/>
            <w:webHidden/>
          </w:rPr>
        </w:r>
        <w:r w:rsidR="00410660">
          <w:rPr>
            <w:noProof/>
            <w:webHidden/>
          </w:rPr>
          <w:fldChar w:fldCharType="separate"/>
        </w:r>
        <w:r w:rsidR="00213659">
          <w:rPr>
            <w:noProof/>
            <w:webHidden/>
          </w:rPr>
          <w:t>44</w:t>
        </w:r>
        <w:r w:rsidR="00410660">
          <w:rPr>
            <w:noProof/>
            <w:webHidden/>
          </w:rPr>
          <w:fldChar w:fldCharType="end"/>
        </w:r>
      </w:hyperlink>
    </w:p>
    <w:p w14:paraId="43A1967E" w14:textId="3B94F846"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7" w:history="1">
        <w:r w:rsidR="00410660" w:rsidRPr="00853AB4">
          <w:rPr>
            <w:rStyle w:val="Lienhypertexte"/>
            <w:noProof/>
          </w:rPr>
          <w:t>(IX)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Available toxicological data relating to a mixture</w:t>
        </w:r>
        <w:r w:rsidR="00410660">
          <w:rPr>
            <w:noProof/>
            <w:webHidden/>
          </w:rPr>
          <w:tab/>
        </w:r>
        <w:r w:rsidR="00410660">
          <w:rPr>
            <w:noProof/>
            <w:webHidden/>
          </w:rPr>
          <w:fldChar w:fldCharType="begin"/>
        </w:r>
        <w:r w:rsidR="00410660">
          <w:rPr>
            <w:noProof/>
            <w:webHidden/>
          </w:rPr>
          <w:instrText xml:space="preserve"> PAGEREF _Toc8296507 \h </w:instrText>
        </w:r>
        <w:r w:rsidR="00410660">
          <w:rPr>
            <w:noProof/>
            <w:webHidden/>
          </w:rPr>
        </w:r>
        <w:r w:rsidR="00410660">
          <w:rPr>
            <w:noProof/>
            <w:webHidden/>
          </w:rPr>
          <w:fldChar w:fldCharType="separate"/>
        </w:r>
        <w:r w:rsidR="00213659">
          <w:rPr>
            <w:noProof/>
            <w:webHidden/>
          </w:rPr>
          <w:t>44</w:t>
        </w:r>
        <w:r w:rsidR="00410660">
          <w:rPr>
            <w:noProof/>
            <w:webHidden/>
          </w:rPr>
          <w:fldChar w:fldCharType="end"/>
        </w:r>
      </w:hyperlink>
    </w:p>
    <w:p w14:paraId="29173C9C" w14:textId="358D301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08" w:history="1">
        <w:r w:rsidR="00410660" w:rsidRPr="00853AB4">
          <w:rPr>
            <w:rStyle w:val="Lienhypertexte"/>
            <w:noProof/>
          </w:rPr>
          <w:t>(X)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Other</w:t>
        </w:r>
        <w:r w:rsidR="00410660">
          <w:rPr>
            <w:noProof/>
            <w:webHidden/>
          </w:rPr>
          <w:tab/>
        </w:r>
        <w:r w:rsidR="00410660">
          <w:rPr>
            <w:noProof/>
            <w:webHidden/>
          </w:rPr>
          <w:fldChar w:fldCharType="begin"/>
        </w:r>
        <w:r w:rsidR="00410660">
          <w:rPr>
            <w:noProof/>
            <w:webHidden/>
          </w:rPr>
          <w:instrText xml:space="preserve"> PAGEREF _Toc8296508 \h </w:instrText>
        </w:r>
        <w:r w:rsidR="00410660">
          <w:rPr>
            <w:noProof/>
            <w:webHidden/>
          </w:rPr>
        </w:r>
        <w:r w:rsidR="00410660">
          <w:rPr>
            <w:noProof/>
            <w:webHidden/>
          </w:rPr>
          <w:fldChar w:fldCharType="separate"/>
        </w:r>
        <w:r w:rsidR="00213659">
          <w:rPr>
            <w:noProof/>
            <w:webHidden/>
          </w:rPr>
          <w:t>44</w:t>
        </w:r>
        <w:r w:rsidR="00410660">
          <w:rPr>
            <w:noProof/>
            <w:webHidden/>
          </w:rPr>
          <w:fldChar w:fldCharType="end"/>
        </w:r>
      </w:hyperlink>
    </w:p>
    <w:p w14:paraId="7B7D0888" w14:textId="00E98233" w:rsidR="00410660" w:rsidRDefault="00F26AF2" w:rsidP="00A80F2E">
      <w:pPr>
        <w:pStyle w:val="TM4"/>
        <w:rPr>
          <w:rFonts w:asciiTheme="minorHAnsi" w:eastAsiaTheme="minorEastAsia" w:hAnsiTheme="minorHAnsi" w:cstheme="minorBidi"/>
          <w:noProof/>
          <w:sz w:val="22"/>
          <w:szCs w:val="22"/>
        </w:rPr>
      </w:pPr>
      <w:hyperlink w:anchor="_Toc8296509" w:history="1">
        <w:r w:rsidR="00410660" w:rsidRPr="00853AB4">
          <w:rPr>
            <w:rStyle w:val="Lienhypertexte"/>
            <w:noProof/>
          </w:rPr>
          <w:t>2.2.7.2</w:t>
        </w:r>
        <w:r w:rsidR="00410660">
          <w:rPr>
            <w:rFonts w:asciiTheme="minorHAnsi" w:eastAsiaTheme="minorEastAsia" w:hAnsiTheme="minorHAnsi" w:cstheme="minorBidi"/>
            <w:noProof/>
            <w:sz w:val="22"/>
            <w:szCs w:val="22"/>
          </w:rPr>
          <w:tab/>
        </w:r>
        <w:r w:rsidR="00410660" w:rsidRPr="00853AB4">
          <w:rPr>
            <w:rStyle w:val="Lienhypertexte"/>
            <w:noProof/>
          </w:rPr>
          <w:t>Exposure assessment</w:t>
        </w:r>
        <w:r w:rsidR="00410660">
          <w:rPr>
            <w:noProof/>
            <w:webHidden/>
          </w:rPr>
          <w:tab/>
        </w:r>
        <w:r w:rsidR="00410660">
          <w:rPr>
            <w:noProof/>
            <w:webHidden/>
          </w:rPr>
          <w:fldChar w:fldCharType="begin"/>
        </w:r>
        <w:r w:rsidR="00410660">
          <w:rPr>
            <w:noProof/>
            <w:webHidden/>
          </w:rPr>
          <w:instrText xml:space="preserve"> PAGEREF _Toc8296509 \h </w:instrText>
        </w:r>
        <w:r w:rsidR="00410660">
          <w:rPr>
            <w:noProof/>
            <w:webHidden/>
          </w:rPr>
        </w:r>
        <w:r w:rsidR="00410660">
          <w:rPr>
            <w:noProof/>
            <w:webHidden/>
          </w:rPr>
          <w:fldChar w:fldCharType="separate"/>
        </w:r>
        <w:r w:rsidR="00213659">
          <w:rPr>
            <w:noProof/>
            <w:webHidden/>
          </w:rPr>
          <w:t>45</w:t>
        </w:r>
        <w:r w:rsidR="00410660">
          <w:rPr>
            <w:noProof/>
            <w:webHidden/>
          </w:rPr>
          <w:fldChar w:fldCharType="end"/>
        </w:r>
      </w:hyperlink>
    </w:p>
    <w:p w14:paraId="06BD3DC6" w14:textId="12F42978"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0" w:history="1">
        <w:r w:rsidR="00410660" w:rsidRPr="00853AB4">
          <w:rPr>
            <w:rStyle w:val="Lienhypertexte"/>
            <w:noProof/>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General information</w:t>
        </w:r>
        <w:r w:rsidR="00410660">
          <w:rPr>
            <w:noProof/>
            <w:webHidden/>
          </w:rPr>
          <w:tab/>
        </w:r>
        <w:r w:rsidR="00410660">
          <w:rPr>
            <w:noProof/>
            <w:webHidden/>
          </w:rPr>
          <w:fldChar w:fldCharType="begin"/>
        </w:r>
        <w:r w:rsidR="00410660">
          <w:rPr>
            <w:noProof/>
            <w:webHidden/>
          </w:rPr>
          <w:instrText xml:space="preserve"> PAGEREF _Toc8296510 \h </w:instrText>
        </w:r>
        <w:r w:rsidR="00410660">
          <w:rPr>
            <w:noProof/>
            <w:webHidden/>
          </w:rPr>
        </w:r>
        <w:r w:rsidR="00410660">
          <w:rPr>
            <w:noProof/>
            <w:webHidden/>
          </w:rPr>
          <w:fldChar w:fldCharType="separate"/>
        </w:r>
        <w:r w:rsidR="00213659">
          <w:rPr>
            <w:noProof/>
            <w:webHidden/>
          </w:rPr>
          <w:t>46</w:t>
        </w:r>
        <w:r w:rsidR="00410660">
          <w:rPr>
            <w:noProof/>
            <w:webHidden/>
          </w:rPr>
          <w:fldChar w:fldCharType="end"/>
        </w:r>
      </w:hyperlink>
    </w:p>
    <w:p w14:paraId="24F78BDB" w14:textId="3D74A04B"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1" w:history="1">
        <w:r w:rsidR="00410660" w:rsidRPr="00853AB4">
          <w:rPr>
            <w:rStyle w:val="Lienhypertexte"/>
            <w:noProof/>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List of scenarios</w:t>
        </w:r>
        <w:r w:rsidR="00410660">
          <w:rPr>
            <w:noProof/>
            <w:webHidden/>
          </w:rPr>
          <w:tab/>
        </w:r>
        <w:r w:rsidR="00410660">
          <w:rPr>
            <w:noProof/>
            <w:webHidden/>
          </w:rPr>
          <w:fldChar w:fldCharType="begin"/>
        </w:r>
        <w:r w:rsidR="00410660">
          <w:rPr>
            <w:noProof/>
            <w:webHidden/>
          </w:rPr>
          <w:instrText xml:space="preserve"> PAGEREF _Toc8296511 \h </w:instrText>
        </w:r>
        <w:r w:rsidR="00410660">
          <w:rPr>
            <w:noProof/>
            <w:webHidden/>
          </w:rPr>
        </w:r>
        <w:r w:rsidR="00410660">
          <w:rPr>
            <w:noProof/>
            <w:webHidden/>
          </w:rPr>
          <w:fldChar w:fldCharType="separate"/>
        </w:r>
        <w:r w:rsidR="00213659">
          <w:rPr>
            <w:noProof/>
            <w:webHidden/>
          </w:rPr>
          <w:t>48</w:t>
        </w:r>
        <w:r w:rsidR="00410660">
          <w:rPr>
            <w:noProof/>
            <w:webHidden/>
          </w:rPr>
          <w:fldChar w:fldCharType="end"/>
        </w:r>
      </w:hyperlink>
    </w:p>
    <w:p w14:paraId="47BD0981" w14:textId="42142B58"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2" w:history="1">
        <w:r w:rsidR="00410660" w:rsidRPr="00853AB4">
          <w:rPr>
            <w:rStyle w:val="Lienhypertexte"/>
            <w:noProof/>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Industrial exposure</w:t>
        </w:r>
        <w:r w:rsidR="00410660">
          <w:rPr>
            <w:noProof/>
            <w:webHidden/>
          </w:rPr>
          <w:tab/>
        </w:r>
        <w:r w:rsidR="00410660">
          <w:rPr>
            <w:noProof/>
            <w:webHidden/>
          </w:rPr>
          <w:fldChar w:fldCharType="begin"/>
        </w:r>
        <w:r w:rsidR="00410660">
          <w:rPr>
            <w:noProof/>
            <w:webHidden/>
          </w:rPr>
          <w:instrText xml:space="preserve"> PAGEREF _Toc8296512 \h </w:instrText>
        </w:r>
        <w:r w:rsidR="00410660">
          <w:rPr>
            <w:noProof/>
            <w:webHidden/>
          </w:rPr>
        </w:r>
        <w:r w:rsidR="00410660">
          <w:rPr>
            <w:noProof/>
            <w:webHidden/>
          </w:rPr>
          <w:fldChar w:fldCharType="separate"/>
        </w:r>
        <w:r w:rsidR="00213659">
          <w:rPr>
            <w:noProof/>
            <w:webHidden/>
          </w:rPr>
          <w:t>49</w:t>
        </w:r>
        <w:r w:rsidR="00410660">
          <w:rPr>
            <w:noProof/>
            <w:webHidden/>
          </w:rPr>
          <w:fldChar w:fldCharType="end"/>
        </w:r>
      </w:hyperlink>
    </w:p>
    <w:p w14:paraId="3A227580" w14:textId="2B1BC3EB"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3" w:history="1">
        <w:r w:rsidR="00410660" w:rsidRPr="00853AB4">
          <w:rPr>
            <w:rStyle w:val="Lienhypertexte"/>
            <w:noProof/>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Professional exposure</w:t>
        </w:r>
        <w:r w:rsidR="00410660">
          <w:rPr>
            <w:noProof/>
            <w:webHidden/>
          </w:rPr>
          <w:tab/>
        </w:r>
        <w:r w:rsidR="00410660">
          <w:rPr>
            <w:noProof/>
            <w:webHidden/>
          </w:rPr>
          <w:fldChar w:fldCharType="begin"/>
        </w:r>
        <w:r w:rsidR="00410660">
          <w:rPr>
            <w:noProof/>
            <w:webHidden/>
          </w:rPr>
          <w:instrText xml:space="preserve"> PAGEREF _Toc8296513 \h </w:instrText>
        </w:r>
        <w:r w:rsidR="00410660">
          <w:rPr>
            <w:noProof/>
            <w:webHidden/>
          </w:rPr>
        </w:r>
        <w:r w:rsidR="00410660">
          <w:rPr>
            <w:noProof/>
            <w:webHidden/>
          </w:rPr>
          <w:fldChar w:fldCharType="separate"/>
        </w:r>
        <w:r w:rsidR="00213659">
          <w:rPr>
            <w:noProof/>
            <w:webHidden/>
          </w:rPr>
          <w:t>49</w:t>
        </w:r>
        <w:r w:rsidR="00410660">
          <w:rPr>
            <w:noProof/>
            <w:webHidden/>
          </w:rPr>
          <w:fldChar w:fldCharType="end"/>
        </w:r>
      </w:hyperlink>
    </w:p>
    <w:p w14:paraId="57028EF5" w14:textId="6E1A07BC"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4"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Non-professional exposure</w:t>
        </w:r>
        <w:r w:rsidR="00410660">
          <w:rPr>
            <w:noProof/>
            <w:webHidden/>
          </w:rPr>
          <w:tab/>
        </w:r>
        <w:r w:rsidR="00410660">
          <w:rPr>
            <w:noProof/>
            <w:webHidden/>
          </w:rPr>
          <w:fldChar w:fldCharType="begin"/>
        </w:r>
        <w:r w:rsidR="00410660">
          <w:rPr>
            <w:noProof/>
            <w:webHidden/>
          </w:rPr>
          <w:instrText xml:space="preserve"> PAGEREF _Toc8296514 \h </w:instrText>
        </w:r>
        <w:r w:rsidR="00410660">
          <w:rPr>
            <w:noProof/>
            <w:webHidden/>
          </w:rPr>
        </w:r>
        <w:r w:rsidR="00410660">
          <w:rPr>
            <w:noProof/>
            <w:webHidden/>
          </w:rPr>
          <w:fldChar w:fldCharType="separate"/>
        </w:r>
        <w:r w:rsidR="00213659">
          <w:rPr>
            <w:noProof/>
            <w:webHidden/>
          </w:rPr>
          <w:t>50</w:t>
        </w:r>
        <w:r w:rsidR="00410660">
          <w:rPr>
            <w:noProof/>
            <w:webHidden/>
          </w:rPr>
          <w:fldChar w:fldCharType="end"/>
        </w:r>
      </w:hyperlink>
    </w:p>
    <w:p w14:paraId="18333695" w14:textId="73B10F4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5" w:history="1">
        <w:r w:rsidR="00410660" w:rsidRPr="00853AB4">
          <w:rPr>
            <w:rStyle w:val="Lienhypertexte"/>
            <w:noProof/>
          </w:rPr>
          <w:t>(VI)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Exposure of the general public</w:t>
        </w:r>
        <w:r w:rsidR="00410660">
          <w:rPr>
            <w:noProof/>
            <w:webHidden/>
          </w:rPr>
          <w:tab/>
        </w:r>
        <w:r w:rsidR="00410660">
          <w:rPr>
            <w:noProof/>
            <w:webHidden/>
          </w:rPr>
          <w:fldChar w:fldCharType="begin"/>
        </w:r>
        <w:r w:rsidR="00410660">
          <w:rPr>
            <w:noProof/>
            <w:webHidden/>
          </w:rPr>
          <w:instrText xml:space="preserve"> PAGEREF _Toc8296515 \h </w:instrText>
        </w:r>
        <w:r w:rsidR="00410660">
          <w:rPr>
            <w:noProof/>
            <w:webHidden/>
          </w:rPr>
        </w:r>
        <w:r w:rsidR="00410660">
          <w:rPr>
            <w:noProof/>
            <w:webHidden/>
          </w:rPr>
          <w:fldChar w:fldCharType="separate"/>
        </w:r>
        <w:r w:rsidR="00213659">
          <w:rPr>
            <w:noProof/>
            <w:webHidden/>
          </w:rPr>
          <w:t>59</w:t>
        </w:r>
        <w:r w:rsidR="00410660">
          <w:rPr>
            <w:noProof/>
            <w:webHidden/>
          </w:rPr>
          <w:fldChar w:fldCharType="end"/>
        </w:r>
      </w:hyperlink>
    </w:p>
    <w:p w14:paraId="7FC1A2FB" w14:textId="41306F55"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6" w:history="1">
        <w:r w:rsidR="00410660" w:rsidRPr="00853AB4">
          <w:rPr>
            <w:rStyle w:val="Lienhypertexte"/>
            <w:noProof/>
          </w:rPr>
          <w:t>(VII)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Monitoring data</w:t>
        </w:r>
        <w:r w:rsidR="00410660">
          <w:rPr>
            <w:noProof/>
            <w:webHidden/>
          </w:rPr>
          <w:tab/>
        </w:r>
        <w:r w:rsidR="00410660">
          <w:rPr>
            <w:noProof/>
            <w:webHidden/>
          </w:rPr>
          <w:fldChar w:fldCharType="begin"/>
        </w:r>
        <w:r w:rsidR="00410660">
          <w:rPr>
            <w:noProof/>
            <w:webHidden/>
          </w:rPr>
          <w:instrText xml:space="preserve"> PAGEREF _Toc8296516 \h </w:instrText>
        </w:r>
        <w:r w:rsidR="00410660">
          <w:rPr>
            <w:noProof/>
            <w:webHidden/>
          </w:rPr>
        </w:r>
        <w:r w:rsidR="00410660">
          <w:rPr>
            <w:noProof/>
            <w:webHidden/>
          </w:rPr>
          <w:fldChar w:fldCharType="separate"/>
        </w:r>
        <w:r w:rsidR="00213659">
          <w:rPr>
            <w:noProof/>
            <w:webHidden/>
          </w:rPr>
          <w:t>60</w:t>
        </w:r>
        <w:r w:rsidR="00410660">
          <w:rPr>
            <w:noProof/>
            <w:webHidden/>
          </w:rPr>
          <w:fldChar w:fldCharType="end"/>
        </w:r>
      </w:hyperlink>
    </w:p>
    <w:p w14:paraId="42966182" w14:textId="7FFA3D4D"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7" w:history="1">
        <w:r w:rsidR="00410660" w:rsidRPr="00853AB4">
          <w:rPr>
            <w:rStyle w:val="Lienhypertexte"/>
            <w:noProof/>
          </w:rPr>
          <w:t>(VIII)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Dietary exposure</w:t>
        </w:r>
        <w:r w:rsidR="00410660">
          <w:rPr>
            <w:noProof/>
            <w:webHidden/>
          </w:rPr>
          <w:tab/>
        </w:r>
        <w:r w:rsidR="00410660">
          <w:rPr>
            <w:noProof/>
            <w:webHidden/>
          </w:rPr>
          <w:fldChar w:fldCharType="begin"/>
        </w:r>
        <w:r w:rsidR="00410660">
          <w:rPr>
            <w:noProof/>
            <w:webHidden/>
          </w:rPr>
          <w:instrText xml:space="preserve"> PAGEREF _Toc8296517 \h </w:instrText>
        </w:r>
        <w:r w:rsidR="00410660">
          <w:rPr>
            <w:noProof/>
            <w:webHidden/>
          </w:rPr>
        </w:r>
        <w:r w:rsidR="00410660">
          <w:rPr>
            <w:noProof/>
            <w:webHidden/>
          </w:rPr>
          <w:fldChar w:fldCharType="separate"/>
        </w:r>
        <w:r w:rsidR="00213659">
          <w:rPr>
            <w:noProof/>
            <w:webHidden/>
          </w:rPr>
          <w:t>60</w:t>
        </w:r>
        <w:r w:rsidR="00410660">
          <w:rPr>
            <w:noProof/>
            <w:webHidden/>
          </w:rPr>
          <w:fldChar w:fldCharType="end"/>
        </w:r>
      </w:hyperlink>
    </w:p>
    <w:p w14:paraId="1E27887A" w14:textId="51AF7D1E"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8" w:history="1">
        <w:r w:rsidR="00410660" w:rsidRPr="00853AB4">
          <w:rPr>
            <w:rStyle w:val="Lienhypertexte"/>
            <w:noProof/>
          </w:rPr>
          <w:t>(IX)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Exposure associated with production, formulation and disposal of the biocidal product</w:t>
        </w:r>
        <w:r w:rsidR="00410660">
          <w:rPr>
            <w:noProof/>
            <w:webHidden/>
          </w:rPr>
          <w:tab/>
        </w:r>
        <w:r w:rsidR="00410660">
          <w:rPr>
            <w:noProof/>
            <w:webHidden/>
          </w:rPr>
          <w:fldChar w:fldCharType="begin"/>
        </w:r>
        <w:r w:rsidR="00410660">
          <w:rPr>
            <w:noProof/>
            <w:webHidden/>
          </w:rPr>
          <w:instrText xml:space="preserve"> PAGEREF _Toc8296518 \h </w:instrText>
        </w:r>
        <w:r w:rsidR="00410660">
          <w:rPr>
            <w:noProof/>
            <w:webHidden/>
          </w:rPr>
        </w:r>
        <w:r w:rsidR="00410660">
          <w:rPr>
            <w:noProof/>
            <w:webHidden/>
          </w:rPr>
          <w:fldChar w:fldCharType="separate"/>
        </w:r>
        <w:r w:rsidR="00213659">
          <w:rPr>
            <w:noProof/>
            <w:webHidden/>
          </w:rPr>
          <w:t>61</w:t>
        </w:r>
        <w:r w:rsidR="00410660">
          <w:rPr>
            <w:noProof/>
            <w:webHidden/>
          </w:rPr>
          <w:fldChar w:fldCharType="end"/>
        </w:r>
      </w:hyperlink>
    </w:p>
    <w:p w14:paraId="6DAB7866" w14:textId="772B31C1"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19" w:history="1">
        <w:r w:rsidR="00410660" w:rsidRPr="00853AB4">
          <w:rPr>
            <w:rStyle w:val="Lienhypertexte"/>
            <w:noProof/>
          </w:rPr>
          <w:t>(X)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Aggregated exposure</w:t>
        </w:r>
        <w:r w:rsidR="00410660">
          <w:rPr>
            <w:noProof/>
            <w:webHidden/>
          </w:rPr>
          <w:tab/>
        </w:r>
        <w:r w:rsidR="00410660">
          <w:rPr>
            <w:noProof/>
            <w:webHidden/>
          </w:rPr>
          <w:fldChar w:fldCharType="begin"/>
        </w:r>
        <w:r w:rsidR="00410660">
          <w:rPr>
            <w:noProof/>
            <w:webHidden/>
          </w:rPr>
          <w:instrText xml:space="preserve"> PAGEREF _Toc8296519 \h </w:instrText>
        </w:r>
        <w:r w:rsidR="00410660">
          <w:rPr>
            <w:noProof/>
            <w:webHidden/>
          </w:rPr>
        </w:r>
        <w:r w:rsidR="00410660">
          <w:rPr>
            <w:noProof/>
            <w:webHidden/>
          </w:rPr>
          <w:fldChar w:fldCharType="separate"/>
        </w:r>
        <w:r w:rsidR="00213659">
          <w:rPr>
            <w:noProof/>
            <w:webHidden/>
          </w:rPr>
          <w:t>62</w:t>
        </w:r>
        <w:r w:rsidR="00410660">
          <w:rPr>
            <w:noProof/>
            <w:webHidden/>
          </w:rPr>
          <w:fldChar w:fldCharType="end"/>
        </w:r>
      </w:hyperlink>
    </w:p>
    <w:p w14:paraId="6636D737" w14:textId="3352E2B1"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0" w:history="1">
        <w:r w:rsidR="00410660" w:rsidRPr="00853AB4">
          <w:rPr>
            <w:rStyle w:val="Lienhypertexte"/>
            <w:noProof/>
          </w:rPr>
          <w:t>(XI)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Summary of exposure assessment</w:t>
        </w:r>
        <w:r w:rsidR="00410660">
          <w:rPr>
            <w:noProof/>
            <w:webHidden/>
          </w:rPr>
          <w:tab/>
        </w:r>
        <w:r w:rsidR="00410660">
          <w:rPr>
            <w:noProof/>
            <w:webHidden/>
          </w:rPr>
          <w:fldChar w:fldCharType="begin"/>
        </w:r>
        <w:r w:rsidR="00410660">
          <w:rPr>
            <w:noProof/>
            <w:webHidden/>
          </w:rPr>
          <w:instrText xml:space="preserve"> PAGEREF _Toc8296520 \h </w:instrText>
        </w:r>
        <w:r w:rsidR="00410660">
          <w:rPr>
            <w:noProof/>
            <w:webHidden/>
          </w:rPr>
        </w:r>
        <w:r w:rsidR="00410660">
          <w:rPr>
            <w:noProof/>
            <w:webHidden/>
          </w:rPr>
          <w:fldChar w:fldCharType="separate"/>
        </w:r>
        <w:r w:rsidR="00213659">
          <w:rPr>
            <w:noProof/>
            <w:webHidden/>
          </w:rPr>
          <w:t>63</w:t>
        </w:r>
        <w:r w:rsidR="00410660">
          <w:rPr>
            <w:noProof/>
            <w:webHidden/>
          </w:rPr>
          <w:fldChar w:fldCharType="end"/>
        </w:r>
      </w:hyperlink>
    </w:p>
    <w:p w14:paraId="60EB440D" w14:textId="6990BFA3" w:rsidR="00410660" w:rsidRDefault="00F26AF2" w:rsidP="00A80F2E">
      <w:pPr>
        <w:pStyle w:val="TM4"/>
        <w:rPr>
          <w:rFonts w:asciiTheme="minorHAnsi" w:eastAsiaTheme="minorEastAsia" w:hAnsiTheme="minorHAnsi" w:cstheme="minorBidi"/>
          <w:noProof/>
          <w:sz w:val="22"/>
          <w:szCs w:val="22"/>
        </w:rPr>
      </w:pPr>
      <w:hyperlink w:anchor="_Toc8296521" w:history="1">
        <w:r w:rsidR="00410660" w:rsidRPr="00853AB4">
          <w:rPr>
            <w:rStyle w:val="Lienhypertexte"/>
            <w:noProof/>
          </w:rPr>
          <w:t>2.2.7.3</w:t>
        </w:r>
        <w:r w:rsidR="00410660">
          <w:rPr>
            <w:rFonts w:asciiTheme="minorHAnsi" w:eastAsiaTheme="minorEastAsia" w:hAnsiTheme="minorHAnsi" w:cstheme="minorBidi"/>
            <w:noProof/>
            <w:sz w:val="22"/>
            <w:szCs w:val="22"/>
          </w:rPr>
          <w:tab/>
        </w:r>
        <w:r w:rsidR="00410660" w:rsidRPr="00853AB4">
          <w:rPr>
            <w:rStyle w:val="Lienhypertexte"/>
            <w:noProof/>
          </w:rPr>
          <w:t>Risk characterisation for human health</w:t>
        </w:r>
        <w:r w:rsidR="00410660">
          <w:rPr>
            <w:noProof/>
            <w:webHidden/>
          </w:rPr>
          <w:tab/>
        </w:r>
        <w:r w:rsidR="00410660">
          <w:rPr>
            <w:noProof/>
            <w:webHidden/>
          </w:rPr>
          <w:fldChar w:fldCharType="begin"/>
        </w:r>
        <w:r w:rsidR="00410660">
          <w:rPr>
            <w:noProof/>
            <w:webHidden/>
          </w:rPr>
          <w:instrText xml:space="preserve"> PAGEREF _Toc8296521 \h </w:instrText>
        </w:r>
        <w:r w:rsidR="00410660">
          <w:rPr>
            <w:noProof/>
            <w:webHidden/>
          </w:rPr>
        </w:r>
        <w:r w:rsidR="00410660">
          <w:rPr>
            <w:noProof/>
            <w:webHidden/>
          </w:rPr>
          <w:fldChar w:fldCharType="separate"/>
        </w:r>
        <w:r w:rsidR="00213659">
          <w:rPr>
            <w:noProof/>
            <w:webHidden/>
          </w:rPr>
          <w:t>66</w:t>
        </w:r>
        <w:r w:rsidR="00410660">
          <w:rPr>
            <w:noProof/>
            <w:webHidden/>
          </w:rPr>
          <w:fldChar w:fldCharType="end"/>
        </w:r>
      </w:hyperlink>
    </w:p>
    <w:p w14:paraId="3C9E9637" w14:textId="468F4A6A" w:rsidR="00410660" w:rsidRDefault="00F26AF2">
      <w:pPr>
        <w:pStyle w:val="TM5"/>
        <w:tabs>
          <w:tab w:val="right" w:leader="dot" w:pos="9402"/>
        </w:tabs>
        <w:rPr>
          <w:rFonts w:asciiTheme="minorHAnsi" w:eastAsiaTheme="minorEastAsia" w:hAnsiTheme="minorHAnsi" w:cstheme="minorBidi"/>
          <w:i w:val="0"/>
          <w:noProof/>
          <w:color w:val="auto"/>
          <w:sz w:val="22"/>
          <w:szCs w:val="22"/>
        </w:rPr>
      </w:pPr>
      <w:hyperlink w:anchor="_Toc8296522" w:history="1">
        <w:r w:rsidR="00410660" w:rsidRPr="00853AB4">
          <w:rPr>
            <w:rStyle w:val="Lienhypertexte"/>
            <w:noProof/>
          </w:rPr>
          <w:t>Reference values to be used in Risk Characterisation</w:t>
        </w:r>
        <w:r w:rsidR="00410660">
          <w:rPr>
            <w:noProof/>
            <w:webHidden/>
          </w:rPr>
          <w:tab/>
        </w:r>
        <w:r w:rsidR="00410660">
          <w:rPr>
            <w:noProof/>
            <w:webHidden/>
          </w:rPr>
          <w:fldChar w:fldCharType="begin"/>
        </w:r>
        <w:r w:rsidR="00410660">
          <w:rPr>
            <w:noProof/>
            <w:webHidden/>
          </w:rPr>
          <w:instrText xml:space="preserve"> PAGEREF _Toc8296522 \h </w:instrText>
        </w:r>
        <w:r w:rsidR="00410660">
          <w:rPr>
            <w:noProof/>
            <w:webHidden/>
          </w:rPr>
        </w:r>
        <w:r w:rsidR="00410660">
          <w:rPr>
            <w:noProof/>
            <w:webHidden/>
          </w:rPr>
          <w:fldChar w:fldCharType="separate"/>
        </w:r>
        <w:r w:rsidR="00213659">
          <w:rPr>
            <w:noProof/>
            <w:webHidden/>
          </w:rPr>
          <w:t>66</w:t>
        </w:r>
        <w:r w:rsidR="00410660">
          <w:rPr>
            <w:noProof/>
            <w:webHidden/>
          </w:rPr>
          <w:fldChar w:fldCharType="end"/>
        </w:r>
      </w:hyperlink>
    </w:p>
    <w:p w14:paraId="2AF5A09C" w14:textId="1DE915C4"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3" w:history="1">
        <w:r w:rsidR="00410660" w:rsidRPr="00853AB4">
          <w:rPr>
            <w:rStyle w:val="Lienhypertexte"/>
            <w:noProof/>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for industrial users</w:t>
        </w:r>
        <w:r w:rsidR="00410660">
          <w:rPr>
            <w:noProof/>
            <w:webHidden/>
          </w:rPr>
          <w:tab/>
        </w:r>
        <w:r w:rsidR="00410660">
          <w:rPr>
            <w:noProof/>
            <w:webHidden/>
          </w:rPr>
          <w:fldChar w:fldCharType="begin"/>
        </w:r>
        <w:r w:rsidR="00410660">
          <w:rPr>
            <w:noProof/>
            <w:webHidden/>
          </w:rPr>
          <w:instrText xml:space="preserve"> PAGEREF _Toc8296523 \h </w:instrText>
        </w:r>
        <w:r w:rsidR="00410660">
          <w:rPr>
            <w:noProof/>
            <w:webHidden/>
          </w:rPr>
        </w:r>
        <w:r w:rsidR="00410660">
          <w:rPr>
            <w:noProof/>
            <w:webHidden/>
          </w:rPr>
          <w:fldChar w:fldCharType="separate"/>
        </w:r>
        <w:r w:rsidR="00213659">
          <w:rPr>
            <w:noProof/>
            <w:webHidden/>
          </w:rPr>
          <w:t>67</w:t>
        </w:r>
        <w:r w:rsidR="00410660">
          <w:rPr>
            <w:noProof/>
            <w:webHidden/>
          </w:rPr>
          <w:fldChar w:fldCharType="end"/>
        </w:r>
      </w:hyperlink>
    </w:p>
    <w:p w14:paraId="2C1F5857" w14:textId="761C262C"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4" w:history="1">
        <w:r w:rsidR="00410660" w:rsidRPr="00853AB4">
          <w:rPr>
            <w:rStyle w:val="Lienhypertexte"/>
            <w:noProof/>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for professional users</w:t>
        </w:r>
        <w:r w:rsidR="00410660">
          <w:rPr>
            <w:noProof/>
            <w:webHidden/>
          </w:rPr>
          <w:tab/>
        </w:r>
        <w:r w:rsidR="00410660">
          <w:rPr>
            <w:noProof/>
            <w:webHidden/>
          </w:rPr>
          <w:fldChar w:fldCharType="begin"/>
        </w:r>
        <w:r w:rsidR="00410660">
          <w:rPr>
            <w:noProof/>
            <w:webHidden/>
          </w:rPr>
          <w:instrText xml:space="preserve"> PAGEREF _Toc8296524 \h </w:instrText>
        </w:r>
        <w:r w:rsidR="00410660">
          <w:rPr>
            <w:noProof/>
            <w:webHidden/>
          </w:rPr>
        </w:r>
        <w:r w:rsidR="00410660">
          <w:rPr>
            <w:noProof/>
            <w:webHidden/>
          </w:rPr>
          <w:fldChar w:fldCharType="separate"/>
        </w:r>
        <w:r w:rsidR="00213659">
          <w:rPr>
            <w:noProof/>
            <w:webHidden/>
          </w:rPr>
          <w:t>67</w:t>
        </w:r>
        <w:r w:rsidR="00410660">
          <w:rPr>
            <w:noProof/>
            <w:webHidden/>
          </w:rPr>
          <w:fldChar w:fldCharType="end"/>
        </w:r>
      </w:hyperlink>
    </w:p>
    <w:p w14:paraId="498CC903" w14:textId="375D3799"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5" w:history="1">
        <w:r w:rsidR="00410660" w:rsidRPr="00853AB4">
          <w:rPr>
            <w:rStyle w:val="Lienhypertexte"/>
            <w:noProof/>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for non-professional users</w:t>
        </w:r>
        <w:r w:rsidR="00410660">
          <w:rPr>
            <w:noProof/>
            <w:webHidden/>
          </w:rPr>
          <w:tab/>
        </w:r>
        <w:r w:rsidR="00410660">
          <w:rPr>
            <w:noProof/>
            <w:webHidden/>
          </w:rPr>
          <w:fldChar w:fldCharType="begin"/>
        </w:r>
        <w:r w:rsidR="00410660">
          <w:rPr>
            <w:noProof/>
            <w:webHidden/>
          </w:rPr>
          <w:instrText xml:space="preserve"> PAGEREF _Toc8296525 \h </w:instrText>
        </w:r>
        <w:r w:rsidR="00410660">
          <w:rPr>
            <w:noProof/>
            <w:webHidden/>
          </w:rPr>
        </w:r>
        <w:r w:rsidR="00410660">
          <w:rPr>
            <w:noProof/>
            <w:webHidden/>
          </w:rPr>
          <w:fldChar w:fldCharType="separate"/>
        </w:r>
        <w:r w:rsidR="00213659">
          <w:rPr>
            <w:noProof/>
            <w:webHidden/>
          </w:rPr>
          <w:t>68</w:t>
        </w:r>
        <w:r w:rsidR="00410660">
          <w:rPr>
            <w:noProof/>
            <w:webHidden/>
          </w:rPr>
          <w:fldChar w:fldCharType="end"/>
        </w:r>
      </w:hyperlink>
    </w:p>
    <w:p w14:paraId="390855E7" w14:textId="173B3463"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6" w:history="1">
        <w:r w:rsidR="00410660" w:rsidRPr="00853AB4">
          <w:rPr>
            <w:rStyle w:val="Lienhypertexte"/>
            <w:noProof/>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for the general public</w:t>
        </w:r>
        <w:r w:rsidR="00410660">
          <w:rPr>
            <w:noProof/>
            <w:webHidden/>
          </w:rPr>
          <w:tab/>
        </w:r>
        <w:r w:rsidR="00410660">
          <w:rPr>
            <w:noProof/>
            <w:webHidden/>
          </w:rPr>
          <w:fldChar w:fldCharType="begin"/>
        </w:r>
        <w:r w:rsidR="00410660">
          <w:rPr>
            <w:noProof/>
            <w:webHidden/>
          </w:rPr>
          <w:instrText xml:space="preserve"> PAGEREF _Toc8296526 \h </w:instrText>
        </w:r>
        <w:r w:rsidR="00410660">
          <w:rPr>
            <w:noProof/>
            <w:webHidden/>
          </w:rPr>
        </w:r>
        <w:r w:rsidR="00410660">
          <w:rPr>
            <w:noProof/>
            <w:webHidden/>
          </w:rPr>
          <w:fldChar w:fldCharType="separate"/>
        </w:r>
        <w:r w:rsidR="00213659">
          <w:rPr>
            <w:noProof/>
            <w:webHidden/>
          </w:rPr>
          <w:t>71</w:t>
        </w:r>
        <w:r w:rsidR="00410660">
          <w:rPr>
            <w:noProof/>
            <w:webHidden/>
          </w:rPr>
          <w:fldChar w:fldCharType="end"/>
        </w:r>
      </w:hyperlink>
    </w:p>
    <w:p w14:paraId="0FD44248" w14:textId="4A31AFC4"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7"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for consumers via residues in food</w:t>
        </w:r>
        <w:r w:rsidR="00410660">
          <w:rPr>
            <w:noProof/>
            <w:webHidden/>
          </w:rPr>
          <w:tab/>
        </w:r>
        <w:r w:rsidR="00410660">
          <w:rPr>
            <w:noProof/>
            <w:webHidden/>
          </w:rPr>
          <w:fldChar w:fldCharType="begin"/>
        </w:r>
        <w:r w:rsidR="00410660">
          <w:rPr>
            <w:noProof/>
            <w:webHidden/>
          </w:rPr>
          <w:instrText xml:space="preserve"> PAGEREF _Toc8296527 \h </w:instrText>
        </w:r>
        <w:r w:rsidR="00410660">
          <w:rPr>
            <w:noProof/>
            <w:webHidden/>
          </w:rPr>
        </w:r>
        <w:r w:rsidR="00410660">
          <w:rPr>
            <w:noProof/>
            <w:webHidden/>
          </w:rPr>
          <w:fldChar w:fldCharType="separate"/>
        </w:r>
        <w:r w:rsidR="00213659">
          <w:rPr>
            <w:noProof/>
            <w:webHidden/>
          </w:rPr>
          <w:t>71</w:t>
        </w:r>
        <w:r w:rsidR="00410660">
          <w:rPr>
            <w:noProof/>
            <w:webHidden/>
          </w:rPr>
          <w:fldChar w:fldCharType="end"/>
        </w:r>
      </w:hyperlink>
    </w:p>
    <w:p w14:paraId="5CFF82F2" w14:textId="3C6FC66C"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28" w:history="1">
        <w:r w:rsidR="00410660" w:rsidRPr="00853AB4">
          <w:rPr>
            <w:rStyle w:val="Lienhypertexte"/>
            <w:noProof/>
          </w:rPr>
          <w:t>(VI)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Risk characterisation from combined exposure to several active substances or substances of concern within a biocidal product</w:t>
        </w:r>
        <w:r w:rsidR="00410660">
          <w:rPr>
            <w:noProof/>
            <w:webHidden/>
          </w:rPr>
          <w:tab/>
        </w:r>
        <w:r w:rsidR="00410660">
          <w:rPr>
            <w:noProof/>
            <w:webHidden/>
          </w:rPr>
          <w:fldChar w:fldCharType="begin"/>
        </w:r>
        <w:r w:rsidR="00410660">
          <w:rPr>
            <w:noProof/>
            <w:webHidden/>
          </w:rPr>
          <w:instrText xml:space="preserve"> PAGEREF _Toc8296528 \h </w:instrText>
        </w:r>
        <w:r w:rsidR="00410660">
          <w:rPr>
            <w:noProof/>
            <w:webHidden/>
          </w:rPr>
        </w:r>
        <w:r w:rsidR="00410660">
          <w:rPr>
            <w:noProof/>
            <w:webHidden/>
          </w:rPr>
          <w:fldChar w:fldCharType="separate"/>
        </w:r>
        <w:r w:rsidR="00213659">
          <w:rPr>
            <w:noProof/>
            <w:webHidden/>
          </w:rPr>
          <w:t>71</w:t>
        </w:r>
        <w:r w:rsidR="00410660">
          <w:rPr>
            <w:noProof/>
            <w:webHidden/>
          </w:rPr>
          <w:fldChar w:fldCharType="end"/>
        </w:r>
      </w:hyperlink>
    </w:p>
    <w:p w14:paraId="514F5FFF" w14:textId="74644248"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529" w:history="1">
        <w:r w:rsidR="00410660" w:rsidRPr="00853AB4">
          <w:rPr>
            <w:rStyle w:val="Lienhypertexte"/>
            <w:noProof/>
          </w:rPr>
          <w:t>2.2.8</w:t>
        </w:r>
        <w:r w:rsidR="00410660">
          <w:rPr>
            <w:rFonts w:asciiTheme="minorHAnsi" w:eastAsiaTheme="minorEastAsia" w:hAnsiTheme="minorHAnsi" w:cstheme="minorBidi"/>
            <w:i w:val="0"/>
            <w:noProof/>
            <w:sz w:val="22"/>
            <w:szCs w:val="22"/>
          </w:rPr>
          <w:tab/>
        </w:r>
        <w:r w:rsidR="00410660" w:rsidRPr="00853AB4">
          <w:rPr>
            <w:rStyle w:val="Lienhypertexte"/>
            <w:noProof/>
          </w:rPr>
          <w:t>Risk assessment for animal health</w:t>
        </w:r>
        <w:r w:rsidR="00410660">
          <w:rPr>
            <w:noProof/>
            <w:webHidden/>
          </w:rPr>
          <w:tab/>
        </w:r>
        <w:r w:rsidR="00410660">
          <w:rPr>
            <w:noProof/>
            <w:webHidden/>
          </w:rPr>
          <w:fldChar w:fldCharType="begin"/>
        </w:r>
        <w:r w:rsidR="00410660">
          <w:rPr>
            <w:noProof/>
            <w:webHidden/>
          </w:rPr>
          <w:instrText xml:space="preserve"> PAGEREF _Toc8296529 \h </w:instrText>
        </w:r>
        <w:r w:rsidR="00410660">
          <w:rPr>
            <w:noProof/>
            <w:webHidden/>
          </w:rPr>
        </w:r>
        <w:r w:rsidR="00410660">
          <w:rPr>
            <w:noProof/>
            <w:webHidden/>
          </w:rPr>
          <w:fldChar w:fldCharType="separate"/>
        </w:r>
        <w:r w:rsidR="00213659">
          <w:rPr>
            <w:noProof/>
            <w:webHidden/>
          </w:rPr>
          <w:t>71</w:t>
        </w:r>
        <w:r w:rsidR="00410660">
          <w:rPr>
            <w:noProof/>
            <w:webHidden/>
          </w:rPr>
          <w:fldChar w:fldCharType="end"/>
        </w:r>
      </w:hyperlink>
    </w:p>
    <w:p w14:paraId="6D228A8F" w14:textId="1F3B5A09"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530" w:history="1">
        <w:r w:rsidR="00410660" w:rsidRPr="00853AB4">
          <w:rPr>
            <w:rStyle w:val="Lienhypertexte"/>
            <w:noProof/>
          </w:rPr>
          <w:t>2.2.9</w:t>
        </w:r>
        <w:r w:rsidR="00410660">
          <w:rPr>
            <w:rFonts w:asciiTheme="minorHAnsi" w:eastAsiaTheme="minorEastAsia" w:hAnsiTheme="minorHAnsi" w:cstheme="minorBidi"/>
            <w:i w:val="0"/>
            <w:noProof/>
            <w:sz w:val="22"/>
            <w:szCs w:val="22"/>
          </w:rPr>
          <w:tab/>
        </w:r>
        <w:r w:rsidR="00410660" w:rsidRPr="00853AB4">
          <w:rPr>
            <w:rStyle w:val="Lienhypertexte"/>
            <w:noProof/>
          </w:rPr>
          <w:t>Risk assessment for the environment</w:t>
        </w:r>
        <w:r w:rsidR="00410660">
          <w:rPr>
            <w:noProof/>
            <w:webHidden/>
          </w:rPr>
          <w:tab/>
        </w:r>
        <w:r w:rsidR="00410660">
          <w:rPr>
            <w:noProof/>
            <w:webHidden/>
          </w:rPr>
          <w:fldChar w:fldCharType="begin"/>
        </w:r>
        <w:r w:rsidR="00410660">
          <w:rPr>
            <w:noProof/>
            <w:webHidden/>
          </w:rPr>
          <w:instrText xml:space="preserve"> PAGEREF _Toc8296530 \h </w:instrText>
        </w:r>
        <w:r w:rsidR="00410660">
          <w:rPr>
            <w:noProof/>
            <w:webHidden/>
          </w:rPr>
        </w:r>
        <w:r w:rsidR="00410660">
          <w:rPr>
            <w:noProof/>
            <w:webHidden/>
          </w:rPr>
          <w:fldChar w:fldCharType="separate"/>
        </w:r>
        <w:r w:rsidR="00213659">
          <w:rPr>
            <w:noProof/>
            <w:webHidden/>
          </w:rPr>
          <w:t>72</w:t>
        </w:r>
        <w:r w:rsidR="00410660">
          <w:rPr>
            <w:noProof/>
            <w:webHidden/>
          </w:rPr>
          <w:fldChar w:fldCharType="end"/>
        </w:r>
      </w:hyperlink>
    </w:p>
    <w:p w14:paraId="612A7061" w14:textId="03340A42" w:rsidR="00410660" w:rsidRDefault="00F26AF2" w:rsidP="00A80F2E">
      <w:pPr>
        <w:pStyle w:val="TM4"/>
        <w:rPr>
          <w:rFonts w:asciiTheme="minorHAnsi" w:eastAsiaTheme="minorEastAsia" w:hAnsiTheme="minorHAnsi" w:cstheme="minorBidi"/>
          <w:noProof/>
          <w:sz w:val="22"/>
          <w:szCs w:val="22"/>
        </w:rPr>
      </w:pPr>
      <w:hyperlink w:anchor="_Toc8296531" w:history="1">
        <w:r w:rsidR="00410660" w:rsidRPr="00853AB4">
          <w:rPr>
            <w:rStyle w:val="Lienhypertexte"/>
            <w:noProof/>
          </w:rPr>
          <w:t>2.2.9.1</w:t>
        </w:r>
        <w:r w:rsidR="00410660">
          <w:rPr>
            <w:rFonts w:asciiTheme="minorHAnsi" w:eastAsiaTheme="minorEastAsia" w:hAnsiTheme="minorHAnsi" w:cstheme="minorBidi"/>
            <w:noProof/>
            <w:sz w:val="22"/>
            <w:szCs w:val="22"/>
          </w:rPr>
          <w:tab/>
        </w:r>
        <w:r w:rsidR="00410660" w:rsidRPr="00853AB4">
          <w:rPr>
            <w:rStyle w:val="Lienhypertexte"/>
            <w:noProof/>
          </w:rPr>
          <w:t>Effects assessment on the environment</w:t>
        </w:r>
        <w:r w:rsidR="00410660">
          <w:rPr>
            <w:noProof/>
            <w:webHidden/>
          </w:rPr>
          <w:tab/>
        </w:r>
        <w:r w:rsidR="00410660">
          <w:rPr>
            <w:noProof/>
            <w:webHidden/>
          </w:rPr>
          <w:fldChar w:fldCharType="begin"/>
        </w:r>
        <w:r w:rsidR="00410660">
          <w:rPr>
            <w:noProof/>
            <w:webHidden/>
          </w:rPr>
          <w:instrText xml:space="preserve"> PAGEREF _Toc8296531 \h </w:instrText>
        </w:r>
        <w:r w:rsidR="00410660">
          <w:rPr>
            <w:noProof/>
            <w:webHidden/>
          </w:rPr>
        </w:r>
        <w:r w:rsidR="00410660">
          <w:rPr>
            <w:noProof/>
            <w:webHidden/>
          </w:rPr>
          <w:fldChar w:fldCharType="separate"/>
        </w:r>
        <w:r w:rsidR="00213659">
          <w:rPr>
            <w:noProof/>
            <w:webHidden/>
          </w:rPr>
          <w:t>72</w:t>
        </w:r>
        <w:r w:rsidR="00410660">
          <w:rPr>
            <w:noProof/>
            <w:webHidden/>
          </w:rPr>
          <w:fldChar w:fldCharType="end"/>
        </w:r>
      </w:hyperlink>
    </w:p>
    <w:p w14:paraId="342630C0" w14:textId="34033168" w:rsidR="00410660" w:rsidRDefault="00F26AF2">
      <w:pPr>
        <w:pStyle w:val="TM5"/>
        <w:tabs>
          <w:tab w:val="right" w:leader="dot" w:pos="9402"/>
        </w:tabs>
        <w:rPr>
          <w:rFonts w:asciiTheme="minorHAnsi" w:eastAsiaTheme="minorEastAsia" w:hAnsiTheme="minorHAnsi" w:cstheme="minorBidi"/>
          <w:i w:val="0"/>
          <w:noProof/>
          <w:color w:val="auto"/>
          <w:sz w:val="22"/>
          <w:szCs w:val="22"/>
        </w:rPr>
      </w:pPr>
      <w:hyperlink w:anchor="_Toc8296532" w:history="1">
        <w:r w:rsidR="00410660" w:rsidRPr="00853AB4">
          <w:rPr>
            <w:rStyle w:val="Lienhypertexte"/>
            <w:noProof/>
          </w:rPr>
          <w:t>Environmental fate and behavior of the active substance</w:t>
        </w:r>
        <w:r w:rsidR="00410660">
          <w:rPr>
            <w:noProof/>
            <w:webHidden/>
          </w:rPr>
          <w:tab/>
        </w:r>
        <w:r w:rsidR="00410660">
          <w:rPr>
            <w:noProof/>
            <w:webHidden/>
          </w:rPr>
          <w:fldChar w:fldCharType="begin"/>
        </w:r>
        <w:r w:rsidR="00410660">
          <w:rPr>
            <w:noProof/>
            <w:webHidden/>
          </w:rPr>
          <w:instrText xml:space="preserve"> PAGEREF _Toc8296532 \h </w:instrText>
        </w:r>
        <w:r w:rsidR="00410660">
          <w:rPr>
            <w:noProof/>
            <w:webHidden/>
          </w:rPr>
        </w:r>
        <w:r w:rsidR="00410660">
          <w:rPr>
            <w:noProof/>
            <w:webHidden/>
          </w:rPr>
          <w:fldChar w:fldCharType="separate"/>
        </w:r>
        <w:r w:rsidR="00213659">
          <w:rPr>
            <w:noProof/>
            <w:webHidden/>
          </w:rPr>
          <w:t>72</w:t>
        </w:r>
        <w:r w:rsidR="00410660">
          <w:rPr>
            <w:noProof/>
            <w:webHidden/>
          </w:rPr>
          <w:fldChar w:fldCharType="end"/>
        </w:r>
      </w:hyperlink>
    </w:p>
    <w:p w14:paraId="382904BA" w14:textId="6E7627DC" w:rsidR="00410660" w:rsidRDefault="00F26AF2">
      <w:pPr>
        <w:pStyle w:val="TM5"/>
        <w:tabs>
          <w:tab w:val="right" w:leader="dot" w:pos="9402"/>
        </w:tabs>
        <w:rPr>
          <w:rFonts w:asciiTheme="minorHAnsi" w:eastAsiaTheme="minorEastAsia" w:hAnsiTheme="minorHAnsi" w:cstheme="minorBidi"/>
          <w:i w:val="0"/>
          <w:noProof/>
          <w:color w:val="auto"/>
          <w:sz w:val="22"/>
          <w:szCs w:val="22"/>
        </w:rPr>
      </w:pPr>
      <w:hyperlink w:anchor="_Toc8296533" w:history="1">
        <w:r w:rsidR="00410660" w:rsidRPr="00853AB4">
          <w:rPr>
            <w:rStyle w:val="Lienhypertexte"/>
            <w:noProof/>
          </w:rPr>
          <w:t>Effect assessment of the active substance</w:t>
        </w:r>
        <w:r w:rsidR="00410660">
          <w:rPr>
            <w:noProof/>
            <w:webHidden/>
          </w:rPr>
          <w:tab/>
        </w:r>
        <w:r w:rsidR="00410660">
          <w:rPr>
            <w:noProof/>
            <w:webHidden/>
          </w:rPr>
          <w:fldChar w:fldCharType="begin"/>
        </w:r>
        <w:r w:rsidR="00410660">
          <w:rPr>
            <w:noProof/>
            <w:webHidden/>
          </w:rPr>
          <w:instrText xml:space="preserve"> PAGEREF _Toc8296533 \h </w:instrText>
        </w:r>
        <w:r w:rsidR="00410660">
          <w:rPr>
            <w:noProof/>
            <w:webHidden/>
          </w:rPr>
        </w:r>
        <w:r w:rsidR="00410660">
          <w:rPr>
            <w:noProof/>
            <w:webHidden/>
          </w:rPr>
          <w:fldChar w:fldCharType="separate"/>
        </w:r>
        <w:r w:rsidR="00213659">
          <w:rPr>
            <w:noProof/>
            <w:webHidden/>
          </w:rPr>
          <w:t>73</w:t>
        </w:r>
        <w:r w:rsidR="00410660">
          <w:rPr>
            <w:noProof/>
            <w:webHidden/>
          </w:rPr>
          <w:fldChar w:fldCharType="end"/>
        </w:r>
      </w:hyperlink>
    </w:p>
    <w:p w14:paraId="18A71848" w14:textId="5C5DD1C9"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4" w:history="1">
        <w:r w:rsidR="00410660" w:rsidRPr="00853AB4">
          <w:rPr>
            <w:rStyle w:val="Lienhypertexte"/>
            <w:noProof/>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Information relating to the ecotoxicity of the biocidal product which is sufficient to enable a decision to be made concerning the classification of the product is required</w:t>
        </w:r>
        <w:r w:rsidR="00410660">
          <w:rPr>
            <w:noProof/>
            <w:webHidden/>
          </w:rPr>
          <w:tab/>
        </w:r>
        <w:r w:rsidR="00410660">
          <w:rPr>
            <w:noProof/>
            <w:webHidden/>
          </w:rPr>
          <w:fldChar w:fldCharType="begin"/>
        </w:r>
        <w:r w:rsidR="00410660">
          <w:rPr>
            <w:noProof/>
            <w:webHidden/>
          </w:rPr>
          <w:instrText xml:space="preserve"> PAGEREF _Toc8296534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5D5B4B49" w14:textId="12AF992D"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5" w:history="1">
        <w:r w:rsidR="00410660" w:rsidRPr="00853AB4">
          <w:rPr>
            <w:rStyle w:val="Lienhypertexte"/>
            <w:noProof/>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Further Ecotoxicological studies</w:t>
        </w:r>
        <w:r w:rsidR="00410660">
          <w:rPr>
            <w:noProof/>
            <w:webHidden/>
          </w:rPr>
          <w:tab/>
        </w:r>
        <w:r w:rsidR="00410660">
          <w:rPr>
            <w:noProof/>
            <w:webHidden/>
          </w:rPr>
          <w:fldChar w:fldCharType="begin"/>
        </w:r>
        <w:r w:rsidR="00410660">
          <w:rPr>
            <w:noProof/>
            <w:webHidden/>
          </w:rPr>
          <w:instrText xml:space="preserve"> PAGEREF _Toc8296535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12641427" w14:textId="49BA0B21"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6" w:history="1">
        <w:r w:rsidR="00410660" w:rsidRPr="00853AB4">
          <w:rPr>
            <w:rStyle w:val="Lienhypertexte"/>
            <w:noProof/>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Effects on any other specific, non-target organisms (flora and fauna) believed to be at risk (ADS)</w:t>
        </w:r>
        <w:r w:rsidR="00410660">
          <w:rPr>
            <w:noProof/>
            <w:webHidden/>
          </w:rPr>
          <w:tab/>
        </w:r>
        <w:r w:rsidR="00410660">
          <w:rPr>
            <w:noProof/>
            <w:webHidden/>
          </w:rPr>
          <w:fldChar w:fldCharType="begin"/>
        </w:r>
        <w:r w:rsidR="00410660">
          <w:rPr>
            <w:noProof/>
            <w:webHidden/>
          </w:rPr>
          <w:instrText xml:space="preserve"> PAGEREF _Toc8296536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2465CD79" w14:textId="04CF1186"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7" w:history="1">
        <w:r w:rsidR="00410660" w:rsidRPr="00853AB4">
          <w:rPr>
            <w:rStyle w:val="Lienhypertexte"/>
            <w:noProof/>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Supervised trials to assess risks to non-target organisms under field conditions</w:t>
        </w:r>
        <w:r w:rsidR="00410660">
          <w:rPr>
            <w:noProof/>
            <w:webHidden/>
          </w:rPr>
          <w:tab/>
        </w:r>
        <w:r w:rsidR="00410660">
          <w:rPr>
            <w:noProof/>
            <w:webHidden/>
          </w:rPr>
          <w:fldChar w:fldCharType="begin"/>
        </w:r>
        <w:r w:rsidR="00410660">
          <w:rPr>
            <w:noProof/>
            <w:webHidden/>
          </w:rPr>
          <w:instrText xml:space="preserve"> PAGEREF _Toc8296537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7088625C" w14:textId="2693B64F"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8"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Studies on acceptance by ingestion of the biocidal product by any non-target organisms thought to be at risk</w:t>
        </w:r>
        <w:r w:rsidR="00410660">
          <w:rPr>
            <w:noProof/>
            <w:webHidden/>
          </w:rPr>
          <w:tab/>
        </w:r>
        <w:r w:rsidR="00410660">
          <w:rPr>
            <w:noProof/>
            <w:webHidden/>
          </w:rPr>
          <w:fldChar w:fldCharType="begin"/>
        </w:r>
        <w:r w:rsidR="00410660">
          <w:rPr>
            <w:noProof/>
            <w:webHidden/>
          </w:rPr>
          <w:instrText xml:space="preserve"> PAGEREF _Toc8296538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3B326799" w14:textId="3B5A82D8"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39" w:history="1">
        <w:r w:rsidR="00410660" w:rsidRPr="00853AB4">
          <w:rPr>
            <w:rStyle w:val="Lienhypertexte"/>
            <w:noProof/>
          </w:rPr>
          <w:t>(VI)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Secondary ecological effect e.g. when a large proportion of a specific habitat type is treated (ADS)</w:t>
        </w:r>
        <w:r w:rsidR="00410660">
          <w:rPr>
            <w:noProof/>
            <w:webHidden/>
          </w:rPr>
          <w:tab/>
        </w:r>
        <w:r w:rsidR="00410660">
          <w:rPr>
            <w:noProof/>
            <w:webHidden/>
          </w:rPr>
          <w:fldChar w:fldCharType="begin"/>
        </w:r>
        <w:r w:rsidR="00410660">
          <w:rPr>
            <w:noProof/>
            <w:webHidden/>
          </w:rPr>
          <w:instrText xml:space="preserve"> PAGEREF _Toc8296539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17BD1BF2" w14:textId="19A100BB"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0" w:history="1">
        <w:r w:rsidR="00410660" w:rsidRPr="00853AB4">
          <w:rPr>
            <w:rStyle w:val="Lienhypertexte"/>
            <w:noProof/>
          </w:rPr>
          <w:t>(VII)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Foreseeable routes of entry into the environment on the basis of the use envisaged</w:t>
        </w:r>
        <w:r w:rsidR="00410660">
          <w:rPr>
            <w:noProof/>
            <w:webHidden/>
          </w:rPr>
          <w:tab/>
        </w:r>
        <w:r w:rsidR="00410660">
          <w:rPr>
            <w:noProof/>
            <w:webHidden/>
          </w:rPr>
          <w:fldChar w:fldCharType="begin"/>
        </w:r>
        <w:r w:rsidR="00410660">
          <w:rPr>
            <w:noProof/>
            <w:webHidden/>
          </w:rPr>
          <w:instrText xml:space="preserve"> PAGEREF _Toc8296540 \h </w:instrText>
        </w:r>
        <w:r w:rsidR="00410660">
          <w:rPr>
            <w:noProof/>
            <w:webHidden/>
          </w:rPr>
        </w:r>
        <w:r w:rsidR="00410660">
          <w:rPr>
            <w:noProof/>
            <w:webHidden/>
          </w:rPr>
          <w:fldChar w:fldCharType="separate"/>
        </w:r>
        <w:r w:rsidR="00213659">
          <w:rPr>
            <w:noProof/>
            <w:webHidden/>
          </w:rPr>
          <w:t>74</w:t>
        </w:r>
        <w:r w:rsidR="00410660">
          <w:rPr>
            <w:noProof/>
            <w:webHidden/>
          </w:rPr>
          <w:fldChar w:fldCharType="end"/>
        </w:r>
      </w:hyperlink>
    </w:p>
    <w:p w14:paraId="4CE5D1B4" w14:textId="004568A4"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1" w:history="1">
        <w:r w:rsidR="00410660" w:rsidRPr="00853AB4">
          <w:rPr>
            <w:rStyle w:val="Lienhypertexte"/>
            <w:noProof/>
          </w:rPr>
          <w:t>(VIII)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Further studies on fate and behaviour in the environment (ADS)</w:t>
        </w:r>
        <w:r w:rsidR="00410660">
          <w:rPr>
            <w:noProof/>
            <w:webHidden/>
          </w:rPr>
          <w:tab/>
        </w:r>
        <w:r w:rsidR="00410660">
          <w:rPr>
            <w:noProof/>
            <w:webHidden/>
          </w:rPr>
          <w:fldChar w:fldCharType="begin"/>
        </w:r>
        <w:r w:rsidR="00410660">
          <w:rPr>
            <w:noProof/>
            <w:webHidden/>
          </w:rPr>
          <w:instrText xml:space="preserve"> PAGEREF _Toc8296541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27AAC879" w14:textId="0B64C988"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2" w:history="1">
        <w:r w:rsidR="00410660" w:rsidRPr="00853AB4">
          <w:rPr>
            <w:rStyle w:val="Lienhypertexte"/>
            <w:noProof/>
          </w:rPr>
          <w:t>(IX)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Leaching behaviour (ADS)</w:t>
        </w:r>
        <w:r w:rsidR="00410660">
          <w:rPr>
            <w:noProof/>
            <w:webHidden/>
          </w:rPr>
          <w:tab/>
        </w:r>
        <w:r w:rsidR="00410660">
          <w:rPr>
            <w:noProof/>
            <w:webHidden/>
          </w:rPr>
          <w:fldChar w:fldCharType="begin"/>
        </w:r>
        <w:r w:rsidR="00410660">
          <w:rPr>
            <w:noProof/>
            <w:webHidden/>
          </w:rPr>
          <w:instrText xml:space="preserve"> PAGEREF _Toc8296542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5DD99AE1" w14:textId="317D689D"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3" w:history="1">
        <w:r w:rsidR="00410660" w:rsidRPr="00853AB4">
          <w:rPr>
            <w:rStyle w:val="Lienhypertexte"/>
            <w:noProof/>
          </w:rPr>
          <w:t>(X)</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Testing for distribution and dissipation in soil (ADS)</w:t>
        </w:r>
        <w:r w:rsidR="00410660">
          <w:rPr>
            <w:noProof/>
            <w:webHidden/>
          </w:rPr>
          <w:tab/>
        </w:r>
        <w:r w:rsidR="00410660">
          <w:rPr>
            <w:noProof/>
            <w:webHidden/>
          </w:rPr>
          <w:fldChar w:fldCharType="begin"/>
        </w:r>
        <w:r w:rsidR="00410660">
          <w:rPr>
            <w:noProof/>
            <w:webHidden/>
          </w:rPr>
          <w:instrText xml:space="preserve"> PAGEREF _Toc8296543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00178A2D" w14:textId="67A8D230"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4" w:history="1">
        <w:r w:rsidR="00410660" w:rsidRPr="00853AB4">
          <w:rPr>
            <w:rStyle w:val="Lienhypertexte"/>
            <w:noProof/>
          </w:rPr>
          <w:t>(XI)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Testing for distribution and dissipation in water and sediment (ADS)</w:t>
        </w:r>
        <w:r w:rsidR="00410660">
          <w:rPr>
            <w:noProof/>
            <w:webHidden/>
          </w:rPr>
          <w:tab/>
        </w:r>
        <w:r w:rsidR="00410660">
          <w:rPr>
            <w:noProof/>
            <w:webHidden/>
          </w:rPr>
          <w:fldChar w:fldCharType="begin"/>
        </w:r>
        <w:r w:rsidR="00410660">
          <w:rPr>
            <w:noProof/>
            <w:webHidden/>
          </w:rPr>
          <w:instrText xml:space="preserve"> PAGEREF _Toc8296544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221C8B0F" w14:textId="20577DD4"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5" w:history="1">
        <w:r w:rsidR="00410660" w:rsidRPr="00853AB4">
          <w:rPr>
            <w:rStyle w:val="Lienhypertexte"/>
            <w:noProof/>
          </w:rPr>
          <w:t>(XII)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Testing for distribution and dissipation in air (ADS)</w:t>
        </w:r>
        <w:r w:rsidR="00410660">
          <w:rPr>
            <w:noProof/>
            <w:webHidden/>
          </w:rPr>
          <w:tab/>
        </w:r>
        <w:r w:rsidR="00410660">
          <w:rPr>
            <w:noProof/>
            <w:webHidden/>
          </w:rPr>
          <w:fldChar w:fldCharType="begin"/>
        </w:r>
        <w:r w:rsidR="00410660">
          <w:rPr>
            <w:noProof/>
            <w:webHidden/>
          </w:rPr>
          <w:instrText xml:space="preserve"> PAGEREF _Toc8296545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3C0F8675" w14:textId="5766FE86"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6" w:history="1">
        <w:r w:rsidR="00410660" w:rsidRPr="00853AB4">
          <w:rPr>
            <w:rStyle w:val="Lienhypertexte"/>
            <w:noProof/>
          </w:rPr>
          <w:t>(XIII)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If the biocidal product is to be sprayed near to surface waters then an overspray study may be required to assess risks to aquatic organisms or plants under field conditions (ADS)</w:t>
        </w:r>
        <w:r w:rsidR="00410660">
          <w:rPr>
            <w:noProof/>
            <w:webHidden/>
          </w:rPr>
          <w:tab/>
        </w:r>
        <w:r w:rsidR="00410660">
          <w:rPr>
            <w:noProof/>
            <w:webHidden/>
          </w:rPr>
          <w:fldChar w:fldCharType="begin"/>
        </w:r>
        <w:r w:rsidR="00410660">
          <w:rPr>
            <w:noProof/>
            <w:webHidden/>
          </w:rPr>
          <w:instrText xml:space="preserve"> PAGEREF _Toc8296546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3AA60CF9" w14:textId="07D10155"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7" w:history="1">
        <w:r w:rsidR="00410660" w:rsidRPr="00853AB4">
          <w:rPr>
            <w:rStyle w:val="Lienhypertexte"/>
            <w:noProof/>
          </w:rPr>
          <w:t>(XIV)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If the biocidal product is to be sprayed outside or if potential for large scale formation of dust is given then data on overspray behaviour may be required to assess risks to bees and non-target arthropods under field conditions (ADS)</w:t>
        </w:r>
        <w:r w:rsidR="00410660">
          <w:rPr>
            <w:noProof/>
            <w:webHidden/>
          </w:rPr>
          <w:tab/>
        </w:r>
        <w:r w:rsidR="00410660">
          <w:rPr>
            <w:noProof/>
            <w:webHidden/>
          </w:rPr>
          <w:fldChar w:fldCharType="begin"/>
        </w:r>
        <w:r w:rsidR="00410660">
          <w:rPr>
            <w:noProof/>
            <w:webHidden/>
          </w:rPr>
          <w:instrText xml:space="preserve"> PAGEREF _Toc8296547 \h </w:instrText>
        </w:r>
        <w:r w:rsidR="00410660">
          <w:rPr>
            <w:noProof/>
            <w:webHidden/>
          </w:rPr>
        </w:r>
        <w:r w:rsidR="00410660">
          <w:rPr>
            <w:noProof/>
            <w:webHidden/>
          </w:rPr>
          <w:fldChar w:fldCharType="separate"/>
        </w:r>
        <w:r w:rsidR="00213659">
          <w:rPr>
            <w:noProof/>
            <w:webHidden/>
          </w:rPr>
          <w:t>75</w:t>
        </w:r>
        <w:r w:rsidR="00410660">
          <w:rPr>
            <w:noProof/>
            <w:webHidden/>
          </w:rPr>
          <w:fldChar w:fldCharType="end"/>
        </w:r>
      </w:hyperlink>
    </w:p>
    <w:p w14:paraId="0F4C7777" w14:textId="6AF42089" w:rsidR="00410660" w:rsidRDefault="00F26AF2" w:rsidP="00A80F2E">
      <w:pPr>
        <w:pStyle w:val="TM4"/>
        <w:rPr>
          <w:rFonts w:asciiTheme="minorHAnsi" w:eastAsiaTheme="minorEastAsia" w:hAnsiTheme="minorHAnsi" w:cstheme="minorBidi"/>
          <w:noProof/>
          <w:sz w:val="22"/>
          <w:szCs w:val="22"/>
        </w:rPr>
      </w:pPr>
      <w:hyperlink w:anchor="_Toc8296548" w:history="1">
        <w:r w:rsidR="00410660" w:rsidRPr="00853AB4">
          <w:rPr>
            <w:rStyle w:val="Lienhypertexte"/>
            <w:noProof/>
          </w:rPr>
          <w:t>2.2.9.2</w:t>
        </w:r>
        <w:r w:rsidR="00410660">
          <w:rPr>
            <w:rFonts w:asciiTheme="minorHAnsi" w:eastAsiaTheme="minorEastAsia" w:hAnsiTheme="minorHAnsi" w:cstheme="minorBidi"/>
            <w:noProof/>
            <w:sz w:val="22"/>
            <w:szCs w:val="22"/>
          </w:rPr>
          <w:tab/>
        </w:r>
        <w:r w:rsidR="00410660" w:rsidRPr="00853AB4">
          <w:rPr>
            <w:rStyle w:val="Lienhypertexte"/>
            <w:noProof/>
          </w:rPr>
          <w:t>Exposure assessment</w:t>
        </w:r>
        <w:r w:rsidR="00410660">
          <w:rPr>
            <w:noProof/>
            <w:webHidden/>
          </w:rPr>
          <w:tab/>
        </w:r>
        <w:r w:rsidR="00410660">
          <w:rPr>
            <w:noProof/>
            <w:webHidden/>
          </w:rPr>
          <w:fldChar w:fldCharType="begin"/>
        </w:r>
        <w:r w:rsidR="00410660">
          <w:rPr>
            <w:noProof/>
            <w:webHidden/>
          </w:rPr>
          <w:instrText xml:space="preserve"> PAGEREF _Toc8296548 \h </w:instrText>
        </w:r>
        <w:r w:rsidR="00410660">
          <w:rPr>
            <w:noProof/>
            <w:webHidden/>
          </w:rPr>
        </w:r>
        <w:r w:rsidR="00410660">
          <w:rPr>
            <w:noProof/>
            <w:webHidden/>
          </w:rPr>
          <w:fldChar w:fldCharType="separate"/>
        </w:r>
        <w:r w:rsidR="00213659">
          <w:rPr>
            <w:noProof/>
            <w:webHidden/>
          </w:rPr>
          <w:t>76</w:t>
        </w:r>
        <w:r w:rsidR="00410660">
          <w:rPr>
            <w:noProof/>
            <w:webHidden/>
          </w:rPr>
          <w:fldChar w:fldCharType="end"/>
        </w:r>
      </w:hyperlink>
    </w:p>
    <w:p w14:paraId="038FBCE4" w14:textId="05E54B23"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49" w:history="1">
        <w:r w:rsidR="00410660" w:rsidRPr="00853AB4">
          <w:rPr>
            <w:rStyle w:val="Lienhypertexte"/>
            <w:noProof/>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General information</w:t>
        </w:r>
        <w:r w:rsidR="00410660">
          <w:rPr>
            <w:noProof/>
            <w:webHidden/>
          </w:rPr>
          <w:tab/>
        </w:r>
        <w:r w:rsidR="00410660">
          <w:rPr>
            <w:noProof/>
            <w:webHidden/>
          </w:rPr>
          <w:fldChar w:fldCharType="begin"/>
        </w:r>
        <w:r w:rsidR="00410660">
          <w:rPr>
            <w:noProof/>
            <w:webHidden/>
          </w:rPr>
          <w:instrText xml:space="preserve"> PAGEREF _Toc8296549 \h </w:instrText>
        </w:r>
        <w:r w:rsidR="00410660">
          <w:rPr>
            <w:noProof/>
            <w:webHidden/>
          </w:rPr>
        </w:r>
        <w:r w:rsidR="00410660">
          <w:rPr>
            <w:noProof/>
            <w:webHidden/>
          </w:rPr>
          <w:fldChar w:fldCharType="separate"/>
        </w:r>
        <w:r w:rsidR="00213659">
          <w:rPr>
            <w:noProof/>
            <w:webHidden/>
          </w:rPr>
          <w:t>76</w:t>
        </w:r>
        <w:r w:rsidR="00410660">
          <w:rPr>
            <w:noProof/>
            <w:webHidden/>
          </w:rPr>
          <w:fldChar w:fldCharType="end"/>
        </w:r>
      </w:hyperlink>
    </w:p>
    <w:p w14:paraId="3C4E3432" w14:textId="7B83F898"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0" w:history="1">
        <w:r w:rsidR="00410660" w:rsidRPr="00853AB4">
          <w:rPr>
            <w:rStyle w:val="Lienhypertexte"/>
            <w:noProof/>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Emission estimation</w:t>
        </w:r>
        <w:r w:rsidR="00410660">
          <w:rPr>
            <w:noProof/>
            <w:webHidden/>
          </w:rPr>
          <w:tab/>
        </w:r>
        <w:r w:rsidR="00410660">
          <w:rPr>
            <w:noProof/>
            <w:webHidden/>
          </w:rPr>
          <w:fldChar w:fldCharType="begin"/>
        </w:r>
        <w:r w:rsidR="00410660">
          <w:rPr>
            <w:noProof/>
            <w:webHidden/>
          </w:rPr>
          <w:instrText xml:space="preserve"> PAGEREF _Toc8296550 \h </w:instrText>
        </w:r>
        <w:r w:rsidR="00410660">
          <w:rPr>
            <w:noProof/>
            <w:webHidden/>
          </w:rPr>
        </w:r>
        <w:r w:rsidR="00410660">
          <w:rPr>
            <w:noProof/>
            <w:webHidden/>
          </w:rPr>
          <w:fldChar w:fldCharType="separate"/>
        </w:r>
        <w:r w:rsidR="00213659">
          <w:rPr>
            <w:noProof/>
            <w:webHidden/>
          </w:rPr>
          <w:t>77</w:t>
        </w:r>
        <w:r w:rsidR="00410660">
          <w:rPr>
            <w:noProof/>
            <w:webHidden/>
          </w:rPr>
          <w:fldChar w:fldCharType="end"/>
        </w:r>
      </w:hyperlink>
    </w:p>
    <w:p w14:paraId="1F3532F0" w14:textId="385BD866"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1" w:history="1">
        <w:r w:rsidR="00410660" w:rsidRPr="00853AB4">
          <w:rPr>
            <w:rStyle w:val="Lienhypertexte"/>
            <w:noProof/>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Fate and distribution in exposed environmental compartments</w:t>
        </w:r>
        <w:r w:rsidR="00410660">
          <w:rPr>
            <w:noProof/>
            <w:webHidden/>
          </w:rPr>
          <w:tab/>
        </w:r>
        <w:r w:rsidR="00410660">
          <w:rPr>
            <w:noProof/>
            <w:webHidden/>
          </w:rPr>
          <w:fldChar w:fldCharType="begin"/>
        </w:r>
        <w:r w:rsidR="00410660">
          <w:rPr>
            <w:noProof/>
            <w:webHidden/>
          </w:rPr>
          <w:instrText xml:space="preserve"> PAGEREF _Toc8296551 \h </w:instrText>
        </w:r>
        <w:r w:rsidR="00410660">
          <w:rPr>
            <w:noProof/>
            <w:webHidden/>
          </w:rPr>
        </w:r>
        <w:r w:rsidR="00410660">
          <w:rPr>
            <w:noProof/>
            <w:webHidden/>
          </w:rPr>
          <w:fldChar w:fldCharType="separate"/>
        </w:r>
        <w:r w:rsidR="00213659">
          <w:rPr>
            <w:noProof/>
            <w:webHidden/>
          </w:rPr>
          <w:t>81</w:t>
        </w:r>
        <w:r w:rsidR="00410660">
          <w:rPr>
            <w:noProof/>
            <w:webHidden/>
          </w:rPr>
          <w:fldChar w:fldCharType="end"/>
        </w:r>
      </w:hyperlink>
    </w:p>
    <w:p w14:paraId="56EFF3AF" w14:textId="54BDDAC1"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2" w:history="1">
        <w:r w:rsidR="00410660" w:rsidRPr="00853AB4">
          <w:rPr>
            <w:rStyle w:val="Lienhypertexte"/>
            <w:noProof/>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Calculated PEC values</w:t>
        </w:r>
        <w:r w:rsidR="00410660">
          <w:rPr>
            <w:noProof/>
            <w:webHidden/>
          </w:rPr>
          <w:tab/>
        </w:r>
        <w:r w:rsidR="00410660">
          <w:rPr>
            <w:noProof/>
            <w:webHidden/>
          </w:rPr>
          <w:fldChar w:fldCharType="begin"/>
        </w:r>
        <w:r w:rsidR="00410660">
          <w:rPr>
            <w:noProof/>
            <w:webHidden/>
          </w:rPr>
          <w:instrText xml:space="preserve"> PAGEREF _Toc8296552 \h </w:instrText>
        </w:r>
        <w:r w:rsidR="00410660">
          <w:rPr>
            <w:noProof/>
            <w:webHidden/>
          </w:rPr>
        </w:r>
        <w:r w:rsidR="00410660">
          <w:rPr>
            <w:noProof/>
            <w:webHidden/>
          </w:rPr>
          <w:fldChar w:fldCharType="separate"/>
        </w:r>
        <w:r w:rsidR="00213659">
          <w:rPr>
            <w:noProof/>
            <w:webHidden/>
          </w:rPr>
          <w:t>82</w:t>
        </w:r>
        <w:r w:rsidR="00410660">
          <w:rPr>
            <w:noProof/>
            <w:webHidden/>
          </w:rPr>
          <w:fldChar w:fldCharType="end"/>
        </w:r>
      </w:hyperlink>
    </w:p>
    <w:p w14:paraId="4E6459E3" w14:textId="08475EA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3"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Primary and secondary poisoning</w:t>
        </w:r>
        <w:r w:rsidR="00410660">
          <w:rPr>
            <w:noProof/>
            <w:webHidden/>
          </w:rPr>
          <w:tab/>
        </w:r>
        <w:r w:rsidR="00410660">
          <w:rPr>
            <w:noProof/>
            <w:webHidden/>
          </w:rPr>
          <w:fldChar w:fldCharType="begin"/>
        </w:r>
        <w:r w:rsidR="00410660">
          <w:rPr>
            <w:noProof/>
            <w:webHidden/>
          </w:rPr>
          <w:instrText xml:space="preserve"> PAGEREF _Toc8296553 \h </w:instrText>
        </w:r>
        <w:r w:rsidR="00410660">
          <w:rPr>
            <w:noProof/>
            <w:webHidden/>
          </w:rPr>
        </w:r>
        <w:r w:rsidR="00410660">
          <w:rPr>
            <w:noProof/>
            <w:webHidden/>
          </w:rPr>
          <w:fldChar w:fldCharType="separate"/>
        </w:r>
        <w:r w:rsidR="00213659">
          <w:rPr>
            <w:noProof/>
            <w:webHidden/>
          </w:rPr>
          <w:t>82</w:t>
        </w:r>
        <w:r w:rsidR="00410660">
          <w:rPr>
            <w:noProof/>
            <w:webHidden/>
          </w:rPr>
          <w:fldChar w:fldCharType="end"/>
        </w:r>
      </w:hyperlink>
    </w:p>
    <w:p w14:paraId="7AD94715" w14:textId="781BF36B" w:rsidR="00410660" w:rsidRDefault="00F26AF2" w:rsidP="00A80F2E">
      <w:pPr>
        <w:pStyle w:val="TM4"/>
        <w:rPr>
          <w:rFonts w:asciiTheme="minorHAnsi" w:eastAsiaTheme="minorEastAsia" w:hAnsiTheme="minorHAnsi" w:cstheme="minorBidi"/>
          <w:noProof/>
          <w:sz w:val="22"/>
          <w:szCs w:val="22"/>
        </w:rPr>
      </w:pPr>
      <w:hyperlink w:anchor="_Toc8296554" w:history="1">
        <w:r w:rsidR="00410660" w:rsidRPr="00853AB4">
          <w:rPr>
            <w:rStyle w:val="Lienhypertexte"/>
            <w:noProof/>
          </w:rPr>
          <w:t>2.2.9.3</w:t>
        </w:r>
        <w:r w:rsidR="00410660">
          <w:rPr>
            <w:rFonts w:asciiTheme="minorHAnsi" w:eastAsiaTheme="minorEastAsia" w:hAnsiTheme="minorHAnsi" w:cstheme="minorBidi"/>
            <w:noProof/>
            <w:sz w:val="22"/>
            <w:szCs w:val="22"/>
          </w:rPr>
          <w:tab/>
        </w:r>
        <w:r w:rsidR="00410660" w:rsidRPr="00853AB4">
          <w:rPr>
            <w:rStyle w:val="Lienhypertexte"/>
            <w:noProof/>
          </w:rPr>
          <w:t>Risk characterisation</w:t>
        </w:r>
        <w:r w:rsidR="00410660">
          <w:rPr>
            <w:noProof/>
            <w:webHidden/>
          </w:rPr>
          <w:tab/>
        </w:r>
        <w:r w:rsidR="00410660">
          <w:rPr>
            <w:noProof/>
            <w:webHidden/>
          </w:rPr>
          <w:fldChar w:fldCharType="begin"/>
        </w:r>
        <w:r w:rsidR="00410660">
          <w:rPr>
            <w:noProof/>
            <w:webHidden/>
          </w:rPr>
          <w:instrText xml:space="preserve"> PAGEREF _Toc8296554 \h </w:instrText>
        </w:r>
        <w:r w:rsidR="00410660">
          <w:rPr>
            <w:noProof/>
            <w:webHidden/>
          </w:rPr>
        </w:r>
        <w:r w:rsidR="00410660">
          <w:rPr>
            <w:noProof/>
            <w:webHidden/>
          </w:rPr>
          <w:fldChar w:fldCharType="separate"/>
        </w:r>
        <w:r w:rsidR="00213659">
          <w:rPr>
            <w:noProof/>
            <w:webHidden/>
          </w:rPr>
          <w:t>83</w:t>
        </w:r>
        <w:r w:rsidR="00410660">
          <w:rPr>
            <w:noProof/>
            <w:webHidden/>
          </w:rPr>
          <w:fldChar w:fldCharType="end"/>
        </w:r>
      </w:hyperlink>
    </w:p>
    <w:p w14:paraId="7C88E6DD" w14:textId="0095A2B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5" w:history="1">
        <w:r w:rsidR="00410660" w:rsidRPr="00853AB4">
          <w:rPr>
            <w:rStyle w:val="Lienhypertexte"/>
            <w:noProof/>
          </w:rPr>
          <w:t>(I)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Atmosphere</w:t>
        </w:r>
        <w:r w:rsidR="00410660">
          <w:rPr>
            <w:noProof/>
            <w:webHidden/>
          </w:rPr>
          <w:tab/>
        </w:r>
        <w:r w:rsidR="00410660">
          <w:rPr>
            <w:noProof/>
            <w:webHidden/>
          </w:rPr>
          <w:fldChar w:fldCharType="begin"/>
        </w:r>
        <w:r w:rsidR="00410660">
          <w:rPr>
            <w:noProof/>
            <w:webHidden/>
          </w:rPr>
          <w:instrText xml:space="preserve"> PAGEREF _Toc8296555 \h </w:instrText>
        </w:r>
        <w:r w:rsidR="00410660">
          <w:rPr>
            <w:noProof/>
            <w:webHidden/>
          </w:rPr>
        </w:r>
        <w:r w:rsidR="00410660">
          <w:rPr>
            <w:noProof/>
            <w:webHidden/>
          </w:rPr>
          <w:fldChar w:fldCharType="separate"/>
        </w:r>
        <w:r w:rsidR="00213659">
          <w:rPr>
            <w:noProof/>
            <w:webHidden/>
          </w:rPr>
          <w:t>83</w:t>
        </w:r>
        <w:r w:rsidR="00410660">
          <w:rPr>
            <w:noProof/>
            <w:webHidden/>
          </w:rPr>
          <w:fldChar w:fldCharType="end"/>
        </w:r>
      </w:hyperlink>
    </w:p>
    <w:p w14:paraId="2B0D9E67" w14:textId="494CE733"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6" w:history="1">
        <w:r w:rsidR="00410660" w:rsidRPr="00853AB4">
          <w:rPr>
            <w:rStyle w:val="Lienhypertexte"/>
            <w:noProof/>
          </w:rPr>
          <w:t>(II)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Sewage treatment plant (STP)</w:t>
        </w:r>
        <w:r w:rsidR="00410660">
          <w:rPr>
            <w:noProof/>
            <w:webHidden/>
          </w:rPr>
          <w:tab/>
        </w:r>
        <w:r w:rsidR="00410660">
          <w:rPr>
            <w:noProof/>
            <w:webHidden/>
          </w:rPr>
          <w:fldChar w:fldCharType="begin"/>
        </w:r>
        <w:r w:rsidR="00410660">
          <w:rPr>
            <w:noProof/>
            <w:webHidden/>
          </w:rPr>
          <w:instrText xml:space="preserve"> PAGEREF _Toc8296556 \h </w:instrText>
        </w:r>
        <w:r w:rsidR="00410660">
          <w:rPr>
            <w:noProof/>
            <w:webHidden/>
          </w:rPr>
        </w:r>
        <w:r w:rsidR="00410660">
          <w:rPr>
            <w:noProof/>
            <w:webHidden/>
          </w:rPr>
          <w:fldChar w:fldCharType="separate"/>
        </w:r>
        <w:r w:rsidR="00213659">
          <w:rPr>
            <w:noProof/>
            <w:webHidden/>
          </w:rPr>
          <w:t>83</w:t>
        </w:r>
        <w:r w:rsidR="00410660">
          <w:rPr>
            <w:noProof/>
            <w:webHidden/>
          </w:rPr>
          <w:fldChar w:fldCharType="end"/>
        </w:r>
      </w:hyperlink>
    </w:p>
    <w:p w14:paraId="4482A178" w14:textId="278ACF9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7" w:history="1">
        <w:r w:rsidR="00410660" w:rsidRPr="00853AB4">
          <w:rPr>
            <w:rStyle w:val="Lienhypertexte"/>
            <w:noProof/>
          </w:rPr>
          <w:t>(III)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Aquatic compartment</w:t>
        </w:r>
        <w:r w:rsidR="00410660">
          <w:rPr>
            <w:noProof/>
            <w:webHidden/>
          </w:rPr>
          <w:tab/>
        </w:r>
        <w:r w:rsidR="00410660">
          <w:rPr>
            <w:noProof/>
            <w:webHidden/>
          </w:rPr>
          <w:fldChar w:fldCharType="begin"/>
        </w:r>
        <w:r w:rsidR="00410660">
          <w:rPr>
            <w:noProof/>
            <w:webHidden/>
          </w:rPr>
          <w:instrText xml:space="preserve"> PAGEREF _Toc8296557 \h </w:instrText>
        </w:r>
        <w:r w:rsidR="00410660">
          <w:rPr>
            <w:noProof/>
            <w:webHidden/>
          </w:rPr>
        </w:r>
        <w:r w:rsidR="00410660">
          <w:rPr>
            <w:noProof/>
            <w:webHidden/>
          </w:rPr>
          <w:fldChar w:fldCharType="separate"/>
        </w:r>
        <w:r w:rsidR="00213659">
          <w:rPr>
            <w:noProof/>
            <w:webHidden/>
          </w:rPr>
          <w:t>83</w:t>
        </w:r>
        <w:r w:rsidR="00410660">
          <w:rPr>
            <w:noProof/>
            <w:webHidden/>
          </w:rPr>
          <w:fldChar w:fldCharType="end"/>
        </w:r>
      </w:hyperlink>
    </w:p>
    <w:p w14:paraId="62796071" w14:textId="417DEFFD"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8" w:history="1">
        <w:r w:rsidR="00410660" w:rsidRPr="00853AB4">
          <w:rPr>
            <w:rStyle w:val="Lienhypertexte"/>
            <w:noProof/>
          </w:rPr>
          <w:t>(IV)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Terrestrial compartment</w:t>
        </w:r>
        <w:r w:rsidR="00410660">
          <w:rPr>
            <w:noProof/>
            <w:webHidden/>
          </w:rPr>
          <w:tab/>
        </w:r>
        <w:r w:rsidR="00410660">
          <w:rPr>
            <w:noProof/>
            <w:webHidden/>
          </w:rPr>
          <w:fldChar w:fldCharType="begin"/>
        </w:r>
        <w:r w:rsidR="00410660">
          <w:rPr>
            <w:noProof/>
            <w:webHidden/>
          </w:rPr>
          <w:instrText xml:space="preserve"> PAGEREF _Toc8296558 \h </w:instrText>
        </w:r>
        <w:r w:rsidR="00410660">
          <w:rPr>
            <w:noProof/>
            <w:webHidden/>
          </w:rPr>
        </w:r>
        <w:r w:rsidR="00410660">
          <w:rPr>
            <w:noProof/>
            <w:webHidden/>
          </w:rPr>
          <w:fldChar w:fldCharType="separate"/>
        </w:r>
        <w:r w:rsidR="00213659">
          <w:rPr>
            <w:noProof/>
            <w:webHidden/>
          </w:rPr>
          <w:t>83</w:t>
        </w:r>
        <w:r w:rsidR="00410660">
          <w:rPr>
            <w:noProof/>
            <w:webHidden/>
          </w:rPr>
          <w:fldChar w:fldCharType="end"/>
        </w:r>
      </w:hyperlink>
    </w:p>
    <w:p w14:paraId="6575C5CF" w14:textId="3BC91675"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59" w:history="1">
        <w:r w:rsidR="00410660" w:rsidRPr="00853AB4">
          <w:rPr>
            <w:rStyle w:val="Lienhypertexte"/>
            <w:noProof/>
          </w:rPr>
          <w:t>(V)</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Groundwater</w:t>
        </w:r>
        <w:r w:rsidR="00410660">
          <w:rPr>
            <w:noProof/>
            <w:webHidden/>
          </w:rPr>
          <w:tab/>
        </w:r>
        <w:r w:rsidR="00410660">
          <w:rPr>
            <w:noProof/>
            <w:webHidden/>
          </w:rPr>
          <w:fldChar w:fldCharType="begin"/>
        </w:r>
        <w:r w:rsidR="00410660">
          <w:rPr>
            <w:noProof/>
            <w:webHidden/>
          </w:rPr>
          <w:instrText xml:space="preserve"> PAGEREF _Toc8296559 \h </w:instrText>
        </w:r>
        <w:r w:rsidR="00410660">
          <w:rPr>
            <w:noProof/>
            <w:webHidden/>
          </w:rPr>
        </w:r>
        <w:r w:rsidR="00410660">
          <w:rPr>
            <w:noProof/>
            <w:webHidden/>
          </w:rPr>
          <w:fldChar w:fldCharType="separate"/>
        </w:r>
        <w:r w:rsidR="00213659">
          <w:rPr>
            <w:noProof/>
            <w:webHidden/>
          </w:rPr>
          <w:t>84</w:t>
        </w:r>
        <w:r w:rsidR="00410660">
          <w:rPr>
            <w:noProof/>
            <w:webHidden/>
          </w:rPr>
          <w:fldChar w:fldCharType="end"/>
        </w:r>
      </w:hyperlink>
    </w:p>
    <w:p w14:paraId="72329294" w14:textId="46EFABBA"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60" w:history="1">
        <w:r w:rsidR="00410660" w:rsidRPr="00853AB4">
          <w:rPr>
            <w:rStyle w:val="Lienhypertexte"/>
            <w:noProof/>
          </w:rPr>
          <w:t>(VI)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Primary and secondary poisoning</w:t>
        </w:r>
        <w:r w:rsidR="00410660">
          <w:rPr>
            <w:noProof/>
            <w:webHidden/>
          </w:rPr>
          <w:tab/>
        </w:r>
        <w:r w:rsidR="00410660">
          <w:rPr>
            <w:noProof/>
            <w:webHidden/>
          </w:rPr>
          <w:fldChar w:fldCharType="begin"/>
        </w:r>
        <w:r w:rsidR="00410660">
          <w:rPr>
            <w:noProof/>
            <w:webHidden/>
          </w:rPr>
          <w:instrText xml:space="preserve"> PAGEREF _Toc8296560 \h </w:instrText>
        </w:r>
        <w:r w:rsidR="00410660">
          <w:rPr>
            <w:noProof/>
            <w:webHidden/>
          </w:rPr>
        </w:r>
        <w:r w:rsidR="00410660">
          <w:rPr>
            <w:noProof/>
            <w:webHidden/>
          </w:rPr>
          <w:fldChar w:fldCharType="separate"/>
        </w:r>
        <w:r w:rsidR="00213659">
          <w:rPr>
            <w:noProof/>
            <w:webHidden/>
          </w:rPr>
          <w:t>84</w:t>
        </w:r>
        <w:r w:rsidR="00410660">
          <w:rPr>
            <w:noProof/>
            <w:webHidden/>
          </w:rPr>
          <w:fldChar w:fldCharType="end"/>
        </w:r>
      </w:hyperlink>
    </w:p>
    <w:p w14:paraId="192E25B0" w14:textId="3EE66D81" w:rsidR="00410660" w:rsidRDefault="00F26AF2">
      <w:pPr>
        <w:pStyle w:val="TM5"/>
        <w:tabs>
          <w:tab w:val="left" w:pos="1540"/>
          <w:tab w:val="right" w:leader="dot" w:pos="9402"/>
        </w:tabs>
        <w:rPr>
          <w:rFonts w:asciiTheme="minorHAnsi" w:eastAsiaTheme="minorEastAsia" w:hAnsiTheme="minorHAnsi" w:cstheme="minorBidi"/>
          <w:i w:val="0"/>
          <w:noProof/>
          <w:color w:val="auto"/>
          <w:sz w:val="22"/>
          <w:szCs w:val="22"/>
        </w:rPr>
      </w:pPr>
      <w:hyperlink w:anchor="_Toc8296561" w:history="1">
        <w:r w:rsidR="00410660" w:rsidRPr="00853AB4">
          <w:rPr>
            <w:rStyle w:val="Lienhypertexte"/>
            <w:noProof/>
          </w:rPr>
          <w:t>(VII)</w:t>
        </w:r>
        <w:r w:rsidR="00410660">
          <w:rPr>
            <w:rFonts w:asciiTheme="minorHAnsi" w:eastAsiaTheme="minorEastAsia" w:hAnsiTheme="minorHAnsi" w:cstheme="minorBidi"/>
            <w:i w:val="0"/>
            <w:noProof/>
            <w:color w:val="auto"/>
            <w:sz w:val="22"/>
            <w:szCs w:val="22"/>
          </w:rPr>
          <w:tab/>
        </w:r>
        <w:r w:rsidR="00410660" w:rsidRPr="00853AB4">
          <w:rPr>
            <w:rStyle w:val="Lienhypertexte"/>
            <w:noProof/>
          </w:rPr>
          <w:t>Mixture toxicity</w:t>
        </w:r>
        <w:r w:rsidR="00410660">
          <w:rPr>
            <w:noProof/>
            <w:webHidden/>
          </w:rPr>
          <w:tab/>
        </w:r>
        <w:r w:rsidR="00410660">
          <w:rPr>
            <w:noProof/>
            <w:webHidden/>
          </w:rPr>
          <w:fldChar w:fldCharType="begin"/>
        </w:r>
        <w:r w:rsidR="00410660">
          <w:rPr>
            <w:noProof/>
            <w:webHidden/>
          </w:rPr>
          <w:instrText xml:space="preserve"> PAGEREF _Toc8296561 \h </w:instrText>
        </w:r>
        <w:r w:rsidR="00410660">
          <w:rPr>
            <w:noProof/>
            <w:webHidden/>
          </w:rPr>
        </w:r>
        <w:r w:rsidR="00410660">
          <w:rPr>
            <w:noProof/>
            <w:webHidden/>
          </w:rPr>
          <w:fldChar w:fldCharType="separate"/>
        </w:r>
        <w:r w:rsidR="00213659">
          <w:rPr>
            <w:noProof/>
            <w:webHidden/>
          </w:rPr>
          <w:t>84</w:t>
        </w:r>
        <w:r w:rsidR="00410660">
          <w:rPr>
            <w:noProof/>
            <w:webHidden/>
          </w:rPr>
          <w:fldChar w:fldCharType="end"/>
        </w:r>
      </w:hyperlink>
    </w:p>
    <w:p w14:paraId="1A689666" w14:textId="0FE62384" w:rsidR="00410660" w:rsidRDefault="00F26AF2">
      <w:pPr>
        <w:pStyle w:val="TM3"/>
        <w:tabs>
          <w:tab w:val="left" w:pos="1540"/>
          <w:tab w:val="right" w:leader="dot" w:pos="9402"/>
        </w:tabs>
        <w:rPr>
          <w:rFonts w:asciiTheme="minorHAnsi" w:eastAsiaTheme="minorEastAsia" w:hAnsiTheme="minorHAnsi" w:cstheme="minorBidi"/>
          <w:i w:val="0"/>
          <w:noProof/>
          <w:sz w:val="22"/>
          <w:szCs w:val="22"/>
        </w:rPr>
      </w:pPr>
      <w:hyperlink w:anchor="_Toc8296562" w:history="1">
        <w:r w:rsidR="00410660" w:rsidRPr="00853AB4">
          <w:rPr>
            <w:rStyle w:val="Lienhypertexte"/>
            <w:noProof/>
          </w:rPr>
          <w:t>2.2.10</w:t>
        </w:r>
        <w:r w:rsidR="00410660">
          <w:rPr>
            <w:rFonts w:asciiTheme="minorHAnsi" w:eastAsiaTheme="minorEastAsia" w:hAnsiTheme="minorHAnsi" w:cstheme="minorBidi"/>
            <w:i w:val="0"/>
            <w:noProof/>
            <w:sz w:val="22"/>
            <w:szCs w:val="22"/>
          </w:rPr>
          <w:tab/>
        </w:r>
        <w:r w:rsidR="00410660" w:rsidRPr="00853AB4">
          <w:rPr>
            <w:rStyle w:val="Lienhypertexte"/>
            <w:noProof/>
          </w:rPr>
          <w:t>Measures to protect man, animals and the environment</w:t>
        </w:r>
        <w:r w:rsidR="00410660">
          <w:rPr>
            <w:noProof/>
            <w:webHidden/>
          </w:rPr>
          <w:tab/>
        </w:r>
        <w:r w:rsidR="00410660">
          <w:rPr>
            <w:noProof/>
            <w:webHidden/>
          </w:rPr>
          <w:fldChar w:fldCharType="begin"/>
        </w:r>
        <w:r w:rsidR="00410660">
          <w:rPr>
            <w:noProof/>
            <w:webHidden/>
          </w:rPr>
          <w:instrText xml:space="preserve"> PAGEREF _Toc8296562 \h </w:instrText>
        </w:r>
        <w:r w:rsidR="00410660">
          <w:rPr>
            <w:noProof/>
            <w:webHidden/>
          </w:rPr>
        </w:r>
        <w:r w:rsidR="00410660">
          <w:rPr>
            <w:noProof/>
            <w:webHidden/>
          </w:rPr>
          <w:fldChar w:fldCharType="separate"/>
        </w:r>
        <w:r w:rsidR="00213659">
          <w:rPr>
            <w:noProof/>
            <w:webHidden/>
          </w:rPr>
          <w:t>85</w:t>
        </w:r>
        <w:r w:rsidR="00410660">
          <w:rPr>
            <w:noProof/>
            <w:webHidden/>
          </w:rPr>
          <w:fldChar w:fldCharType="end"/>
        </w:r>
      </w:hyperlink>
    </w:p>
    <w:p w14:paraId="395E8924" w14:textId="49A02D07" w:rsidR="00410660" w:rsidRDefault="00F26AF2">
      <w:pPr>
        <w:pStyle w:val="TM3"/>
        <w:tabs>
          <w:tab w:val="left" w:pos="1540"/>
          <w:tab w:val="right" w:leader="dot" w:pos="9402"/>
        </w:tabs>
        <w:rPr>
          <w:rFonts w:asciiTheme="minorHAnsi" w:eastAsiaTheme="minorEastAsia" w:hAnsiTheme="minorHAnsi" w:cstheme="minorBidi"/>
          <w:i w:val="0"/>
          <w:noProof/>
          <w:sz w:val="22"/>
          <w:szCs w:val="22"/>
        </w:rPr>
      </w:pPr>
      <w:hyperlink w:anchor="_Toc8296563" w:history="1">
        <w:r w:rsidR="00410660" w:rsidRPr="00853AB4">
          <w:rPr>
            <w:rStyle w:val="Lienhypertexte"/>
            <w:noProof/>
          </w:rPr>
          <w:t>2.2.11</w:t>
        </w:r>
        <w:r w:rsidR="00410660">
          <w:rPr>
            <w:rFonts w:asciiTheme="minorHAnsi" w:eastAsiaTheme="minorEastAsia" w:hAnsiTheme="minorHAnsi" w:cstheme="minorBidi"/>
            <w:i w:val="0"/>
            <w:noProof/>
            <w:sz w:val="22"/>
            <w:szCs w:val="22"/>
          </w:rPr>
          <w:tab/>
        </w:r>
        <w:r w:rsidR="00410660" w:rsidRPr="00853AB4">
          <w:rPr>
            <w:rStyle w:val="Lienhypertexte"/>
            <w:noProof/>
          </w:rPr>
          <w:t>Assessment of a combination of biocidal products</w:t>
        </w:r>
        <w:r w:rsidR="00410660">
          <w:rPr>
            <w:noProof/>
            <w:webHidden/>
          </w:rPr>
          <w:tab/>
        </w:r>
        <w:r w:rsidR="00410660">
          <w:rPr>
            <w:noProof/>
            <w:webHidden/>
          </w:rPr>
          <w:fldChar w:fldCharType="begin"/>
        </w:r>
        <w:r w:rsidR="00410660">
          <w:rPr>
            <w:noProof/>
            <w:webHidden/>
          </w:rPr>
          <w:instrText xml:space="preserve"> PAGEREF _Toc8296563 \h </w:instrText>
        </w:r>
        <w:r w:rsidR="00410660">
          <w:rPr>
            <w:noProof/>
            <w:webHidden/>
          </w:rPr>
        </w:r>
        <w:r w:rsidR="00410660">
          <w:rPr>
            <w:noProof/>
            <w:webHidden/>
          </w:rPr>
          <w:fldChar w:fldCharType="separate"/>
        </w:r>
        <w:r w:rsidR="00213659">
          <w:rPr>
            <w:noProof/>
            <w:webHidden/>
          </w:rPr>
          <w:t>85</w:t>
        </w:r>
        <w:r w:rsidR="00410660">
          <w:rPr>
            <w:noProof/>
            <w:webHidden/>
          </w:rPr>
          <w:fldChar w:fldCharType="end"/>
        </w:r>
      </w:hyperlink>
    </w:p>
    <w:p w14:paraId="7AC00BDB" w14:textId="2350D861" w:rsidR="00410660" w:rsidRDefault="00F26AF2">
      <w:pPr>
        <w:pStyle w:val="TM3"/>
        <w:tabs>
          <w:tab w:val="left" w:pos="1540"/>
          <w:tab w:val="right" w:leader="dot" w:pos="9402"/>
        </w:tabs>
        <w:rPr>
          <w:rFonts w:asciiTheme="minorHAnsi" w:eastAsiaTheme="minorEastAsia" w:hAnsiTheme="minorHAnsi" w:cstheme="minorBidi"/>
          <w:i w:val="0"/>
          <w:noProof/>
          <w:sz w:val="22"/>
          <w:szCs w:val="22"/>
        </w:rPr>
      </w:pPr>
      <w:hyperlink w:anchor="_Toc8296564" w:history="1">
        <w:r w:rsidR="00410660" w:rsidRPr="00853AB4">
          <w:rPr>
            <w:rStyle w:val="Lienhypertexte"/>
            <w:noProof/>
          </w:rPr>
          <w:t>2.2.12</w:t>
        </w:r>
        <w:r w:rsidR="00410660">
          <w:rPr>
            <w:rFonts w:asciiTheme="minorHAnsi" w:eastAsiaTheme="minorEastAsia" w:hAnsiTheme="minorHAnsi" w:cstheme="minorBidi"/>
            <w:i w:val="0"/>
            <w:noProof/>
            <w:sz w:val="22"/>
            <w:szCs w:val="22"/>
          </w:rPr>
          <w:tab/>
        </w:r>
        <w:r w:rsidR="00410660" w:rsidRPr="00853AB4">
          <w:rPr>
            <w:rStyle w:val="Lienhypertexte"/>
            <w:noProof/>
          </w:rPr>
          <w:t>Comparative assessment</w:t>
        </w:r>
        <w:r w:rsidR="00410660">
          <w:rPr>
            <w:noProof/>
            <w:webHidden/>
          </w:rPr>
          <w:tab/>
        </w:r>
        <w:r w:rsidR="00410660">
          <w:rPr>
            <w:noProof/>
            <w:webHidden/>
          </w:rPr>
          <w:fldChar w:fldCharType="begin"/>
        </w:r>
        <w:r w:rsidR="00410660">
          <w:rPr>
            <w:noProof/>
            <w:webHidden/>
          </w:rPr>
          <w:instrText xml:space="preserve"> PAGEREF _Toc8296564 \h </w:instrText>
        </w:r>
        <w:r w:rsidR="00410660">
          <w:rPr>
            <w:noProof/>
            <w:webHidden/>
          </w:rPr>
        </w:r>
        <w:r w:rsidR="00410660">
          <w:rPr>
            <w:noProof/>
            <w:webHidden/>
          </w:rPr>
          <w:fldChar w:fldCharType="separate"/>
        </w:r>
        <w:r w:rsidR="00213659">
          <w:rPr>
            <w:noProof/>
            <w:webHidden/>
          </w:rPr>
          <w:t>85</w:t>
        </w:r>
        <w:r w:rsidR="00410660">
          <w:rPr>
            <w:noProof/>
            <w:webHidden/>
          </w:rPr>
          <w:fldChar w:fldCharType="end"/>
        </w:r>
      </w:hyperlink>
    </w:p>
    <w:p w14:paraId="3493D256" w14:textId="1181DB2C" w:rsidR="00410660" w:rsidRDefault="00F26AF2">
      <w:pPr>
        <w:pStyle w:val="TM1"/>
        <w:tabs>
          <w:tab w:val="left" w:pos="400"/>
          <w:tab w:val="right" w:leader="dot" w:pos="9402"/>
        </w:tabs>
        <w:rPr>
          <w:rFonts w:asciiTheme="minorHAnsi" w:eastAsiaTheme="minorEastAsia" w:hAnsiTheme="minorHAnsi" w:cstheme="minorBidi"/>
          <w:b w:val="0"/>
          <w:caps w:val="0"/>
          <w:noProof/>
          <w:sz w:val="22"/>
          <w:szCs w:val="22"/>
        </w:rPr>
      </w:pPr>
      <w:hyperlink w:anchor="_Toc8296565" w:history="1">
        <w:r w:rsidR="00410660" w:rsidRPr="00853AB4">
          <w:rPr>
            <w:rStyle w:val="Lienhypertexte"/>
            <w:noProof/>
          </w:rPr>
          <w:t>3</w:t>
        </w:r>
        <w:r w:rsidR="00410660">
          <w:rPr>
            <w:rFonts w:asciiTheme="minorHAnsi" w:eastAsiaTheme="minorEastAsia" w:hAnsiTheme="minorHAnsi" w:cstheme="minorBidi"/>
            <w:b w:val="0"/>
            <w:caps w:val="0"/>
            <w:noProof/>
            <w:sz w:val="22"/>
            <w:szCs w:val="22"/>
          </w:rPr>
          <w:tab/>
        </w:r>
        <w:r w:rsidR="00410660" w:rsidRPr="00853AB4">
          <w:rPr>
            <w:rStyle w:val="Lienhypertexte"/>
            <w:noProof/>
          </w:rPr>
          <w:t>Annexes</w:t>
        </w:r>
        <w:r w:rsidR="00410660">
          <w:rPr>
            <w:noProof/>
            <w:webHidden/>
          </w:rPr>
          <w:tab/>
        </w:r>
        <w:r w:rsidR="00410660">
          <w:rPr>
            <w:noProof/>
            <w:webHidden/>
          </w:rPr>
          <w:fldChar w:fldCharType="begin"/>
        </w:r>
        <w:r w:rsidR="00410660">
          <w:rPr>
            <w:noProof/>
            <w:webHidden/>
          </w:rPr>
          <w:instrText xml:space="preserve"> PAGEREF _Toc8296565 \h </w:instrText>
        </w:r>
        <w:r w:rsidR="00410660">
          <w:rPr>
            <w:noProof/>
            <w:webHidden/>
          </w:rPr>
        </w:r>
        <w:r w:rsidR="00410660">
          <w:rPr>
            <w:noProof/>
            <w:webHidden/>
          </w:rPr>
          <w:fldChar w:fldCharType="separate"/>
        </w:r>
        <w:r w:rsidR="00213659">
          <w:rPr>
            <w:noProof/>
            <w:webHidden/>
          </w:rPr>
          <w:t>86</w:t>
        </w:r>
        <w:r w:rsidR="00410660">
          <w:rPr>
            <w:noProof/>
            <w:webHidden/>
          </w:rPr>
          <w:fldChar w:fldCharType="end"/>
        </w:r>
      </w:hyperlink>
    </w:p>
    <w:p w14:paraId="25F8F7CC" w14:textId="51FAA61F"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66" w:history="1">
        <w:r w:rsidR="00410660" w:rsidRPr="00853AB4">
          <w:rPr>
            <w:rStyle w:val="Lienhypertexte"/>
            <w:noProof/>
          </w:rPr>
          <w:t>3.1</w:t>
        </w:r>
        <w:r w:rsidR="00410660">
          <w:rPr>
            <w:rFonts w:asciiTheme="minorHAnsi" w:eastAsiaTheme="minorEastAsia" w:hAnsiTheme="minorHAnsi" w:cstheme="minorBidi"/>
            <w:caps w:val="0"/>
            <w:noProof/>
            <w:sz w:val="22"/>
            <w:szCs w:val="22"/>
          </w:rPr>
          <w:tab/>
        </w:r>
        <w:r w:rsidR="00410660" w:rsidRPr="00853AB4">
          <w:rPr>
            <w:rStyle w:val="Lienhypertexte"/>
            <w:noProof/>
          </w:rPr>
          <w:t>List of studies for the biocidal product</w:t>
        </w:r>
        <w:r w:rsidR="00410660">
          <w:rPr>
            <w:noProof/>
            <w:webHidden/>
          </w:rPr>
          <w:tab/>
        </w:r>
        <w:r w:rsidR="00410660">
          <w:rPr>
            <w:noProof/>
            <w:webHidden/>
          </w:rPr>
          <w:fldChar w:fldCharType="begin"/>
        </w:r>
        <w:r w:rsidR="00410660">
          <w:rPr>
            <w:noProof/>
            <w:webHidden/>
          </w:rPr>
          <w:instrText xml:space="preserve"> PAGEREF _Toc8296566 \h </w:instrText>
        </w:r>
        <w:r w:rsidR="00410660">
          <w:rPr>
            <w:noProof/>
            <w:webHidden/>
          </w:rPr>
        </w:r>
        <w:r w:rsidR="00410660">
          <w:rPr>
            <w:noProof/>
            <w:webHidden/>
          </w:rPr>
          <w:fldChar w:fldCharType="separate"/>
        </w:r>
        <w:r w:rsidR="00213659">
          <w:rPr>
            <w:noProof/>
            <w:webHidden/>
          </w:rPr>
          <w:t>86</w:t>
        </w:r>
        <w:r w:rsidR="00410660">
          <w:rPr>
            <w:noProof/>
            <w:webHidden/>
          </w:rPr>
          <w:fldChar w:fldCharType="end"/>
        </w:r>
      </w:hyperlink>
    </w:p>
    <w:p w14:paraId="5B471CAF" w14:textId="5182C35F"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67" w:history="1">
        <w:r w:rsidR="00410660" w:rsidRPr="00853AB4">
          <w:rPr>
            <w:rStyle w:val="Lienhypertexte"/>
            <w:noProof/>
          </w:rPr>
          <w:t>3.2</w:t>
        </w:r>
        <w:r w:rsidR="00410660">
          <w:rPr>
            <w:rFonts w:asciiTheme="minorHAnsi" w:eastAsiaTheme="minorEastAsia" w:hAnsiTheme="minorHAnsi" w:cstheme="minorBidi"/>
            <w:caps w:val="0"/>
            <w:noProof/>
            <w:sz w:val="22"/>
            <w:szCs w:val="22"/>
          </w:rPr>
          <w:tab/>
        </w:r>
        <w:r w:rsidR="00410660" w:rsidRPr="00853AB4">
          <w:rPr>
            <w:rStyle w:val="Lienhypertexte"/>
            <w:noProof/>
          </w:rPr>
          <w:t>Output tables from exposure assessment tools</w:t>
        </w:r>
        <w:r w:rsidR="00410660">
          <w:rPr>
            <w:noProof/>
            <w:webHidden/>
          </w:rPr>
          <w:tab/>
        </w:r>
        <w:r w:rsidR="00410660">
          <w:rPr>
            <w:noProof/>
            <w:webHidden/>
          </w:rPr>
          <w:fldChar w:fldCharType="begin"/>
        </w:r>
        <w:r w:rsidR="00410660">
          <w:rPr>
            <w:noProof/>
            <w:webHidden/>
          </w:rPr>
          <w:instrText xml:space="preserve"> PAGEREF _Toc8296567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52243BAB" w14:textId="7ECEF343" w:rsidR="00410660" w:rsidRDefault="00F26AF2">
      <w:pPr>
        <w:pStyle w:val="TM3"/>
        <w:tabs>
          <w:tab w:val="left" w:pos="1200"/>
          <w:tab w:val="right" w:leader="dot" w:pos="9402"/>
        </w:tabs>
        <w:rPr>
          <w:rFonts w:asciiTheme="minorHAnsi" w:eastAsiaTheme="minorEastAsia" w:hAnsiTheme="minorHAnsi" w:cstheme="minorBidi"/>
          <w:i w:val="0"/>
          <w:noProof/>
          <w:sz w:val="22"/>
          <w:szCs w:val="22"/>
        </w:rPr>
      </w:pPr>
      <w:hyperlink w:anchor="_Toc8296568" w:history="1">
        <w:r w:rsidR="00410660" w:rsidRPr="00853AB4">
          <w:rPr>
            <w:rStyle w:val="Lienhypertexte"/>
            <w:noProof/>
          </w:rPr>
          <w:t>3.2.1</w:t>
        </w:r>
        <w:r w:rsidR="00410660">
          <w:rPr>
            <w:rFonts w:asciiTheme="minorHAnsi" w:eastAsiaTheme="minorEastAsia" w:hAnsiTheme="minorHAnsi" w:cstheme="minorBidi"/>
            <w:i w:val="0"/>
            <w:noProof/>
            <w:sz w:val="22"/>
            <w:szCs w:val="22"/>
          </w:rPr>
          <w:tab/>
        </w:r>
        <w:r w:rsidR="00410660" w:rsidRPr="00853AB4">
          <w:rPr>
            <w:rStyle w:val="Lienhypertexte"/>
            <w:noProof/>
          </w:rPr>
          <w:t>Human exposure calculations</w:t>
        </w:r>
        <w:r w:rsidR="00410660">
          <w:rPr>
            <w:noProof/>
            <w:webHidden/>
          </w:rPr>
          <w:tab/>
        </w:r>
        <w:r w:rsidR="00410660">
          <w:rPr>
            <w:noProof/>
            <w:webHidden/>
          </w:rPr>
          <w:fldChar w:fldCharType="begin"/>
        </w:r>
        <w:r w:rsidR="00410660">
          <w:rPr>
            <w:noProof/>
            <w:webHidden/>
          </w:rPr>
          <w:instrText xml:space="preserve"> PAGEREF _Toc8296568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5311DDA5" w14:textId="04225BC8"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69" w:history="1">
        <w:r w:rsidR="00410660" w:rsidRPr="00853AB4">
          <w:rPr>
            <w:rStyle w:val="Lienhypertexte"/>
            <w:noProof/>
          </w:rPr>
          <w:t>3.3</w:t>
        </w:r>
        <w:r w:rsidR="00410660">
          <w:rPr>
            <w:rFonts w:asciiTheme="minorHAnsi" w:eastAsiaTheme="minorEastAsia" w:hAnsiTheme="minorHAnsi" w:cstheme="minorBidi"/>
            <w:caps w:val="0"/>
            <w:noProof/>
            <w:sz w:val="22"/>
            <w:szCs w:val="22"/>
          </w:rPr>
          <w:tab/>
        </w:r>
        <w:r w:rsidR="00410660" w:rsidRPr="00853AB4">
          <w:rPr>
            <w:rStyle w:val="Lienhypertexte"/>
            <w:noProof/>
          </w:rPr>
          <w:t>New information on the active substance</w:t>
        </w:r>
        <w:r w:rsidR="00410660">
          <w:rPr>
            <w:noProof/>
            <w:webHidden/>
          </w:rPr>
          <w:tab/>
        </w:r>
        <w:r w:rsidR="00410660">
          <w:rPr>
            <w:noProof/>
            <w:webHidden/>
          </w:rPr>
          <w:fldChar w:fldCharType="begin"/>
        </w:r>
        <w:r w:rsidR="00410660">
          <w:rPr>
            <w:noProof/>
            <w:webHidden/>
          </w:rPr>
          <w:instrText xml:space="preserve"> PAGEREF _Toc8296569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6F70EA91" w14:textId="51C127D3"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70" w:history="1">
        <w:r w:rsidR="00410660" w:rsidRPr="00853AB4">
          <w:rPr>
            <w:rStyle w:val="Lienhypertexte"/>
            <w:noProof/>
          </w:rPr>
          <w:t>3.4</w:t>
        </w:r>
        <w:r w:rsidR="00410660">
          <w:rPr>
            <w:rFonts w:asciiTheme="minorHAnsi" w:eastAsiaTheme="minorEastAsia" w:hAnsiTheme="minorHAnsi" w:cstheme="minorBidi"/>
            <w:caps w:val="0"/>
            <w:noProof/>
            <w:sz w:val="22"/>
            <w:szCs w:val="22"/>
          </w:rPr>
          <w:tab/>
        </w:r>
        <w:r w:rsidR="00410660" w:rsidRPr="00853AB4">
          <w:rPr>
            <w:rStyle w:val="Lienhypertexte"/>
            <w:noProof/>
          </w:rPr>
          <w:t>Residue behaviour</w:t>
        </w:r>
        <w:r w:rsidR="00410660">
          <w:rPr>
            <w:noProof/>
            <w:webHidden/>
          </w:rPr>
          <w:tab/>
        </w:r>
        <w:r w:rsidR="00410660">
          <w:rPr>
            <w:noProof/>
            <w:webHidden/>
          </w:rPr>
          <w:fldChar w:fldCharType="begin"/>
        </w:r>
        <w:r w:rsidR="00410660">
          <w:rPr>
            <w:noProof/>
            <w:webHidden/>
          </w:rPr>
          <w:instrText xml:space="preserve"> PAGEREF _Toc8296570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59E39E88" w14:textId="75D21E3B"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71" w:history="1">
        <w:r w:rsidR="00410660" w:rsidRPr="00853AB4">
          <w:rPr>
            <w:rStyle w:val="Lienhypertexte"/>
            <w:noProof/>
          </w:rPr>
          <w:t>3.5</w:t>
        </w:r>
        <w:r w:rsidR="00410660">
          <w:rPr>
            <w:rFonts w:asciiTheme="minorHAnsi" w:eastAsiaTheme="minorEastAsia" w:hAnsiTheme="minorHAnsi" w:cstheme="minorBidi"/>
            <w:caps w:val="0"/>
            <w:noProof/>
            <w:sz w:val="22"/>
            <w:szCs w:val="22"/>
          </w:rPr>
          <w:tab/>
        </w:r>
        <w:r w:rsidR="00410660" w:rsidRPr="00853AB4">
          <w:rPr>
            <w:rStyle w:val="Lienhypertexte"/>
            <w:noProof/>
          </w:rPr>
          <w:t>Summaries of the efficacy studies (B.5.10.1-xx)</w:t>
        </w:r>
        <w:r w:rsidR="00410660">
          <w:rPr>
            <w:noProof/>
            <w:webHidden/>
          </w:rPr>
          <w:tab/>
        </w:r>
        <w:r w:rsidR="00410660">
          <w:rPr>
            <w:noProof/>
            <w:webHidden/>
          </w:rPr>
          <w:fldChar w:fldCharType="begin"/>
        </w:r>
        <w:r w:rsidR="00410660">
          <w:rPr>
            <w:noProof/>
            <w:webHidden/>
          </w:rPr>
          <w:instrText xml:space="preserve"> PAGEREF _Toc8296571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0C45A9F1" w14:textId="30D0CDFC"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72" w:history="1">
        <w:r w:rsidR="00410660" w:rsidRPr="00853AB4">
          <w:rPr>
            <w:rStyle w:val="Lienhypertexte"/>
            <w:noProof/>
          </w:rPr>
          <w:t>3.6</w:t>
        </w:r>
        <w:r w:rsidR="00410660">
          <w:rPr>
            <w:rFonts w:asciiTheme="minorHAnsi" w:eastAsiaTheme="minorEastAsia" w:hAnsiTheme="minorHAnsi" w:cstheme="minorBidi"/>
            <w:caps w:val="0"/>
            <w:noProof/>
            <w:sz w:val="22"/>
            <w:szCs w:val="22"/>
          </w:rPr>
          <w:tab/>
        </w:r>
        <w:r w:rsidR="00410660" w:rsidRPr="00853AB4">
          <w:rPr>
            <w:rStyle w:val="Lienhypertexte"/>
            <w:noProof/>
          </w:rPr>
          <w:t>Confidential annex</w:t>
        </w:r>
        <w:r w:rsidR="00410660">
          <w:rPr>
            <w:noProof/>
            <w:webHidden/>
          </w:rPr>
          <w:tab/>
        </w:r>
        <w:r w:rsidR="00410660">
          <w:rPr>
            <w:noProof/>
            <w:webHidden/>
          </w:rPr>
          <w:fldChar w:fldCharType="begin"/>
        </w:r>
        <w:r w:rsidR="00410660">
          <w:rPr>
            <w:noProof/>
            <w:webHidden/>
          </w:rPr>
          <w:instrText xml:space="preserve"> PAGEREF _Toc8296572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6795308E" w14:textId="6CA9960F" w:rsidR="00410660" w:rsidRDefault="00F26AF2">
      <w:pPr>
        <w:pStyle w:val="TM2"/>
        <w:tabs>
          <w:tab w:val="left" w:pos="800"/>
          <w:tab w:val="right" w:leader="dot" w:pos="9402"/>
        </w:tabs>
        <w:rPr>
          <w:rFonts w:asciiTheme="minorHAnsi" w:eastAsiaTheme="minorEastAsia" w:hAnsiTheme="minorHAnsi" w:cstheme="minorBidi"/>
          <w:caps w:val="0"/>
          <w:noProof/>
          <w:sz w:val="22"/>
          <w:szCs w:val="22"/>
        </w:rPr>
      </w:pPr>
      <w:hyperlink w:anchor="_Toc8296573" w:history="1">
        <w:r w:rsidR="00410660" w:rsidRPr="00853AB4">
          <w:rPr>
            <w:rStyle w:val="Lienhypertexte"/>
            <w:noProof/>
          </w:rPr>
          <w:t>3.7</w:t>
        </w:r>
        <w:r w:rsidR="00410660">
          <w:rPr>
            <w:rFonts w:asciiTheme="minorHAnsi" w:eastAsiaTheme="minorEastAsia" w:hAnsiTheme="minorHAnsi" w:cstheme="minorBidi"/>
            <w:caps w:val="0"/>
            <w:noProof/>
            <w:sz w:val="22"/>
            <w:szCs w:val="22"/>
          </w:rPr>
          <w:tab/>
        </w:r>
        <w:r w:rsidR="00410660" w:rsidRPr="00853AB4">
          <w:rPr>
            <w:rStyle w:val="Lienhypertexte"/>
            <w:noProof/>
          </w:rPr>
          <w:t>Other</w:t>
        </w:r>
        <w:r w:rsidR="00410660">
          <w:rPr>
            <w:noProof/>
            <w:webHidden/>
          </w:rPr>
          <w:tab/>
        </w:r>
        <w:r w:rsidR="00410660">
          <w:rPr>
            <w:noProof/>
            <w:webHidden/>
          </w:rPr>
          <w:fldChar w:fldCharType="begin"/>
        </w:r>
        <w:r w:rsidR="00410660">
          <w:rPr>
            <w:noProof/>
            <w:webHidden/>
          </w:rPr>
          <w:instrText xml:space="preserve"> PAGEREF _Toc8296573 \h </w:instrText>
        </w:r>
        <w:r w:rsidR="00410660">
          <w:rPr>
            <w:noProof/>
            <w:webHidden/>
          </w:rPr>
        </w:r>
        <w:r w:rsidR="00410660">
          <w:rPr>
            <w:noProof/>
            <w:webHidden/>
          </w:rPr>
          <w:fldChar w:fldCharType="separate"/>
        </w:r>
        <w:r w:rsidR="00213659">
          <w:rPr>
            <w:noProof/>
            <w:webHidden/>
          </w:rPr>
          <w:t>87</w:t>
        </w:r>
        <w:r w:rsidR="00410660">
          <w:rPr>
            <w:noProof/>
            <w:webHidden/>
          </w:rPr>
          <w:fldChar w:fldCharType="end"/>
        </w:r>
      </w:hyperlink>
    </w:p>
    <w:p w14:paraId="1E1DACE8" w14:textId="36B38CC5" w:rsidR="00DA3C10" w:rsidRPr="00BD2EF1" w:rsidRDefault="008D16AA" w:rsidP="00496A65">
      <w:r>
        <w:fldChar w:fldCharType="end"/>
      </w:r>
    </w:p>
    <w:p w14:paraId="7A5BB8F0" w14:textId="27A6993A" w:rsidR="00A70319" w:rsidRDefault="00DA3C10" w:rsidP="00263500">
      <w:pPr>
        <w:rPr>
          <w:lang w:val="en-GB" w:eastAsia="de-DE"/>
        </w:rPr>
      </w:pPr>
      <w:r w:rsidRPr="00BD2EF1">
        <w:br w:type="page"/>
      </w:r>
    </w:p>
    <w:p w14:paraId="0D2FD0F9" w14:textId="62E82E32" w:rsidR="00A70319" w:rsidRDefault="00A70319" w:rsidP="00A70319">
      <w:pPr>
        <w:rPr>
          <w:lang w:val="en-GB" w:eastAsia="de-DE"/>
        </w:rPr>
      </w:pPr>
    </w:p>
    <w:p w14:paraId="690570A2" w14:textId="77777777" w:rsidR="00263500" w:rsidRPr="00DF65A8" w:rsidRDefault="00263500" w:rsidP="00263500">
      <w:pPr>
        <w:jc w:val="both"/>
        <w:rPr>
          <w:rFonts w:cs="Arial"/>
          <w:b/>
          <w:bCs/>
          <w:color w:val="FF0000"/>
          <w:u w:val="single"/>
        </w:rPr>
      </w:pPr>
      <w:r>
        <w:rPr>
          <w:rFonts w:cs="Arial"/>
          <w:b/>
          <w:bCs/>
          <w:color w:val="FF0000"/>
          <w:u w:val="single"/>
        </w:rPr>
        <w:t>Not</w:t>
      </w:r>
      <w:r w:rsidRPr="00DF65A8">
        <w:rPr>
          <w:rFonts w:cs="Arial"/>
          <w:b/>
          <w:bCs/>
          <w:color w:val="FF0000"/>
          <w:u w:val="single"/>
        </w:rPr>
        <w:t>e to the reader</w:t>
      </w:r>
    </w:p>
    <w:p w14:paraId="10BEE24D" w14:textId="77777777" w:rsidR="00263500" w:rsidRPr="00780C29" w:rsidRDefault="00263500" w:rsidP="00263500">
      <w:pPr>
        <w:jc w:val="both"/>
        <w:rPr>
          <w:rFonts w:cs="Arial"/>
          <w:bCs/>
          <w:color w:val="FF0000"/>
        </w:rPr>
      </w:pPr>
    </w:p>
    <w:p w14:paraId="05FC6996" w14:textId="172740A8" w:rsidR="00263500" w:rsidRPr="00DF65A8" w:rsidRDefault="00263500" w:rsidP="00263500">
      <w:pPr>
        <w:spacing w:line="276" w:lineRule="auto"/>
        <w:jc w:val="both"/>
        <w:rPr>
          <w:rFonts w:cs="Arial"/>
          <w:bCs/>
          <w:color w:val="FF0000"/>
        </w:rPr>
      </w:pPr>
      <w:r w:rsidRPr="00DF65A8">
        <w:rPr>
          <w:rFonts w:cs="Arial"/>
          <w:bCs/>
          <w:color w:val="FF0000"/>
        </w:rPr>
        <w:t xml:space="preserve">This consolidated PAR for the </w:t>
      </w:r>
      <w:r>
        <w:rPr>
          <w:rFonts w:cs="Arial"/>
          <w:bCs/>
          <w:color w:val="FF0000"/>
        </w:rPr>
        <w:t>minor</w:t>
      </w:r>
      <w:r w:rsidRPr="00DF65A8">
        <w:rPr>
          <w:rFonts w:cs="Arial"/>
          <w:bCs/>
          <w:color w:val="FF0000"/>
        </w:rPr>
        <w:t xml:space="preserve"> change application of the </w:t>
      </w:r>
      <w:r>
        <w:rPr>
          <w:rFonts w:cs="Arial"/>
          <w:bCs/>
          <w:color w:val="FF0000"/>
        </w:rPr>
        <w:t>APAISYL REPULSIF MOUSTIQUE</w:t>
      </w:r>
      <w:r w:rsidR="00ED3131">
        <w:rPr>
          <w:rFonts w:cs="Arial"/>
          <w:bCs/>
          <w:color w:val="FF0000"/>
        </w:rPr>
        <w:t>S</w:t>
      </w:r>
      <w:r>
        <w:rPr>
          <w:rFonts w:cs="Arial"/>
          <w:bCs/>
          <w:color w:val="FF0000"/>
        </w:rPr>
        <w:t xml:space="preserve"> LOTION</w:t>
      </w:r>
      <w:r w:rsidRPr="00DF65A8">
        <w:rPr>
          <w:rFonts w:cs="Arial"/>
          <w:bCs/>
          <w:color w:val="FF0000"/>
        </w:rPr>
        <w:t xml:space="preserve"> product </w:t>
      </w:r>
      <w:proofErr w:type="spellStart"/>
      <w:r w:rsidRPr="00DF65A8">
        <w:rPr>
          <w:rFonts w:cs="Arial"/>
          <w:bCs/>
          <w:color w:val="FF0000"/>
        </w:rPr>
        <w:t>authorisation</w:t>
      </w:r>
      <w:proofErr w:type="spellEnd"/>
      <w:r w:rsidRPr="00DF65A8">
        <w:rPr>
          <w:rFonts w:cs="Arial"/>
          <w:bCs/>
          <w:color w:val="FF0000"/>
        </w:rPr>
        <w:t xml:space="preserve"> is based on the PAR of the reference product INSECT REPELLENT PUMP SPRAY IR3535 20% evaluated by the Belgium Competent Authority, in which all necessary addenda have been included. </w:t>
      </w:r>
    </w:p>
    <w:p w14:paraId="3F6B4927" w14:textId="77777777" w:rsidR="00263500" w:rsidRPr="00DF65A8" w:rsidRDefault="00263500" w:rsidP="00263500">
      <w:pPr>
        <w:spacing w:line="276" w:lineRule="auto"/>
        <w:jc w:val="both"/>
        <w:rPr>
          <w:rFonts w:cs="Arial"/>
          <w:bCs/>
          <w:color w:val="FF0000"/>
        </w:rPr>
      </w:pPr>
    </w:p>
    <w:p w14:paraId="11E236B6" w14:textId="5CA1002A" w:rsidR="00263500" w:rsidRPr="00DF65A8" w:rsidRDefault="00263500" w:rsidP="00263500">
      <w:pPr>
        <w:spacing w:line="276" w:lineRule="auto"/>
        <w:jc w:val="both"/>
        <w:rPr>
          <w:rFonts w:cs="Arial"/>
          <w:bCs/>
          <w:color w:val="FF0000"/>
        </w:rPr>
      </w:pPr>
      <w:r w:rsidRPr="00DF65A8">
        <w:rPr>
          <w:rFonts w:cs="Arial"/>
          <w:bCs/>
          <w:color w:val="FF0000"/>
        </w:rPr>
        <w:t>The SPC (</w:t>
      </w:r>
      <w:r>
        <w:rPr>
          <w:rFonts w:cs="Arial"/>
          <w:bCs/>
          <w:color w:val="FF0000"/>
        </w:rPr>
        <w:t xml:space="preserve">in section </w:t>
      </w:r>
      <w:r w:rsidRPr="00DF65A8">
        <w:rPr>
          <w:rFonts w:cs="Arial"/>
          <w:bCs/>
          <w:color w:val="FF0000"/>
        </w:rPr>
        <w:t>2.1</w:t>
      </w:r>
      <w:r>
        <w:rPr>
          <w:rFonts w:cs="Arial"/>
          <w:bCs/>
          <w:color w:val="FF0000"/>
        </w:rPr>
        <w:t xml:space="preserve"> of the PAR</w:t>
      </w:r>
      <w:r w:rsidRPr="00DF65A8">
        <w:rPr>
          <w:rFonts w:cs="Arial"/>
          <w:bCs/>
          <w:color w:val="FF0000"/>
        </w:rPr>
        <w:t xml:space="preserve">) corresponds to the </w:t>
      </w:r>
      <w:proofErr w:type="spellStart"/>
      <w:r w:rsidRPr="00DF65A8">
        <w:rPr>
          <w:rFonts w:cs="Arial"/>
          <w:bCs/>
          <w:color w:val="FF0000"/>
        </w:rPr>
        <w:t>authorised</w:t>
      </w:r>
      <w:proofErr w:type="spellEnd"/>
      <w:r w:rsidRPr="00DF65A8">
        <w:rPr>
          <w:rFonts w:cs="Arial"/>
          <w:bCs/>
          <w:color w:val="FF0000"/>
        </w:rPr>
        <w:t xml:space="preserve"> uses in the frame of the </w:t>
      </w:r>
      <w:r>
        <w:rPr>
          <w:rFonts w:cs="Arial"/>
          <w:bCs/>
          <w:color w:val="FF0000"/>
        </w:rPr>
        <w:t>minor</w:t>
      </w:r>
      <w:r w:rsidRPr="00DF65A8">
        <w:rPr>
          <w:rFonts w:cs="Arial"/>
          <w:bCs/>
          <w:color w:val="FF0000"/>
        </w:rPr>
        <w:t xml:space="preserve"> application </w:t>
      </w:r>
      <w:r w:rsidR="00ED3131">
        <w:rPr>
          <w:rFonts w:cs="Arial"/>
          <w:bCs/>
          <w:color w:val="FF0000"/>
        </w:rPr>
        <w:t>2020</w:t>
      </w:r>
      <w:r w:rsidRPr="00DF65A8">
        <w:rPr>
          <w:rFonts w:cs="Arial"/>
          <w:bCs/>
          <w:color w:val="FF0000"/>
        </w:rPr>
        <w:t xml:space="preserve">. </w:t>
      </w:r>
    </w:p>
    <w:p w14:paraId="2E5999EB" w14:textId="77777777" w:rsidR="00263500" w:rsidRPr="00DF65A8" w:rsidRDefault="00263500" w:rsidP="00263500">
      <w:pPr>
        <w:spacing w:line="276" w:lineRule="auto"/>
        <w:jc w:val="both"/>
        <w:rPr>
          <w:rFonts w:cs="Arial"/>
          <w:bCs/>
          <w:color w:val="FF0000"/>
        </w:rPr>
      </w:pPr>
    </w:p>
    <w:p w14:paraId="3E728FE2" w14:textId="6AC8765F" w:rsidR="00263500" w:rsidRPr="00DF65A8" w:rsidRDefault="00263500" w:rsidP="00263500">
      <w:pPr>
        <w:spacing w:line="276" w:lineRule="auto"/>
        <w:jc w:val="both"/>
        <w:rPr>
          <w:rFonts w:cs="Arial"/>
          <w:bCs/>
          <w:color w:val="FF0000"/>
        </w:rPr>
      </w:pPr>
      <w:r w:rsidRPr="00DF65A8">
        <w:rPr>
          <w:rFonts w:cs="Arial"/>
          <w:bCs/>
          <w:color w:val="FF0000"/>
        </w:rPr>
        <w:t>In the following assessment report of this consolidated PAR, each section contains the initial assessment and the subsequent successive assessments (minor change, major change, post-</w:t>
      </w:r>
      <w:proofErr w:type="spellStart"/>
      <w:r w:rsidRPr="00DF65A8">
        <w:rPr>
          <w:rFonts w:cs="Arial"/>
          <w:bCs/>
          <w:color w:val="FF0000"/>
        </w:rPr>
        <w:t>authorisation</w:t>
      </w:r>
      <w:proofErr w:type="spellEnd"/>
      <w:r w:rsidRPr="00DF65A8">
        <w:rPr>
          <w:rFonts w:cs="Arial"/>
          <w:bCs/>
          <w:color w:val="FF0000"/>
        </w:rPr>
        <w:t xml:space="preserve"> data…). The assessments related to the </w:t>
      </w:r>
      <w:r>
        <w:rPr>
          <w:rFonts w:cs="Arial"/>
          <w:bCs/>
          <w:color w:val="FF0000"/>
        </w:rPr>
        <w:t>minor</w:t>
      </w:r>
      <w:r w:rsidRPr="00DF65A8">
        <w:rPr>
          <w:rFonts w:cs="Arial"/>
          <w:bCs/>
          <w:color w:val="FF0000"/>
        </w:rPr>
        <w:t xml:space="preserve"> change 2019 of the product are at the end of each concerned section and are highlighted in grey.</w:t>
      </w:r>
    </w:p>
    <w:p w14:paraId="4C069DD4" w14:textId="77777777" w:rsidR="00263500" w:rsidRPr="00553147" w:rsidRDefault="00263500" w:rsidP="00263500">
      <w:pPr>
        <w:spacing w:line="276" w:lineRule="auto"/>
        <w:jc w:val="both"/>
        <w:rPr>
          <w:rFonts w:cs="Arial"/>
          <w:u w:val="single"/>
        </w:rPr>
      </w:pPr>
    </w:p>
    <w:p w14:paraId="34E1A7DB" w14:textId="77777777" w:rsidR="00263500" w:rsidRDefault="00263500" w:rsidP="00263500">
      <w:pPr>
        <w:rPr>
          <w:rFonts w:cs="Arial"/>
          <w:b/>
          <w:noProof/>
          <w:sz w:val="32"/>
          <w:szCs w:val="32"/>
          <w:u w:val="single"/>
        </w:rPr>
      </w:pPr>
    </w:p>
    <w:p w14:paraId="4FF14E3B" w14:textId="77777777" w:rsidR="00263500" w:rsidRPr="00CA697E" w:rsidRDefault="00263500" w:rsidP="00263500">
      <w:pPr>
        <w:pStyle w:val="CurrentAuth1"/>
        <w:numPr>
          <w:ilvl w:val="0"/>
          <w:numId w:val="0"/>
        </w:numPr>
        <w:rPr>
          <w:b w:val="0"/>
          <w:noProof/>
        </w:rPr>
      </w:pPr>
      <w:r w:rsidRPr="000834BE">
        <w:rPr>
          <w:noProof/>
        </w:rPr>
        <w:t>History of the dossier</w:t>
      </w:r>
    </w:p>
    <w:tbl>
      <w:tblPr>
        <w:tblStyle w:val="TableGrid2"/>
        <w:tblW w:w="9747" w:type="dxa"/>
        <w:tblLayout w:type="fixed"/>
        <w:tblLook w:val="04A0" w:firstRow="1" w:lastRow="0" w:firstColumn="1" w:lastColumn="0" w:noHBand="0" w:noVBand="1"/>
      </w:tblPr>
      <w:tblGrid>
        <w:gridCol w:w="1384"/>
        <w:gridCol w:w="647"/>
        <w:gridCol w:w="2075"/>
        <w:gridCol w:w="1559"/>
        <w:gridCol w:w="4082"/>
        <w:tblGridChange w:id="1">
          <w:tblGrid>
            <w:gridCol w:w="1384"/>
            <w:gridCol w:w="647"/>
            <w:gridCol w:w="2075"/>
            <w:gridCol w:w="1559"/>
            <w:gridCol w:w="4082"/>
          </w:tblGrid>
        </w:tblGridChange>
      </w:tblGrid>
      <w:tr w:rsidR="00263500" w:rsidRPr="003C7430" w14:paraId="53BF875F" w14:textId="77777777" w:rsidTr="00A80F2E">
        <w:tc>
          <w:tcPr>
            <w:tcW w:w="1384" w:type="dxa"/>
          </w:tcPr>
          <w:p w14:paraId="775306D2" w14:textId="77777777" w:rsidR="00263500" w:rsidRPr="003C7430" w:rsidRDefault="00263500" w:rsidP="00A80F2E">
            <w:pPr>
              <w:rPr>
                <w:rFonts w:cs="Arial"/>
                <w:b/>
              </w:rPr>
            </w:pPr>
            <w:r w:rsidRPr="003C7430">
              <w:rPr>
                <w:rFonts w:cs="Arial"/>
                <w:b/>
              </w:rPr>
              <w:t>Application type</w:t>
            </w:r>
          </w:p>
        </w:tc>
        <w:tc>
          <w:tcPr>
            <w:tcW w:w="647" w:type="dxa"/>
          </w:tcPr>
          <w:p w14:paraId="47399AE1" w14:textId="77777777" w:rsidR="00263500" w:rsidRPr="003C7430" w:rsidRDefault="00263500" w:rsidP="00A80F2E">
            <w:pPr>
              <w:rPr>
                <w:rFonts w:cs="Arial"/>
                <w:b/>
              </w:rPr>
            </w:pPr>
            <w:r w:rsidRPr="003C7430">
              <w:rPr>
                <w:rFonts w:cs="Arial"/>
                <w:b/>
              </w:rPr>
              <w:t>Ref</w:t>
            </w:r>
            <w:r>
              <w:rPr>
                <w:rFonts w:cs="Arial"/>
                <w:b/>
              </w:rPr>
              <w:t xml:space="preserve"> </w:t>
            </w:r>
            <w:r w:rsidRPr="003C7430">
              <w:rPr>
                <w:rFonts w:cs="Arial"/>
                <w:b/>
              </w:rPr>
              <w:t>MS</w:t>
            </w:r>
          </w:p>
        </w:tc>
        <w:tc>
          <w:tcPr>
            <w:tcW w:w="2075" w:type="dxa"/>
          </w:tcPr>
          <w:p w14:paraId="07F7757F" w14:textId="77777777" w:rsidR="00263500" w:rsidRPr="003C7430" w:rsidRDefault="00263500" w:rsidP="00A80F2E">
            <w:pPr>
              <w:rPr>
                <w:rFonts w:cs="Arial"/>
                <w:b/>
              </w:rPr>
            </w:pPr>
            <w:r w:rsidRPr="003C7430">
              <w:rPr>
                <w:rFonts w:cs="Arial"/>
                <w:b/>
              </w:rPr>
              <w:t>Case number in the ref</w:t>
            </w:r>
            <w:r>
              <w:rPr>
                <w:rFonts w:cs="Arial"/>
                <w:b/>
              </w:rPr>
              <w:t xml:space="preserve"> </w:t>
            </w:r>
            <w:r w:rsidRPr="003C7430">
              <w:rPr>
                <w:rFonts w:cs="Arial"/>
                <w:b/>
              </w:rPr>
              <w:t>MS</w:t>
            </w:r>
          </w:p>
        </w:tc>
        <w:tc>
          <w:tcPr>
            <w:tcW w:w="1559" w:type="dxa"/>
          </w:tcPr>
          <w:p w14:paraId="3B632EC0" w14:textId="77777777" w:rsidR="00263500" w:rsidRPr="003C7430" w:rsidRDefault="00263500" w:rsidP="00A80F2E">
            <w:pPr>
              <w:rPr>
                <w:rFonts w:cs="Arial"/>
                <w:b/>
              </w:rPr>
            </w:pPr>
            <w:r w:rsidRPr="003C7430">
              <w:rPr>
                <w:rFonts w:cs="Arial"/>
                <w:b/>
              </w:rPr>
              <w:t>Decision date</w:t>
            </w:r>
          </w:p>
        </w:tc>
        <w:tc>
          <w:tcPr>
            <w:tcW w:w="4082" w:type="dxa"/>
          </w:tcPr>
          <w:p w14:paraId="67055CA1" w14:textId="77777777" w:rsidR="00263500" w:rsidRPr="003C7430" w:rsidRDefault="00263500" w:rsidP="00A80F2E">
            <w:pPr>
              <w:rPr>
                <w:rFonts w:cs="Arial"/>
                <w:b/>
              </w:rPr>
            </w:pPr>
            <w:r w:rsidRPr="003C7430">
              <w:rPr>
                <w:rFonts w:cs="Arial"/>
                <w:b/>
              </w:rPr>
              <w:t xml:space="preserve">Assessment carried out (i.e. first </w:t>
            </w:r>
            <w:proofErr w:type="spellStart"/>
            <w:r w:rsidRPr="003C7430">
              <w:rPr>
                <w:rFonts w:cs="Arial"/>
                <w:b/>
              </w:rPr>
              <w:t>authorisation</w:t>
            </w:r>
            <w:proofErr w:type="spellEnd"/>
            <w:r w:rsidRPr="003C7430">
              <w:rPr>
                <w:rFonts w:cs="Arial"/>
                <w:b/>
              </w:rPr>
              <w:t xml:space="preserve"> / amendment /renewal)</w:t>
            </w:r>
          </w:p>
        </w:tc>
      </w:tr>
      <w:tr w:rsidR="00263500" w:rsidRPr="003C7430" w14:paraId="03A9AAB7" w14:textId="77777777" w:rsidTr="00A80F2E">
        <w:tc>
          <w:tcPr>
            <w:tcW w:w="1384" w:type="dxa"/>
          </w:tcPr>
          <w:p w14:paraId="75B91D27" w14:textId="77777777" w:rsidR="00263500" w:rsidRPr="003C7430" w:rsidRDefault="00263500" w:rsidP="00A80F2E">
            <w:pPr>
              <w:rPr>
                <w:rFonts w:cs="Arial"/>
              </w:rPr>
            </w:pPr>
            <w:r w:rsidRPr="003C7430">
              <w:rPr>
                <w:rFonts w:cs="Arial"/>
              </w:rPr>
              <w:t>NA-APP</w:t>
            </w:r>
          </w:p>
        </w:tc>
        <w:tc>
          <w:tcPr>
            <w:tcW w:w="647" w:type="dxa"/>
          </w:tcPr>
          <w:p w14:paraId="59A0529C" w14:textId="77777777" w:rsidR="00263500" w:rsidRPr="0056011B" w:rsidRDefault="00263500" w:rsidP="00A80F2E">
            <w:pPr>
              <w:rPr>
                <w:rFonts w:cs="Arial"/>
              </w:rPr>
            </w:pPr>
            <w:r>
              <w:rPr>
                <w:rFonts w:cs="Arial"/>
              </w:rPr>
              <w:t>BE</w:t>
            </w:r>
          </w:p>
        </w:tc>
        <w:tc>
          <w:tcPr>
            <w:tcW w:w="2075" w:type="dxa"/>
          </w:tcPr>
          <w:p w14:paraId="768E04CF" w14:textId="63EE0BD2" w:rsidR="00263500" w:rsidRPr="0056011B" w:rsidRDefault="00701863" w:rsidP="00A80F2E">
            <w:pPr>
              <w:rPr>
                <w:rFonts w:cs="Arial"/>
              </w:rPr>
            </w:pPr>
            <w:r w:rsidRPr="00701863">
              <w:rPr>
                <w:rFonts w:cs="Arial"/>
              </w:rPr>
              <w:t>BC-UW020009-14</w:t>
            </w:r>
          </w:p>
        </w:tc>
        <w:tc>
          <w:tcPr>
            <w:tcW w:w="1559" w:type="dxa"/>
          </w:tcPr>
          <w:p w14:paraId="415B66BF" w14:textId="67613BE6" w:rsidR="00263500" w:rsidRPr="003C7430" w:rsidRDefault="00D60F14" w:rsidP="00A80F2E">
            <w:pPr>
              <w:jc w:val="center"/>
              <w:rPr>
                <w:rFonts w:cs="Arial"/>
              </w:rPr>
            </w:pPr>
            <w:r>
              <w:rPr>
                <w:rFonts w:cs="Arial"/>
              </w:rPr>
              <w:t>16/05/2019</w:t>
            </w:r>
          </w:p>
        </w:tc>
        <w:tc>
          <w:tcPr>
            <w:tcW w:w="4082" w:type="dxa"/>
          </w:tcPr>
          <w:p w14:paraId="6A817671" w14:textId="2D279454" w:rsidR="00263500" w:rsidRPr="003C7430" w:rsidRDefault="00263500" w:rsidP="00263500">
            <w:pPr>
              <w:rPr>
                <w:rFonts w:cs="Arial"/>
              </w:rPr>
            </w:pPr>
            <w:r w:rsidRPr="003C7430">
              <w:rPr>
                <w:rFonts w:cs="Arial"/>
              </w:rPr>
              <w:t>Initial assessment</w:t>
            </w:r>
            <w:r>
              <w:rPr>
                <w:rFonts w:cs="Arial"/>
              </w:rPr>
              <w:t xml:space="preserve"> of the reference product : </w:t>
            </w:r>
            <w:r w:rsidRPr="00780C29">
              <w:rPr>
                <w:rFonts w:cs="Arial"/>
              </w:rPr>
              <w:t>Insect Repellent Pump Spray IR3535 20%</w:t>
            </w:r>
          </w:p>
        </w:tc>
      </w:tr>
      <w:tr w:rsidR="00263500" w:rsidRPr="003C7430" w14:paraId="4893DC63" w14:textId="77777777" w:rsidTr="00A80F2E">
        <w:tc>
          <w:tcPr>
            <w:tcW w:w="1384" w:type="dxa"/>
          </w:tcPr>
          <w:p w14:paraId="1F06E3E8" w14:textId="77777777" w:rsidR="00263500" w:rsidRPr="003C7430" w:rsidRDefault="00263500" w:rsidP="00A80F2E">
            <w:pPr>
              <w:rPr>
                <w:rFonts w:cs="Arial"/>
              </w:rPr>
            </w:pPr>
            <w:r w:rsidRPr="003C7430">
              <w:rPr>
                <w:rFonts w:cs="Arial"/>
              </w:rPr>
              <w:t>NA-</w:t>
            </w:r>
            <w:r>
              <w:rPr>
                <w:rFonts w:cs="Arial"/>
              </w:rPr>
              <w:t>BBS</w:t>
            </w:r>
          </w:p>
        </w:tc>
        <w:tc>
          <w:tcPr>
            <w:tcW w:w="647" w:type="dxa"/>
          </w:tcPr>
          <w:p w14:paraId="66620250" w14:textId="77777777" w:rsidR="00263500" w:rsidRPr="009C39D5" w:rsidRDefault="00263500" w:rsidP="00A80F2E">
            <w:pPr>
              <w:rPr>
                <w:rFonts w:cs="Arial"/>
              </w:rPr>
            </w:pPr>
            <w:r>
              <w:rPr>
                <w:rFonts w:cs="Arial"/>
              </w:rPr>
              <w:t>FR</w:t>
            </w:r>
          </w:p>
        </w:tc>
        <w:tc>
          <w:tcPr>
            <w:tcW w:w="2075" w:type="dxa"/>
          </w:tcPr>
          <w:p w14:paraId="58FF9865" w14:textId="1D5BC4F5" w:rsidR="00263500" w:rsidRPr="003C7430" w:rsidRDefault="00D60F14" w:rsidP="00A80F2E">
            <w:pPr>
              <w:rPr>
                <w:rFonts w:cs="Arial"/>
                <w:lang w:val="de-DE"/>
              </w:rPr>
            </w:pPr>
            <w:r w:rsidRPr="00D60F14">
              <w:rPr>
                <w:rFonts w:cs="Arial"/>
                <w:lang w:val="de-DE"/>
              </w:rPr>
              <w:t>BC-RQ020406-27</w:t>
            </w:r>
          </w:p>
        </w:tc>
        <w:tc>
          <w:tcPr>
            <w:tcW w:w="1559" w:type="dxa"/>
          </w:tcPr>
          <w:p w14:paraId="608632A8" w14:textId="797D4896" w:rsidR="00263500" w:rsidRPr="003C7430" w:rsidRDefault="00D60F14" w:rsidP="00A80F2E">
            <w:pPr>
              <w:jc w:val="center"/>
              <w:rPr>
                <w:rFonts w:cs="Arial"/>
                <w:lang w:val="de-DE"/>
              </w:rPr>
            </w:pPr>
            <w:r>
              <w:rPr>
                <w:rFonts w:cs="Arial"/>
                <w:lang w:val="de-DE"/>
              </w:rPr>
              <w:t>07/05/2019</w:t>
            </w:r>
          </w:p>
        </w:tc>
        <w:tc>
          <w:tcPr>
            <w:tcW w:w="4082" w:type="dxa"/>
          </w:tcPr>
          <w:p w14:paraId="17523A50" w14:textId="5186D0E5" w:rsidR="00263500" w:rsidRPr="009C39D5" w:rsidRDefault="00263500" w:rsidP="00263500">
            <w:pPr>
              <w:rPr>
                <w:rFonts w:cs="Arial"/>
              </w:rPr>
            </w:pPr>
            <w:r w:rsidRPr="006F0381">
              <w:rPr>
                <w:rFonts w:cs="Arial"/>
              </w:rPr>
              <w:t xml:space="preserve">National </w:t>
            </w:r>
            <w:proofErr w:type="spellStart"/>
            <w:r w:rsidRPr="006F0381">
              <w:rPr>
                <w:rFonts w:cs="Arial"/>
              </w:rPr>
              <w:t>authorisation</w:t>
            </w:r>
            <w:proofErr w:type="spellEnd"/>
            <w:r w:rsidRPr="006F0381">
              <w:rPr>
                <w:rFonts w:cs="Arial"/>
              </w:rPr>
              <w:t xml:space="preserve"> of same biocidal product</w:t>
            </w:r>
            <w:r>
              <w:rPr>
                <w:rFonts w:cs="Arial"/>
              </w:rPr>
              <w:t xml:space="preserve"> APAISYL REPULSIF MOUSTIQUE</w:t>
            </w:r>
            <w:r w:rsidR="00ED3131">
              <w:rPr>
                <w:rFonts w:cs="Arial"/>
              </w:rPr>
              <w:t>S</w:t>
            </w:r>
            <w:r>
              <w:rPr>
                <w:rFonts w:cs="Arial"/>
              </w:rPr>
              <w:t xml:space="preserve"> LOTION</w:t>
            </w:r>
          </w:p>
        </w:tc>
      </w:tr>
      <w:tr w:rsidR="00263500" w:rsidRPr="003C7430" w14:paraId="77FBEB52" w14:textId="77777777" w:rsidTr="004C5A26">
        <w:tblPrEx>
          <w:tblW w:w="9747" w:type="dxa"/>
          <w:tblLayout w:type="fixed"/>
          <w:tblPrExChange w:id="2" w:author="BENUSZAK Johanna" w:date="2020-06-22T10:53:00Z">
            <w:tblPrEx>
              <w:tblW w:w="9747" w:type="dxa"/>
              <w:tblLayout w:type="fixed"/>
            </w:tblPrEx>
          </w:tblPrExChange>
        </w:tblPrEx>
        <w:tc>
          <w:tcPr>
            <w:tcW w:w="1384" w:type="dxa"/>
            <w:tcPrChange w:id="3" w:author="BENUSZAK Johanna" w:date="2020-06-22T10:53:00Z">
              <w:tcPr>
                <w:tcW w:w="1384" w:type="dxa"/>
              </w:tcPr>
            </w:tcPrChange>
          </w:tcPr>
          <w:p w14:paraId="7FFAB3D2" w14:textId="23A49F0B" w:rsidR="00263500" w:rsidRPr="003C7430" w:rsidRDefault="00263500" w:rsidP="00A80F2E">
            <w:pPr>
              <w:rPr>
                <w:rFonts w:cs="Arial"/>
              </w:rPr>
            </w:pPr>
            <w:r>
              <w:rPr>
                <w:rFonts w:cs="Arial"/>
              </w:rPr>
              <w:t>NA-ADC</w:t>
            </w:r>
          </w:p>
        </w:tc>
        <w:tc>
          <w:tcPr>
            <w:tcW w:w="647" w:type="dxa"/>
            <w:tcPrChange w:id="4" w:author="BENUSZAK Johanna" w:date="2020-06-22T10:53:00Z">
              <w:tcPr>
                <w:tcW w:w="647" w:type="dxa"/>
              </w:tcPr>
            </w:tcPrChange>
          </w:tcPr>
          <w:p w14:paraId="4FD1766D" w14:textId="1F51CAF7" w:rsidR="00263500" w:rsidRDefault="00263500" w:rsidP="00A80F2E">
            <w:pPr>
              <w:rPr>
                <w:rFonts w:cs="Arial"/>
              </w:rPr>
            </w:pPr>
            <w:r>
              <w:rPr>
                <w:rFonts w:cs="Arial"/>
              </w:rPr>
              <w:t>FR</w:t>
            </w:r>
          </w:p>
        </w:tc>
        <w:tc>
          <w:tcPr>
            <w:tcW w:w="2075" w:type="dxa"/>
            <w:tcPrChange w:id="5" w:author="BENUSZAK Johanna" w:date="2020-06-22T10:53:00Z">
              <w:tcPr>
                <w:tcW w:w="2075" w:type="dxa"/>
              </w:tcPr>
            </w:tcPrChange>
          </w:tcPr>
          <w:p w14:paraId="31B9063F" w14:textId="5A82C55A" w:rsidR="00263500" w:rsidRPr="003C7430" w:rsidRDefault="00D60F14" w:rsidP="00A80F2E">
            <w:pPr>
              <w:rPr>
                <w:rFonts w:cs="Arial"/>
                <w:lang w:val="de-DE"/>
              </w:rPr>
            </w:pPr>
            <w:r w:rsidRPr="00D60F14">
              <w:rPr>
                <w:rFonts w:cs="Arial"/>
                <w:lang w:val="de-DE"/>
              </w:rPr>
              <w:t>BC-XH052019-32</w:t>
            </w:r>
          </w:p>
        </w:tc>
        <w:tc>
          <w:tcPr>
            <w:tcW w:w="1559" w:type="dxa"/>
            <w:shd w:val="clear" w:color="auto" w:fill="auto"/>
            <w:tcPrChange w:id="6" w:author="BENUSZAK Johanna" w:date="2020-06-22T10:53:00Z">
              <w:tcPr>
                <w:tcW w:w="1559" w:type="dxa"/>
                <w:shd w:val="clear" w:color="auto" w:fill="FFFF00"/>
              </w:tcPr>
            </w:tcPrChange>
          </w:tcPr>
          <w:p w14:paraId="22315FC7" w14:textId="7AA0755D" w:rsidR="00263500" w:rsidRPr="004C5A26" w:rsidRDefault="004C5A26" w:rsidP="00A80F2E">
            <w:pPr>
              <w:jc w:val="center"/>
              <w:rPr>
                <w:rFonts w:cs="Arial"/>
                <w:lang w:val="de-DE"/>
              </w:rPr>
            </w:pPr>
            <w:r w:rsidRPr="004C5A26">
              <w:rPr>
                <w:rFonts w:cs="Arial"/>
                <w:lang w:val="de-DE"/>
              </w:rPr>
              <w:t>19/06/2020</w:t>
            </w:r>
          </w:p>
        </w:tc>
        <w:tc>
          <w:tcPr>
            <w:tcW w:w="4082" w:type="dxa"/>
            <w:tcPrChange w:id="7" w:author="BENUSZAK Johanna" w:date="2020-06-22T10:53:00Z">
              <w:tcPr>
                <w:tcW w:w="4082" w:type="dxa"/>
              </w:tcPr>
            </w:tcPrChange>
          </w:tcPr>
          <w:p w14:paraId="5B34144E" w14:textId="0275D8B3" w:rsidR="00263500" w:rsidRPr="006F0381" w:rsidRDefault="00D4288E" w:rsidP="00D4288E">
            <w:pPr>
              <w:rPr>
                <w:rFonts w:cs="Arial"/>
              </w:rPr>
            </w:pPr>
            <w:r>
              <w:rPr>
                <w:rFonts w:cs="Arial"/>
              </w:rPr>
              <w:t>Change in holder name</w:t>
            </w:r>
          </w:p>
        </w:tc>
      </w:tr>
      <w:tr w:rsidR="00263500" w:rsidRPr="003C7430" w14:paraId="669B237B" w14:textId="77777777" w:rsidTr="004C5A26">
        <w:tblPrEx>
          <w:tblW w:w="9747" w:type="dxa"/>
          <w:tblLayout w:type="fixed"/>
          <w:tblPrExChange w:id="8" w:author="BENUSZAK Johanna" w:date="2020-06-22T10:53:00Z">
            <w:tblPrEx>
              <w:tblW w:w="9747" w:type="dxa"/>
              <w:tblLayout w:type="fixed"/>
            </w:tblPrEx>
          </w:tblPrExChange>
        </w:tblPrEx>
        <w:tc>
          <w:tcPr>
            <w:tcW w:w="1384" w:type="dxa"/>
            <w:tcPrChange w:id="9" w:author="BENUSZAK Johanna" w:date="2020-06-22T10:53:00Z">
              <w:tcPr>
                <w:tcW w:w="1384" w:type="dxa"/>
              </w:tcPr>
            </w:tcPrChange>
          </w:tcPr>
          <w:p w14:paraId="6B7AAD2F" w14:textId="29C00AD7" w:rsidR="00263500" w:rsidRPr="00433C98" w:rsidRDefault="00263500" w:rsidP="00A80F2E">
            <w:pPr>
              <w:rPr>
                <w:rFonts w:cs="Arial"/>
              </w:rPr>
            </w:pPr>
            <w:r w:rsidRPr="00433C98">
              <w:rPr>
                <w:rFonts w:cs="Arial"/>
              </w:rPr>
              <w:t>NA-</w:t>
            </w:r>
            <w:r>
              <w:rPr>
                <w:rFonts w:cs="Arial"/>
              </w:rPr>
              <w:t>MIC</w:t>
            </w:r>
          </w:p>
        </w:tc>
        <w:tc>
          <w:tcPr>
            <w:tcW w:w="647" w:type="dxa"/>
            <w:tcPrChange w:id="10" w:author="BENUSZAK Johanna" w:date="2020-06-22T10:53:00Z">
              <w:tcPr>
                <w:tcW w:w="647" w:type="dxa"/>
              </w:tcPr>
            </w:tcPrChange>
          </w:tcPr>
          <w:p w14:paraId="5C52E181" w14:textId="77777777" w:rsidR="00263500" w:rsidRPr="00433C98" w:rsidRDefault="00263500" w:rsidP="00A80F2E">
            <w:pPr>
              <w:rPr>
                <w:rFonts w:cs="Arial"/>
              </w:rPr>
            </w:pPr>
            <w:r w:rsidRPr="00433C98">
              <w:rPr>
                <w:rFonts w:cs="Arial"/>
              </w:rPr>
              <w:t>FR</w:t>
            </w:r>
          </w:p>
        </w:tc>
        <w:tc>
          <w:tcPr>
            <w:tcW w:w="2075" w:type="dxa"/>
            <w:tcPrChange w:id="11" w:author="BENUSZAK Johanna" w:date="2020-06-22T10:53:00Z">
              <w:tcPr>
                <w:tcW w:w="2075" w:type="dxa"/>
              </w:tcPr>
            </w:tcPrChange>
          </w:tcPr>
          <w:p w14:paraId="72A1EE66" w14:textId="3EA4E284" w:rsidR="00263500" w:rsidRPr="00CA697E" w:rsidRDefault="00D60F14" w:rsidP="00A80F2E">
            <w:pPr>
              <w:rPr>
                <w:rFonts w:cs="Arial"/>
                <w:color w:val="000000"/>
                <w:lang w:val="fr-FR" w:eastAsia="fr-FR"/>
              </w:rPr>
            </w:pPr>
            <w:r w:rsidRPr="00D60F14">
              <w:rPr>
                <w:rFonts w:cs="Arial"/>
                <w:color w:val="000000"/>
                <w:lang w:val="fr-FR" w:eastAsia="fr-FR"/>
              </w:rPr>
              <w:t>BC-XN054054-24</w:t>
            </w:r>
          </w:p>
        </w:tc>
        <w:tc>
          <w:tcPr>
            <w:tcW w:w="1559" w:type="dxa"/>
            <w:shd w:val="clear" w:color="auto" w:fill="auto"/>
            <w:tcPrChange w:id="12" w:author="BENUSZAK Johanna" w:date="2020-06-22T10:53:00Z">
              <w:tcPr>
                <w:tcW w:w="1559" w:type="dxa"/>
                <w:shd w:val="clear" w:color="auto" w:fill="FFFF00"/>
              </w:tcPr>
            </w:tcPrChange>
          </w:tcPr>
          <w:p w14:paraId="4943A568" w14:textId="0708067E" w:rsidR="00263500" w:rsidRPr="004C5A26" w:rsidRDefault="004C5A26" w:rsidP="00A80F2E">
            <w:pPr>
              <w:jc w:val="center"/>
              <w:rPr>
                <w:rFonts w:cs="Arial"/>
                <w:lang w:val="de-DE"/>
              </w:rPr>
            </w:pPr>
            <w:r w:rsidRPr="004C5A26">
              <w:rPr>
                <w:rFonts w:cs="Arial"/>
                <w:lang w:val="de-DE"/>
              </w:rPr>
              <w:t>19/06/2020</w:t>
            </w:r>
          </w:p>
        </w:tc>
        <w:tc>
          <w:tcPr>
            <w:tcW w:w="4082" w:type="dxa"/>
            <w:tcPrChange w:id="13" w:author="BENUSZAK Johanna" w:date="2020-06-22T10:53:00Z">
              <w:tcPr>
                <w:tcW w:w="4082" w:type="dxa"/>
              </w:tcPr>
            </w:tcPrChange>
          </w:tcPr>
          <w:p w14:paraId="432D656A" w14:textId="77777777" w:rsidR="00263500" w:rsidRDefault="00263500" w:rsidP="00A80F2E">
            <w:pPr>
              <w:rPr>
                <w:rFonts w:cs="Arial"/>
              </w:rPr>
            </w:pPr>
            <w:r>
              <w:rPr>
                <w:rFonts w:cs="Arial"/>
              </w:rPr>
              <w:t xml:space="preserve">National application for major change : </w:t>
            </w:r>
          </w:p>
          <w:p w14:paraId="03AD63B0" w14:textId="77777777" w:rsidR="00263500" w:rsidRDefault="00263500" w:rsidP="00263500">
            <w:pPr>
              <w:pStyle w:val="Paragraphedeliste"/>
              <w:numPr>
                <w:ilvl w:val="0"/>
                <w:numId w:val="36"/>
              </w:numPr>
              <w:rPr>
                <w:rFonts w:cs="Arial"/>
              </w:rPr>
            </w:pPr>
            <w:r>
              <w:rPr>
                <w:rFonts w:cs="Arial"/>
              </w:rPr>
              <w:t>Change in the shelf life from 18 to 24 months</w:t>
            </w:r>
          </w:p>
          <w:p w14:paraId="67E56686" w14:textId="77777777" w:rsidR="00263500" w:rsidRPr="00433C98" w:rsidRDefault="00263500" w:rsidP="00263500">
            <w:pPr>
              <w:pStyle w:val="Paragraphedeliste"/>
              <w:rPr>
                <w:rFonts w:cs="Arial"/>
              </w:rPr>
            </w:pPr>
          </w:p>
        </w:tc>
      </w:tr>
    </w:tbl>
    <w:p w14:paraId="00410D42" w14:textId="069FE1F2" w:rsidR="00A70319" w:rsidRDefault="00A70319" w:rsidP="00A70319">
      <w:pPr>
        <w:rPr>
          <w:lang w:val="en-GB" w:eastAsia="de-DE"/>
        </w:rPr>
      </w:pPr>
    </w:p>
    <w:p w14:paraId="3EABC001" w14:textId="57EE541B" w:rsidR="00A70319" w:rsidRDefault="00A70319" w:rsidP="00A70319">
      <w:pPr>
        <w:rPr>
          <w:lang w:val="en-GB" w:eastAsia="de-DE"/>
        </w:rPr>
      </w:pPr>
    </w:p>
    <w:p w14:paraId="6D1D66DF" w14:textId="3719CD27" w:rsidR="00A70319" w:rsidRDefault="00A70319" w:rsidP="00A70319">
      <w:pPr>
        <w:rPr>
          <w:lang w:val="en-GB" w:eastAsia="de-DE"/>
        </w:rPr>
      </w:pPr>
    </w:p>
    <w:p w14:paraId="73E027EF" w14:textId="68596DE2" w:rsidR="00A70319" w:rsidRDefault="00A70319" w:rsidP="00A70319">
      <w:pPr>
        <w:rPr>
          <w:lang w:val="en-GB" w:eastAsia="de-DE"/>
        </w:rPr>
      </w:pPr>
    </w:p>
    <w:p w14:paraId="49D95822" w14:textId="52BD1FD2" w:rsidR="00A70319" w:rsidRDefault="00A70319" w:rsidP="00A70319">
      <w:pPr>
        <w:rPr>
          <w:lang w:val="en-GB" w:eastAsia="de-DE"/>
        </w:rPr>
      </w:pPr>
    </w:p>
    <w:p w14:paraId="3C7A8A57" w14:textId="403F0299" w:rsidR="00A70319" w:rsidRDefault="00A70319" w:rsidP="00A70319">
      <w:pPr>
        <w:rPr>
          <w:lang w:val="en-GB" w:eastAsia="de-DE"/>
        </w:rPr>
      </w:pPr>
    </w:p>
    <w:p w14:paraId="4C537B34" w14:textId="53F1F50D" w:rsidR="00A70319" w:rsidRDefault="00A70319" w:rsidP="00A70319">
      <w:pPr>
        <w:rPr>
          <w:lang w:val="en-GB" w:eastAsia="de-DE"/>
        </w:rPr>
      </w:pPr>
    </w:p>
    <w:p w14:paraId="0452D895" w14:textId="0A62A883" w:rsidR="00A70319" w:rsidRDefault="00A70319" w:rsidP="00A70319">
      <w:pPr>
        <w:rPr>
          <w:lang w:val="en-GB" w:eastAsia="de-DE"/>
        </w:rPr>
      </w:pPr>
    </w:p>
    <w:p w14:paraId="5647CC79" w14:textId="14B02B02" w:rsidR="00A70319" w:rsidRDefault="00A70319" w:rsidP="00A70319">
      <w:pPr>
        <w:rPr>
          <w:lang w:val="en-GB" w:eastAsia="de-DE"/>
        </w:rPr>
      </w:pPr>
    </w:p>
    <w:p w14:paraId="6D4DD21D" w14:textId="10D9C40E" w:rsidR="00DA3C10" w:rsidRPr="00BD2EF1" w:rsidRDefault="00DA3C10" w:rsidP="00DA3C10">
      <w:pPr>
        <w:pStyle w:val="Titre1"/>
      </w:pPr>
      <w:bookmarkStart w:id="14" w:name="_Toc8296447"/>
      <w:r w:rsidRPr="00BD2EF1">
        <w:lastRenderedPageBreak/>
        <w:t>Conclusion</w:t>
      </w:r>
      <w:bookmarkEnd w:id="14"/>
    </w:p>
    <w:p w14:paraId="61E4B6C7" w14:textId="30EECECB" w:rsidR="00263500" w:rsidRDefault="00263500" w:rsidP="00263500">
      <w:pPr>
        <w:spacing w:before="0" w:after="160" w:line="259" w:lineRule="auto"/>
        <w:jc w:val="both"/>
      </w:pPr>
      <w:r>
        <w:t xml:space="preserve">The biocidal product SPRAY REPULSIF MOUSTIQUE LOTION is a </w:t>
      </w:r>
      <w:r w:rsidRPr="00C37DF0">
        <w:t>as a ready-to-use leave-on repellent (PT19) to be applied on clean and dried human hair, the nape of the neck and behind ears. It is intended to be used to repel human head-lice (</w:t>
      </w:r>
      <w:proofErr w:type="spellStart"/>
      <w:r w:rsidRPr="00165258">
        <w:rPr>
          <w:i/>
        </w:rPr>
        <w:t>Pediculus</w:t>
      </w:r>
      <w:proofErr w:type="spellEnd"/>
      <w:r w:rsidRPr="00165258">
        <w:rPr>
          <w:i/>
        </w:rPr>
        <w:t xml:space="preserve"> </w:t>
      </w:r>
      <w:proofErr w:type="spellStart"/>
      <w:r w:rsidRPr="00165258">
        <w:rPr>
          <w:i/>
        </w:rPr>
        <w:t>humanus</w:t>
      </w:r>
      <w:proofErr w:type="spellEnd"/>
      <w:r w:rsidRPr="00165258">
        <w:rPr>
          <w:i/>
        </w:rPr>
        <w:t xml:space="preserve"> </w:t>
      </w:r>
      <w:proofErr w:type="spellStart"/>
      <w:r w:rsidRPr="00165258">
        <w:rPr>
          <w:i/>
        </w:rPr>
        <w:t>capitis</w:t>
      </w:r>
      <w:proofErr w:type="spellEnd"/>
      <w:r w:rsidRPr="00C37DF0">
        <w:t xml:space="preserve">) only after a </w:t>
      </w:r>
      <w:proofErr w:type="spellStart"/>
      <w:r w:rsidRPr="00C37DF0">
        <w:t>pediculicidal</w:t>
      </w:r>
      <w:proofErr w:type="spellEnd"/>
      <w:r w:rsidRPr="00C37DF0">
        <w:t xml:space="preserve"> treatment.</w:t>
      </w:r>
      <w:r>
        <w:t xml:space="preserve"> </w:t>
      </w:r>
    </w:p>
    <w:p w14:paraId="178A3212" w14:textId="47C7D788" w:rsidR="00263500" w:rsidRDefault="00263500" w:rsidP="00263500">
      <w:pPr>
        <w:spacing w:before="0" w:after="160" w:line="259" w:lineRule="auto"/>
        <w:jc w:val="both"/>
      </w:pPr>
      <w:r>
        <w:t>This minor change application consists in the increase of t</w:t>
      </w:r>
      <w:r w:rsidR="00D60F14">
        <w:t>he shelf-life from 18 to 24 months.</w:t>
      </w:r>
    </w:p>
    <w:p w14:paraId="2C280B24" w14:textId="2108BE2C" w:rsidR="00D60F14" w:rsidRDefault="00D60F14" w:rsidP="00263500">
      <w:pPr>
        <w:spacing w:before="0" w:after="160" w:line="259" w:lineRule="auto"/>
        <w:jc w:val="both"/>
      </w:pPr>
      <w:r>
        <w:t xml:space="preserve">Therefore, the conclusion of efficacy, human health and environment has not been </w:t>
      </w:r>
      <w:r w:rsidR="004D40A2">
        <w:t>revised</w:t>
      </w:r>
      <w:r>
        <w:t>.</w:t>
      </w:r>
    </w:p>
    <w:p w14:paraId="46949AC8" w14:textId="0D52742B" w:rsidR="00D60F14" w:rsidRDefault="00D60F14" w:rsidP="00263500">
      <w:pPr>
        <w:spacing w:before="0" w:after="160" w:line="259" w:lineRule="auto"/>
        <w:jc w:val="both"/>
      </w:pPr>
    </w:p>
    <w:p w14:paraId="4510871A" w14:textId="77777777" w:rsidR="00D60F14" w:rsidRPr="00ED3131" w:rsidRDefault="00D60F14" w:rsidP="00D60F14">
      <w:pPr>
        <w:spacing w:after="240" w:line="260" w:lineRule="atLeast"/>
        <w:rPr>
          <w:b/>
          <w:i/>
        </w:rPr>
      </w:pPr>
      <w:r w:rsidRPr="009609F5">
        <w:rPr>
          <w:b/>
          <w:i/>
        </w:rPr>
        <w:t xml:space="preserve">Conclusion of the </w:t>
      </w:r>
      <w:proofErr w:type="spellStart"/>
      <w:r w:rsidRPr="009609F5">
        <w:rPr>
          <w:b/>
          <w:i/>
        </w:rPr>
        <w:t>physico</w:t>
      </w:r>
      <w:proofErr w:type="spellEnd"/>
      <w:r w:rsidRPr="009609F5">
        <w:rPr>
          <w:b/>
          <w:i/>
        </w:rPr>
        <w:t>-chemical and technical properties</w:t>
      </w:r>
      <w:r w:rsidRPr="00ED3131">
        <w:rPr>
          <w:b/>
          <w:i/>
        </w:rPr>
        <w:t xml:space="preserve"> </w:t>
      </w:r>
    </w:p>
    <w:p w14:paraId="2F3F3D09" w14:textId="7C1DC2F8" w:rsidR="00D60F14" w:rsidRDefault="00934335" w:rsidP="00263500">
      <w:pPr>
        <w:spacing w:before="0" w:after="160" w:line="259" w:lineRule="auto"/>
        <w:jc w:val="both"/>
      </w:pPr>
      <w:r w:rsidRPr="009609F5">
        <w:t>The extension of the shelf life of the product APAISYL REPULSIF MOUSTIQUE LOTION (</w:t>
      </w:r>
      <w:r w:rsidR="004D40A2">
        <w:t xml:space="preserve">same of </w:t>
      </w:r>
      <w:r w:rsidRPr="009609F5">
        <w:t>Insect Repellent Pump Spray IR3535</w:t>
      </w:r>
      <w:r w:rsidRPr="009609F5">
        <w:rPr>
          <w:vertAlign w:val="superscript"/>
        </w:rPr>
        <w:t>®</w:t>
      </w:r>
      <w:r w:rsidRPr="009609F5">
        <w:t xml:space="preserve"> 20%) to 24 months at ambient temperature is acceptable based on </w:t>
      </w:r>
      <w:proofErr w:type="spellStart"/>
      <w:r w:rsidRPr="009609F5">
        <w:t>physico</w:t>
      </w:r>
      <w:proofErr w:type="spellEnd"/>
      <w:r w:rsidRPr="009609F5">
        <w:t>-chemical properties provided in the new long-term storage stability study.</w:t>
      </w:r>
    </w:p>
    <w:p w14:paraId="2D1B41BE" w14:textId="77777777" w:rsidR="00571168" w:rsidRDefault="00571168" w:rsidP="00496A65">
      <w:pPr>
        <w:rPr>
          <w:highlight w:val="yellow"/>
        </w:rPr>
      </w:pPr>
    </w:p>
    <w:p w14:paraId="09B5E3E1" w14:textId="77777777" w:rsidR="00571168" w:rsidRDefault="00571168" w:rsidP="00496A65">
      <w:pPr>
        <w:rPr>
          <w:highlight w:val="yellow"/>
        </w:rPr>
      </w:pPr>
    </w:p>
    <w:p w14:paraId="21F3D7A7" w14:textId="77777777" w:rsidR="00943A25" w:rsidRPr="00BD2EF1" w:rsidRDefault="00943A25" w:rsidP="00496A65">
      <w:r w:rsidRPr="00BD2EF1">
        <w:br w:type="page"/>
      </w:r>
    </w:p>
    <w:p w14:paraId="6437846B" w14:textId="77777777" w:rsidR="00C47639" w:rsidRPr="00BD2EF1" w:rsidRDefault="00C47639" w:rsidP="00C47639">
      <w:pPr>
        <w:pStyle w:val="Titre1"/>
      </w:pPr>
      <w:bookmarkStart w:id="15" w:name="_Toc532391034"/>
      <w:bookmarkStart w:id="16" w:name="_Toc8296448"/>
      <w:bookmarkStart w:id="17" w:name="_Toc425344075"/>
      <w:r w:rsidRPr="00BD2EF1">
        <w:lastRenderedPageBreak/>
        <w:t>Assessment Report</w:t>
      </w:r>
      <w:bookmarkEnd w:id="15"/>
      <w:bookmarkEnd w:id="16"/>
    </w:p>
    <w:p w14:paraId="4843DECB" w14:textId="71781F51" w:rsidR="00E92982" w:rsidRDefault="00E92982" w:rsidP="009609F5">
      <w:pPr>
        <w:pStyle w:val="Titre2"/>
        <w:numPr>
          <w:ilvl w:val="1"/>
          <w:numId w:val="42"/>
        </w:numPr>
        <w:tabs>
          <w:tab w:val="clear" w:pos="1134"/>
        </w:tabs>
        <w:suppressAutoHyphens/>
        <w:rPr>
          <w:lang w:val="en-GB"/>
        </w:rPr>
      </w:pPr>
      <w:bookmarkStart w:id="18" w:name="d0e246"/>
      <w:bookmarkStart w:id="19" w:name="d0e269"/>
      <w:bookmarkStart w:id="20" w:name="d0e437"/>
      <w:bookmarkStart w:id="21" w:name="_Toc2155620"/>
      <w:bookmarkStart w:id="22" w:name="d0e7"/>
      <w:bookmarkStart w:id="23" w:name="d0e6"/>
      <w:bookmarkStart w:id="24" w:name="_Toc532391035"/>
      <w:bookmarkStart w:id="25" w:name="_Toc8296449"/>
      <w:bookmarkEnd w:id="18"/>
      <w:bookmarkEnd w:id="19"/>
      <w:bookmarkEnd w:id="20"/>
      <w:r>
        <w:rPr>
          <w:b w:val="0"/>
        </w:rPr>
        <w:t xml:space="preserve">Summary of the product </w:t>
      </w:r>
      <w:bookmarkEnd w:id="21"/>
      <w:r w:rsidR="00662B4B">
        <w:rPr>
          <w:b w:val="0"/>
        </w:rPr>
        <w:t>ASSESSMENT -</w:t>
      </w:r>
      <w:r w:rsidR="001045BE">
        <w:rPr>
          <w:b w:val="0"/>
        </w:rPr>
        <w:t xml:space="preserve"> MINOR CHANGE 2019</w:t>
      </w:r>
    </w:p>
    <w:p w14:paraId="6EC6DBFF" w14:textId="0B417066" w:rsidR="00E92982" w:rsidRDefault="00E92982" w:rsidP="00534A29">
      <w:pPr>
        <w:pStyle w:val="Titre3"/>
        <w:numPr>
          <w:ilvl w:val="2"/>
          <w:numId w:val="42"/>
        </w:numPr>
        <w:suppressAutoHyphens/>
        <w:spacing w:before="0"/>
        <w:rPr>
          <w:b w:val="0"/>
        </w:rPr>
      </w:pPr>
      <w:bookmarkStart w:id="26" w:name="_Toc2155621"/>
      <w:r>
        <w:rPr>
          <w:b w:val="0"/>
        </w:rPr>
        <w:t>Administrative information</w:t>
      </w:r>
      <w:bookmarkEnd w:id="26"/>
    </w:p>
    <w:p w14:paraId="5DF2C610" w14:textId="61DD5D3D" w:rsidR="00E92982" w:rsidRDefault="00E92982" w:rsidP="00534A29">
      <w:pPr>
        <w:pStyle w:val="Titre4"/>
        <w:numPr>
          <w:ilvl w:val="3"/>
          <w:numId w:val="42"/>
        </w:numPr>
        <w:tabs>
          <w:tab w:val="num" w:pos="0"/>
        </w:tabs>
        <w:suppressAutoHyphens/>
        <w:rPr>
          <w:b/>
          <w:bCs/>
          <w:lang w:eastAsia="en-GB"/>
        </w:rPr>
      </w:pPr>
      <w:bookmarkStart w:id="27" w:name="_Toc2155622"/>
      <w:bookmarkStart w:id="28" w:name="d0e10"/>
      <w:bookmarkEnd w:id="22"/>
      <w:bookmarkEnd w:id="23"/>
      <w:r>
        <w:t>Identifier of the product</w:t>
      </w:r>
      <w:bookmarkEnd w:id="27"/>
      <w:bookmarkEnd w:id="28"/>
    </w:p>
    <w:tbl>
      <w:tblPr>
        <w:tblW w:w="0" w:type="auto"/>
        <w:tblInd w:w="5" w:type="dxa"/>
        <w:tblLayout w:type="fixed"/>
        <w:tblCellMar>
          <w:left w:w="0" w:type="dxa"/>
          <w:right w:w="0" w:type="dxa"/>
        </w:tblCellMar>
        <w:tblLook w:val="04A0" w:firstRow="1" w:lastRow="0" w:firstColumn="1" w:lastColumn="0" w:noHBand="0" w:noVBand="1"/>
      </w:tblPr>
      <w:tblGrid>
        <w:gridCol w:w="3397"/>
        <w:gridCol w:w="5680"/>
      </w:tblGrid>
      <w:tr w:rsidR="00E92982" w14:paraId="6121D530" w14:textId="77777777" w:rsidTr="00E92982">
        <w:trPr>
          <w:tblHeader/>
        </w:trPr>
        <w:tc>
          <w:tcPr>
            <w:tcW w:w="3397" w:type="dxa"/>
            <w:tcBorders>
              <w:top w:val="single" w:sz="4" w:space="0" w:color="000000"/>
              <w:left w:val="single" w:sz="4" w:space="0" w:color="000000"/>
              <w:bottom w:val="single" w:sz="4" w:space="0" w:color="000000"/>
              <w:right w:val="nil"/>
            </w:tcBorders>
            <w:hideMark/>
          </w:tcPr>
          <w:p w14:paraId="45A53A8A" w14:textId="77777777" w:rsidR="00E92982" w:rsidRDefault="00E92982">
            <w:pPr>
              <w:rPr>
                <w:b/>
                <w:bCs/>
                <w:szCs w:val="24"/>
                <w:lang w:eastAsia="en-GB"/>
              </w:rPr>
            </w:pPr>
            <w:r>
              <w:rPr>
                <w:b/>
                <w:bCs/>
                <w:szCs w:val="24"/>
                <w:lang w:eastAsia="en-GB"/>
              </w:rPr>
              <w:t>Identifier</w:t>
            </w:r>
            <w:r>
              <w:rPr>
                <w:rStyle w:val="Caractresdenotedebasdepage"/>
                <w:b/>
                <w:bCs/>
                <w:szCs w:val="24"/>
                <w:lang w:eastAsia="en-GB"/>
              </w:rPr>
              <w:footnoteReference w:id="1"/>
            </w:r>
          </w:p>
        </w:tc>
        <w:tc>
          <w:tcPr>
            <w:tcW w:w="5680" w:type="dxa"/>
            <w:tcBorders>
              <w:top w:val="single" w:sz="4" w:space="0" w:color="000000"/>
              <w:left w:val="single" w:sz="4" w:space="0" w:color="000000"/>
              <w:bottom w:val="single" w:sz="4" w:space="0" w:color="000000"/>
              <w:right w:val="single" w:sz="4" w:space="0" w:color="000000"/>
            </w:tcBorders>
            <w:hideMark/>
          </w:tcPr>
          <w:p w14:paraId="6EC39B18" w14:textId="77777777" w:rsidR="00E92982" w:rsidRDefault="00E92982">
            <w:pPr>
              <w:rPr>
                <w:lang w:eastAsia="zh-CN"/>
              </w:rPr>
            </w:pPr>
            <w:r>
              <w:rPr>
                <w:b/>
                <w:bCs/>
                <w:szCs w:val="24"/>
                <w:lang w:eastAsia="en-GB"/>
              </w:rPr>
              <w:t>Country (if relevant)</w:t>
            </w:r>
          </w:p>
        </w:tc>
      </w:tr>
      <w:tr w:rsidR="00E92982" w14:paraId="264B3A69" w14:textId="77777777" w:rsidTr="00E92982">
        <w:tc>
          <w:tcPr>
            <w:tcW w:w="3397" w:type="dxa"/>
            <w:tcBorders>
              <w:top w:val="nil"/>
              <w:left w:val="single" w:sz="4" w:space="0" w:color="000000"/>
              <w:bottom w:val="single" w:sz="4" w:space="0" w:color="000000"/>
              <w:right w:val="nil"/>
            </w:tcBorders>
          </w:tcPr>
          <w:p w14:paraId="69FC7ACF" w14:textId="4387B2E1" w:rsidR="00E92982" w:rsidRDefault="001045BE">
            <w:pPr>
              <w:snapToGrid w:val="0"/>
            </w:pPr>
            <w:r>
              <w:t>APAISYL REPULSIF MOUSTIQUES LOTION</w:t>
            </w:r>
          </w:p>
        </w:tc>
        <w:tc>
          <w:tcPr>
            <w:tcW w:w="5680" w:type="dxa"/>
            <w:tcBorders>
              <w:top w:val="nil"/>
              <w:left w:val="single" w:sz="4" w:space="0" w:color="000000"/>
              <w:bottom w:val="single" w:sz="4" w:space="0" w:color="000000"/>
              <w:right w:val="single" w:sz="4" w:space="0" w:color="000000"/>
            </w:tcBorders>
          </w:tcPr>
          <w:p w14:paraId="16005861" w14:textId="429D9A4D" w:rsidR="00E92982" w:rsidRDefault="001045BE">
            <w:pPr>
              <w:snapToGrid w:val="0"/>
            </w:pPr>
            <w:r>
              <w:t>France</w:t>
            </w:r>
          </w:p>
        </w:tc>
      </w:tr>
    </w:tbl>
    <w:p w14:paraId="2F0C9853" w14:textId="77777777" w:rsidR="00E92982" w:rsidRDefault="00E92982" w:rsidP="00534A29">
      <w:pPr>
        <w:pStyle w:val="Titre4"/>
        <w:numPr>
          <w:ilvl w:val="3"/>
          <w:numId w:val="42"/>
        </w:numPr>
        <w:tabs>
          <w:tab w:val="num" w:pos="0"/>
        </w:tabs>
        <w:suppressAutoHyphens/>
        <w:rPr>
          <w:rFonts w:cs="Verdana"/>
          <w:b/>
          <w:bCs/>
          <w:color w:val="000000"/>
          <w:sz w:val="22"/>
          <w:lang w:val="de-DE" w:eastAsia="en-GB"/>
        </w:rPr>
      </w:pPr>
      <w:bookmarkStart w:id="29" w:name="_Toc2155623"/>
      <w:bookmarkStart w:id="30" w:name="d0e350"/>
      <w:proofErr w:type="spellStart"/>
      <w:r>
        <w:t>Authorisation</w:t>
      </w:r>
      <w:proofErr w:type="spellEnd"/>
      <w:r>
        <w:t xml:space="preserve"> holder</w:t>
      </w:r>
      <w:bookmarkEnd w:id="29"/>
    </w:p>
    <w:tbl>
      <w:tblPr>
        <w:tblW w:w="0" w:type="auto"/>
        <w:tblInd w:w="5" w:type="dxa"/>
        <w:tblLayout w:type="fixed"/>
        <w:tblCellMar>
          <w:left w:w="0" w:type="dxa"/>
          <w:right w:w="0" w:type="dxa"/>
        </w:tblCellMar>
        <w:tblLook w:val="04A0" w:firstRow="1" w:lastRow="0" w:firstColumn="1" w:lastColumn="0" w:noHBand="0" w:noVBand="1"/>
      </w:tblPr>
      <w:tblGrid>
        <w:gridCol w:w="3397"/>
        <w:gridCol w:w="1115"/>
        <w:gridCol w:w="4523"/>
      </w:tblGrid>
      <w:tr w:rsidR="00662B4B" w14:paraId="55700350" w14:textId="77777777" w:rsidTr="00E92982">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113C7B40" w14:textId="77777777" w:rsidR="00662B4B" w:rsidRDefault="00662B4B" w:rsidP="00662B4B">
            <w:pPr>
              <w:rPr>
                <w:b/>
                <w:lang w:eastAsia="zh-CN"/>
              </w:rPr>
            </w:pPr>
            <w:r>
              <w:rPr>
                <w:b/>
                <w:bCs/>
                <w:color w:val="000000"/>
                <w:szCs w:val="24"/>
                <w:lang w:eastAsia="en-GB"/>
              </w:rPr>
              <w:t xml:space="preserve">Name and address of the </w:t>
            </w:r>
            <w:proofErr w:type="spellStart"/>
            <w:r>
              <w:rPr>
                <w:b/>
                <w:bCs/>
                <w:color w:val="000000"/>
                <w:szCs w:val="24"/>
                <w:lang w:eastAsia="en-GB"/>
              </w:rPr>
              <w:t>authorisation</w:t>
            </w:r>
            <w:proofErr w:type="spellEnd"/>
            <w:r>
              <w:rPr>
                <w:b/>
                <w:bCs/>
                <w:color w:val="000000"/>
                <w:szCs w:val="24"/>
                <w:lang w:eastAsia="en-GB"/>
              </w:rPr>
              <w:t xml:space="preserve"> holder</w:t>
            </w:r>
          </w:p>
        </w:tc>
        <w:tc>
          <w:tcPr>
            <w:tcW w:w="1115" w:type="dxa"/>
            <w:tcBorders>
              <w:top w:val="single" w:sz="4" w:space="0" w:color="000000"/>
              <w:left w:val="single" w:sz="4" w:space="0" w:color="auto"/>
              <w:bottom w:val="single" w:sz="4" w:space="0" w:color="000000"/>
              <w:right w:val="nil"/>
            </w:tcBorders>
            <w:hideMark/>
          </w:tcPr>
          <w:p w14:paraId="58510A95" w14:textId="77777777" w:rsidR="00662B4B" w:rsidRDefault="00662B4B" w:rsidP="00662B4B">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tcPr>
          <w:p w14:paraId="380FE925" w14:textId="290A48D1" w:rsidR="00662B4B" w:rsidRDefault="00662B4B" w:rsidP="00662B4B">
            <w:pPr>
              <w:snapToGrid w:val="0"/>
              <w:rPr>
                <w:b/>
              </w:rPr>
            </w:pPr>
            <w:r w:rsidRPr="005B065A">
              <w:rPr>
                <w:rFonts w:ascii="Arial" w:hAnsi="Arial" w:cs="Arial"/>
              </w:rPr>
              <w:t>P&amp;G HEALTH FRANCE</w:t>
            </w:r>
          </w:p>
        </w:tc>
      </w:tr>
      <w:tr w:rsidR="00662B4B" w14:paraId="39816E2A" w14:textId="77777777" w:rsidTr="00E92982">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53BE9DB" w14:textId="77777777" w:rsidR="00662B4B" w:rsidRDefault="00662B4B" w:rsidP="00662B4B">
            <w:pPr>
              <w:rPr>
                <w:rFonts w:cs="Verdana"/>
                <w:b/>
                <w:lang w:val="en-GB" w:eastAsia="zh-CN"/>
              </w:rPr>
            </w:pPr>
          </w:p>
        </w:tc>
        <w:tc>
          <w:tcPr>
            <w:tcW w:w="1115" w:type="dxa"/>
            <w:tcBorders>
              <w:top w:val="nil"/>
              <w:left w:val="single" w:sz="4" w:space="0" w:color="auto"/>
              <w:bottom w:val="single" w:sz="4" w:space="0" w:color="000000"/>
              <w:right w:val="nil"/>
            </w:tcBorders>
            <w:hideMark/>
          </w:tcPr>
          <w:p w14:paraId="26874F93" w14:textId="77777777" w:rsidR="00662B4B" w:rsidRDefault="00662B4B" w:rsidP="00662B4B">
            <w:pPr>
              <w:rPr>
                <w:b/>
              </w:rPr>
            </w:pPr>
            <w:r>
              <w:rPr>
                <w:b/>
              </w:rPr>
              <w:t>Address</w:t>
            </w:r>
          </w:p>
        </w:tc>
        <w:tc>
          <w:tcPr>
            <w:tcW w:w="4523" w:type="dxa"/>
            <w:tcBorders>
              <w:top w:val="nil"/>
              <w:left w:val="single" w:sz="4" w:space="0" w:color="000000"/>
              <w:bottom w:val="single" w:sz="4" w:space="0" w:color="000000"/>
              <w:right w:val="single" w:sz="4" w:space="0" w:color="000000"/>
            </w:tcBorders>
          </w:tcPr>
          <w:p w14:paraId="0A9848C1" w14:textId="77777777" w:rsidR="00662B4B" w:rsidRPr="002326E5" w:rsidRDefault="00662B4B" w:rsidP="00662B4B">
            <w:pPr>
              <w:spacing w:after="0"/>
              <w:ind w:right="281"/>
              <w:rPr>
                <w:rFonts w:ascii="Arial" w:hAnsi="Arial" w:cs="Arial"/>
              </w:rPr>
            </w:pPr>
            <w:r w:rsidRPr="002326E5">
              <w:rPr>
                <w:rFonts w:ascii="Arial" w:hAnsi="Arial" w:cs="Arial"/>
              </w:rPr>
              <w:t>18C BD WINSTON CHURCHILL – BP 77035</w:t>
            </w:r>
          </w:p>
          <w:p w14:paraId="0F2BCAE4" w14:textId="77777777" w:rsidR="00662B4B" w:rsidRPr="005B065A" w:rsidRDefault="00662B4B" w:rsidP="00662B4B">
            <w:pPr>
              <w:spacing w:after="0"/>
              <w:ind w:right="281"/>
              <w:rPr>
                <w:rFonts w:ascii="Arial" w:hAnsi="Arial" w:cs="Arial"/>
              </w:rPr>
            </w:pPr>
            <w:r w:rsidRPr="005B065A">
              <w:rPr>
                <w:rFonts w:ascii="Arial" w:hAnsi="Arial" w:cs="Arial"/>
              </w:rPr>
              <w:t>21000 DIJON</w:t>
            </w:r>
          </w:p>
          <w:p w14:paraId="30048C27" w14:textId="1E1337D7" w:rsidR="00662B4B" w:rsidRDefault="00662B4B" w:rsidP="00662B4B">
            <w:pPr>
              <w:snapToGrid w:val="0"/>
              <w:rPr>
                <w:b/>
              </w:rPr>
            </w:pPr>
            <w:r w:rsidRPr="005B065A">
              <w:rPr>
                <w:rFonts w:ascii="Arial" w:hAnsi="Arial" w:cs="Arial"/>
              </w:rPr>
              <w:t>FRANCE</w:t>
            </w:r>
          </w:p>
        </w:tc>
      </w:tr>
      <w:tr w:rsidR="00E92982" w14:paraId="569B6B76" w14:textId="77777777" w:rsidTr="00E92982">
        <w:tc>
          <w:tcPr>
            <w:tcW w:w="3397" w:type="dxa"/>
            <w:tcBorders>
              <w:top w:val="single" w:sz="4" w:space="0" w:color="auto"/>
              <w:left w:val="single" w:sz="4" w:space="0" w:color="auto"/>
              <w:bottom w:val="single" w:sz="4" w:space="0" w:color="auto"/>
              <w:right w:val="single" w:sz="4" w:space="0" w:color="auto"/>
            </w:tcBorders>
            <w:hideMark/>
          </w:tcPr>
          <w:p w14:paraId="356C0B5D" w14:textId="77777777" w:rsidR="00E92982" w:rsidRDefault="00E92982">
            <w:pPr>
              <w:rPr>
                <w:b/>
              </w:rPr>
            </w:pPr>
            <w:proofErr w:type="spellStart"/>
            <w:r>
              <w:rPr>
                <w:b/>
                <w:bCs/>
                <w:color w:val="000000"/>
                <w:szCs w:val="24"/>
                <w:lang w:eastAsia="en-GB"/>
              </w:rPr>
              <w:t>Authorisation</w:t>
            </w:r>
            <w:proofErr w:type="spellEnd"/>
            <w:r>
              <w:rPr>
                <w:b/>
                <w:bCs/>
                <w:color w:val="000000"/>
                <w:szCs w:val="24"/>
                <w:lang w:eastAsia="en-GB"/>
              </w:rPr>
              <w:t xml:space="preserve"> number</w:t>
            </w:r>
          </w:p>
        </w:tc>
        <w:tc>
          <w:tcPr>
            <w:tcW w:w="5638" w:type="dxa"/>
            <w:gridSpan w:val="2"/>
            <w:tcBorders>
              <w:top w:val="nil"/>
              <w:left w:val="single" w:sz="4" w:space="0" w:color="auto"/>
              <w:bottom w:val="single" w:sz="4" w:space="0" w:color="000000"/>
              <w:right w:val="single" w:sz="4" w:space="0" w:color="000000"/>
            </w:tcBorders>
          </w:tcPr>
          <w:p w14:paraId="0CFCBAEA" w14:textId="02F7D8AC" w:rsidR="00E92982" w:rsidRDefault="00F26AF2">
            <w:pPr>
              <w:snapToGrid w:val="0"/>
              <w:rPr>
                <w:b/>
              </w:rPr>
            </w:pPr>
            <w:r>
              <w:rPr>
                <w:b/>
              </w:rPr>
              <w:t>FR-2019-0042</w:t>
            </w:r>
            <w:bookmarkStart w:id="31" w:name="_GoBack"/>
            <w:bookmarkEnd w:id="31"/>
          </w:p>
        </w:tc>
      </w:tr>
      <w:tr w:rsidR="00E92982" w14:paraId="167284CD" w14:textId="77777777" w:rsidTr="00E92982">
        <w:tc>
          <w:tcPr>
            <w:tcW w:w="3397" w:type="dxa"/>
            <w:tcBorders>
              <w:top w:val="single" w:sz="4" w:space="0" w:color="auto"/>
              <w:left w:val="single" w:sz="4" w:space="0" w:color="000000"/>
              <w:bottom w:val="single" w:sz="4" w:space="0" w:color="000000"/>
              <w:right w:val="nil"/>
            </w:tcBorders>
            <w:hideMark/>
          </w:tcPr>
          <w:p w14:paraId="23768082" w14:textId="77777777" w:rsidR="00E92982" w:rsidRDefault="00E92982">
            <w:pPr>
              <w:rPr>
                <w:b/>
              </w:rPr>
            </w:pPr>
            <w:r>
              <w:rPr>
                <w:b/>
                <w:bCs/>
                <w:color w:val="000000"/>
                <w:szCs w:val="24"/>
                <w:lang w:eastAsia="en-GB"/>
              </w:rPr>
              <w:t xml:space="preserve">Date of the </w:t>
            </w:r>
            <w:proofErr w:type="spellStart"/>
            <w:r>
              <w:rPr>
                <w:b/>
                <w:bCs/>
                <w:color w:val="000000"/>
                <w:szCs w:val="24"/>
                <w:lang w:eastAsia="en-GB"/>
              </w:rPr>
              <w:t>authorisation</w:t>
            </w:r>
            <w:proofErr w:type="spellEnd"/>
          </w:p>
        </w:tc>
        <w:tc>
          <w:tcPr>
            <w:tcW w:w="5638" w:type="dxa"/>
            <w:gridSpan w:val="2"/>
            <w:tcBorders>
              <w:top w:val="nil"/>
              <w:left w:val="single" w:sz="4" w:space="0" w:color="000000"/>
              <w:bottom w:val="single" w:sz="4" w:space="0" w:color="000000"/>
              <w:right w:val="single" w:sz="4" w:space="0" w:color="000000"/>
            </w:tcBorders>
          </w:tcPr>
          <w:p w14:paraId="142CD19F" w14:textId="51B834B9" w:rsidR="00E92982" w:rsidRDefault="00F26AF2">
            <w:pPr>
              <w:snapToGrid w:val="0"/>
              <w:rPr>
                <w:b/>
              </w:rPr>
            </w:pPr>
            <w:r>
              <w:rPr>
                <w:b/>
              </w:rPr>
              <w:t>19/06/2020</w:t>
            </w:r>
          </w:p>
        </w:tc>
      </w:tr>
      <w:tr w:rsidR="00E92982" w:rsidRPr="00E92982" w14:paraId="3461659B" w14:textId="77777777" w:rsidTr="00E92982">
        <w:tc>
          <w:tcPr>
            <w:tcW w:w="3397" w:type="dxa"/>
            <w:tcBorders>
              <w:top w:val="nil"/>
              <w:left w:val="single" w:sz="4" w:space="0" w:color="000000"/>
              <w:bottom w:val="single" w:sz="4" w:space="0" w:color="000000"/>
              <w:right w:val="nil"/>
            </w:tcBorders>
            <w:hideMark/>
          </w:tcPr>
          <w:p w14:paraId="425D5D40" w14:textId="77777777" w:rsidR="00E92982" w:rsidRDefault="00E92982">
            <w:pPr>
              <w:rPr>
                <w:b/>
              </w:rPr>
            </w:pPr>
            <w:r>
              <w:rPr>
                <w:b/>
                <w:bCs/>
                <w:color w:val="000000"/>
                <w:szCs w:val="24"/>
                <w:lang w:eastAsia="en-GB"/>
              </w:rPr>
              <w:t xml:space="preserve">Expiry date of the </w:t>
            </w:r>
            <w:proofErr w:type="spellStart"/>
            <w:r>
              <w:rPr>
                <w:b/>
                <w:bCs/>
                <w:color w:val="000000"/>
                <w:szCs w:val="24"/>
                <w:lang w:eastAsia="en-GB"/>
              </w:rPr>
              <w:t>authorisation</w:t>
            </w:r>
            <w:proofErr w:type="spellEnd"/>
          </w:p>
        </w:tc>
        <w:tc>
          <w:tcPr>
            <w:tcW w:w="5638" w:type="dxa"/>
            <w:gridSpan w:val="2"/>
            <w:tcBorders>
              <w:top w:val="nil"/>
              <w:left w:val="single" w:sz="4" w:space="0" w:color="000000"/>
              <w:bottom w:val="single" w:sz="4" w:space="0" w:color="000000"/>
              <w:right w:val="single" w:sz="4" w:space="0" w:color="000000"/>
            </w:tcBorders>
          </w:tcPr>
          <w:p w14:paraId="12CF439C" w14:textId="566BBD3C" w:rsidR="00E92982" w:rsidRDefault="00F26AF2">
            <w:pPr>
              <w:snapToGrid w:val="0"/>
              <w:rPr>
                <w:b/>
              </w:rPr>
            </w:pPr>
            <w:r>
              <w:rPr>
                <w:b/>
              </w:rPr>
              <w:t>16/05/2027</w:t>
            </w:r>
          </w:p>
        </w:tc>
      </w:tr>
    </w:tbl>
    <w:p w14:paraId="1783AC0D" w14:textId="77777777" w:rsidR="00E92982" w:rsidRDefault="00E92982" w:rsidP="00534A29">
      <w:pPr>
        <w:pStyle w:val="Titre4"/>
        <w:numPr>
          <w:ilvl w:val="3"/>
          <w:numId w:val="42"/>
        </w:numPr>
        <w:tabs>
          <w:tab w:val="num" w:pos="0"/>
        </w:tabs>
        <w:suppressAutoHyphens/>
        <w:rPr>
          <w:rFonts w:cs="Verdana"/>
          <w:b/>
          <w:bCs/>
          <w:color w:val="000000"/>
          <w:sz w:val="22"/>
          <w:lang w:val="de-DE" w:eastAsia="en-GB"/>
        </w:rPr>
      </w:pPr>
      <w:bookmarkStart w:id="32" w:name="_Toc2155624"/>
      <w:bookmarkStart w:id="33" w:name="d0e146"/>
      <w:r>
        <w:t>Manufacturer(s) of the products</w:t>
      </w:r>
      <w:bookmarkEnd w:id="32"/>
      <w:r>
        <w:t xml:space="preserve"> </w:t>
      </w:r>
      <w:bookmarkEnd w:id="33"/>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1045BE" w14:paraId="333AD16B" w14:textId="77777777" w:rsidTr="00E92982">
        <w:tc>
          <w:tcPr>
            <w:tcW w:w="3397" w:type="dxa"/>
            <w:tcBorders>
              <w:top w:val="single" w:sz="4" w:space="0" w:color="000000"/>
              <w:left w:val="single" w:sz="4" w:space="0" w:color="000000"/>
              <w:bottom w:val="single" w:sz="4" w:space="0" w:color="000000"/>
              <w:right w:val="nil"/>
            </w:tcBorders>
            <w:hideMark/>
          </w:tcPr>
          <w:p w14:paraId="316C1FCD" w14:textId="77777777" w:rsidR="001045BE" w:rsidRDefault="001045BE" w:rsidP="001045BE">
            <w:pPr>
              <w:rPr>
                <w:b/>
                <w:lang w:eastAsia="zh-CN"/>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tcPr>
          <w:p w14:paraId="1C0CD457" w14:textId="6A14C14F" w:rsidR="001045BE" w:rsidRDefault="001045BE" w:rsidP="001045BE">
            <w:pPr>
              <w:snapToGrid w:val="0"/>
              <w:rPr>
                <w:b/>
              </w:rPr>
            </w:pPr>
            <w:r>
              <w:t xml:space="preserve">FCA Fabrication </w:t>
            </w:r>
            <w:proofErr w:type="spellStart"/>
            <w:r>
              <w:t>Chimique</w:t>
            </w:r>
            <w:proofErr w:type="spellEnd"/>
            <w:r>
              <w:t xml:space="preserve"> </w:t>
            </w:r>
            <w:proofErr w:type="spellStart"/>
            <w:r>
              <w:t>Ardéchoise</w:t>
            </w:r>
            <w:proofErr w:type="spellEnd"/>
          </w:p>
        </w:tc>
      </w:tr>
      <w:tr w:rsidR="001045BE" w:rsidRPr="004C5A26" w14:paraId="2C76B54A" w14:textId="77777777" w:rsidTr="00E92982">
        <w:tc>
          <w:tcPr>
            <w:tcW w:w="3397" w:type="dxa"/>
            <w:tcBorders>
              <w:top w:val="nil"/>
              <w:left w:val="single" w:sz="4" w:space="0" w:color="000000"/>
              <w:bottom w:val="single" w:sz="4" w:space="0" w:color="000000"/>
              <w:right w:val="nil"/>
            </w:tcBorders>
            <w:hideMark/>
          </w:tcPr>
          <w:p w14:paraId="7280B81B" w14:textId="77777777" w:rsidR="001045BE" w:rsidRDefault="001045BE" w:rsidP="001045BE">
            <w:pPr>
              <w:rPr>
                <w:b/>
              </w:rPr>
            </w:pPr>
            <w:r>
              <w:rPr>
                <w:b/>
                <w:bCs/>
                <w:color w:val="000000"/>
                <w:szCs w:val="24"/>
                <w:lang w:eastAsia="en-GB"/>
              </w:rPr>
              <w:t>Address of manufacturer</w:t>
            </w:r>
          </w:p>
        </w:tc>
        <w:tc>
          <w:tcPr>
            <w:tcW w:w="5638" w:type="dxa"/>
            <w:tcBorders>
              <w:top w:val="nil"/>
              <w:left w:val="single" w:sz="4" w:space="0" w:color="000000"/>
              <w:bottom w:val="single" w:sz="4" w:space="0" w:color="000000"/>
              <w:right w:val="single" w:sz="4" w:space="0" w:color="000000"/>
            </w:tcBorders>
          </w:tcPr>
          <w:p w14:paraId="4F23D387" w14:textId="3948EB10" w:rsidR="001045BE" w:rsidRPr="009609F5" w:rsidRDefault="001045BE" w:rsidP="001045BE">
            <w:pPr>
              <w:snapToGrid w:val="0"/>
              <w:rPr>
                <w:b/>
                <w:lang w:val="fr-FR"/>
              </w:rPr>
            </w:pPr>
            <w:r w:rsidRPr="009609F5">
              <w:rPr>
                <w:lang w:val="fr-FR"/>
              </w:rPr>
              <w:t xml:space="preserve">Les îles </w:t>
            </w:r>
            <w:proofErr w:type="spellStart"/>
            <w:r w:rsidRPr="009609F5">
              <w:rPr>
                <w:lang w:val="fr-FR"/>
              </w:rPr>
              <w:t>Ferays</w:t>
            </w:r>
            <w:proofErr w:type="spellEnd"/>
            <w:r w:rsidRPr="009609F5">
              <w:rPr>
                <w:lang w:val="fr-FR"/>
              </w:rPr>
              <w:t>, 07300 Tournon-sur-Rhône France</w:t>
            </w:r>
          </w:p>
        </w:tc>
      </w:tr>
      <w:tr w:rsidR="001045BE" w:rsidRPr="004C5A26" w14:paraId="4851E52C" w14:textId="77777777" w:rsidTr="00E92982">
        <w:tc>
          <w:tcPr>
            <w:tcW w:w="3397" w:type="dxa"/>
            <w:tcBorders>
              <w:top w:val="nil"/>
              <w:left w:val="single" w:sz="4" w:space="0" w:color="000000"/>
              <w:bottom w:val="single" w:sz="4" w:space="0" w:color="000000"/>
              <w:right w:val="nil"/>
            </w:tcBorders>
            <w:hideMark/>
          </w:tcPr>
          <w:p w14:paraId="6115AA27" w14:textId="77777777" w:rsidR="001045BE" w:rsidRDefault="001045BE" w:rsidP="001045BE">
            <w:pPr>
              <w:rPr>
                <w:b/>
              </w:rPr>
            </w:pPr>
            <w:r>
              <w:rPr>
                <w:b/>
                <w:bCs/>
                <w:color w:val="000000"/>
                <w:szCs w:val="24"/>
                <w:lang w:eastAsia="en-GB"/>
              </w:rPr>
              <w:t>Location of manufacturing sites</w:t>
            </w:r>
          </w:p>
        </w:tc>
        <w:tc>
          <w:tcPr>
            <w:tcW w:w="5638" w:type="dxa"/>
            <w:tcBorders>
              <w:top w:val="nil"/>
              <w:left w:val="single" w:sz="4" w:space="0" w:color="000000"/>
              <w:bottom w:val="single" w:sz="4" w:space="0" w:color="000000"/>
              <w:right w:val="single" w:sz="4" w:space="0" w:color="000000"/>
            </w:tcBorders>
          </w:tcPr>
          <w:p w14:paraId="172D84F2" w14:textId="3D6E85DA" w:rsidR="001045BE" w:rsidRPr="009609F5" w:rsidRDefault="001045BE" w:rsidP="001045BE">
            <w:pPr>
              <w:snapToGrid w:val="0"/>
              <w:rPr>
                <w:b/>
                <w:lang w:val="fr-FR"/>
              </w:rPr>
            </w:pPr>
            <w:r w:rsidRPr="009609F5">
              <w:rPr>
                <w:lang w:val="fr-FR"/>
              </w:rPr>
              <w:t xml:space="preserve">Les îles </w:t>
            </w:r>
            <w:proofErr w:type="spellStart"/>
            <w:r w:rsidRPr="009609F5">
              <w:rPr>
                <w:lang w:val="fr-FR"/>
              </w:rPr>
              <w:t>Ferays</w:t>
            </w:r>
            <w:proofErr w:type="spellEnd"/>
            <w:r w:rsidRPr="009609F5">
              <w:rPr>
                <w:lang w:val="fr-FR"/>
              </w:rPr>
              <w:t>, 07300 Tournon-sur-Rhône France</w:t>
            </w:r>
          </w:p>
        </w:tc>
      </w:tr>
    </w:tbl>
    <w:p w14:paraId="08D197BD" w14:textId="77777777" w:rsidR="00E92982" w:rsidRDefault="00E92982" w:rsidP="00534A29">
      <w:pPr>
        <w:pStyle w:val="Titre4"/>
        <w:numPr>
          <w:ilvl w:val="3"/>
          <w:numId w:val="42"/>
        </w:numPr>
        <w:tabs>
          <w:tab w:val="num" w:pos="0"/>
        </w:tabs>
        <w:suppressAutoHyphens/>
        <w:rPr>
          <w:rFonts w:cs="Verdana"/>
          <w:b/>
          <w:bCs/>
          <w:color w:val="000000"/>
          <w:sz w:val="22"/>
          <w:lang w:val="de-DE" w:eastAsia="en-GB"/>
        </w:rPr>
      </w:pPr>
      <w:bookmarkStart w:id="34" w:name="_Toc2155625"/>
      <w:r>
        <w:t>Manufacturer(s) of the active substance(s)</w:t>
      </w:r>
      <w:bookmarkEnd w:id="34"/>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1045BE" w14:paraId="7944E3C9" w14:textId="77777777" w:rsidTr="00E92982">
        <w:tc>
          <w:tcPr>
            <w:tcW w:w="3397" w:type="dxa"/>
            <w:tcBorders>
              <w:top w:val="single" w:sz="4" w:space="0" w:color="000000"/>
              <w:left w:val="single" w:sz="4" w:space="0" w:color="000000"/>
              <w:bottom w:val="single" w:sz="4" w:space="0" w:color="000000"/>
              <w:right w:val="nil"/>
            </w:tcBorders>
            <w:hideMark/>
          </w:tcPr>
          <w:p w14:paraId="6BB6DD76" w14:textId="77777777" w:rsidR="001045BE" w:rsidRDefault="001045BE" w:rsidP="001045BE">
            <w:pPr>
              <w:rPr>
                <w:b/>
                <w:lang w:eastAsia="zh-CN"/>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tcPr>
          <w:p w14:paraId="615AF3B9" w14:textId="615B912B" w:rsidR="001045BE" w:rsidRDefault="001045BE" w:rsidP="001045BE">
            <w:pPr>
              <w:snapToGrid w:val="0"/>
              <w:rPr>
                <w:b/>
              </w:rPr>
            </w:pPr>
            <w:r>
              <w:t xml:space="preserve">Ethyl </w:t>
            </w:r>
            <w:proofErr w:type="spellStart"/>
            <w:r>
              <w:t>butylacetylaminopropionate</w:t>
            </w:r>
            <w:proofErr w:type="spellEnd"/>
          </w:p>
        </w:tc>
      </w:tr>
      <w:tr w:rsidR="001045BE" w14:paraId="73839831" w14:textId="77777777" w:rsidTr="00E92982">
        <w:tc>
          <w:tcPr>
            <w:tcW w:w="3397" w:type="dxa"/>
            <w:tcBorders>
              <w:top w:val="nil"/>
              <w:left w:val="single" w:sz="4" w:space="0" w:color="000000"/>
              <w:bottom w:val="single" w:sz="4" w:space="0" w:color="000000"/>
              <w:right w:val="nil"/>
            </w:tcBorders>
            <w:hideMark/>
          </w:tcPr>
          <w:p w14:paraId="62E37F38" w14:textId="77777777" w:rsidR="001045BE" w:rsidRDefault="001045BE" w:rsidP="001045BE">
            <w:pPr>
              <w:rPr>
                <w:b/>
              </w:rPr>
            </w:pPr>
            <w:r>
              <w:rPr>
                <w:b/>
                <w:bCs/>
                <w:color w:val="000000"/>
                <w:szCs w:val="24"/>
                <w:lang w:eastAsia="en-GB"/>
              </w:rPr>
              <w:t>Name of manufacturer</w:t>
            </w:r>
          </w:p>
        </w:tc>
        <w:tc>
          <w:tcPr>
            <w:tcW w:w="5638" w:type="dxa"/>
            <w:tcBorders>
              <w:top w:val="nil"/>
              <w:left w:val="single" w:sz="4" w:space="0" w:color="000000"/>
              <w:bottom w:val="single" w:sz="4" w:space="0" w:color="000000"/>
              <w:right w:val="single" w:sz="4" w:space="0" w:color="000000"/>
            </w:tcBorders>
          </w:tcPr>
          <w:p w14:paraId="4C946215" w14:textId="10DCF9AA" w:rsidR="001045BE" w:rsidRDefault="001045BE" w:rsidP="001045BE">
            <w:pPr>
              <w:snapToGrid w:val="0"/>
              <w:rPr>
                <w:b/>
              </w:rPr>
            </w:pPr>
            <w:r>
              <w:t>Merck S.L.U.</w:t>
            </w:r>
          </w:p>
        </w:tc>
      </w:tr>
      <w:tr w:rsidR="001045BE" w14:paraId="4D7E875E" w14:textId="77777777" w:rsidTr="00E92982">
        <w:tc>
          <w:tcPr>
            <w:tcW w:w="3397" w:type="dxa"/>
            <w:tcBorders>
              <w:top w:val="nil"/>
              <w:left w:val="single" w:sz="4" w:space="0" w:color="000000"/>
              <w:bottom w:val="single" w:sz="4" w:space="0" w:color="000000"/>
              <w:right w:val="nil"/>
            </w:tcBorders>
            <w:hideMark/>
          </w:tcPr>
          <w:p w14:paraId="1A728477" w14:textId="77777777" w:rsidR="001045BE" w:rsidRDefault="001045BE" w:rsidP="001045BE">
            <w:pPr>
              <w:rPr>
                <w:b/>
              </w:rPr>
            </w:pPr>
            <w:r>
              <w:rPr>
                <w:b/>
                <w:bCs/>
                <w:color w:val="000000"/>
                <w:szCs w:val="24"/>
                <w:lang w:eastAsia="en-GB"/>
              </w:rPr>
              <w:t>Address of manufacturer</w:t>
            </w:r>
          </w:p>
        </w:tc>
        <w:tc>
          <w:tcPr>
            <w:tcW w:w="5638" w:type="dxa"/>
            <w:tcBorders>
              <w:top w:val="nil"/>
              <w:left w:val="single" w:sz="4" w:space="0" w:color="000000"/>
              <w:bottom w:val="single" w:sz="4" w:space="0" w:color="000000"/>
              <w:right w:val="single" w:sz="4" w:space="0" w:color="000000"/>
            </w:tcBorders>
          </w:tcPr>
          <w:p w14:paraId="36509C07" w14:textId="08629679" w:rsidR="001045BE" w:rsidRDefault="001045BE" w:rsidP="001045BE">
            <w:pPr>
              <w:snapToGrid w:val="0"/>
              <w:rPr>
                <w:b/>
              </w:rPr>
            </w:pPr>
            <w:proofErr w:type="spellStart"/>
            <w:r>
              <w:t>Calle</w:t>
            </w:r>
            <w:proofErr w:type="spellEnd"/>
            <w:r>
              <w:t xml:space="preserve"> Maria de Molina, 40, 28006 Madrid Spain</w:t>
            </w:r>
          </w:p>
        </w:tc>
      </w:tr>
      <w:tr w:rsidR="001045BE" w:rsidRPr="004C5A26" w14:paraId="15F699B6" w14:textId="77777777" w:rsidTr="00E92982">
        <w:tc>
          <w:tcPr>
            <w:tcW w:w="3397" w:type="dxa"/>
            <w:tcBorders>
              <w:top w:val="nil"/>
              <w:left w:val="single" w:sz="4" w:space="0" w:color="000000"/>
              <w:bottom w:val="single" w:sz="4" w:space="0" w:color="000000"/>
              <w:right w:val="nil"/>
            </w:tcBorders>
            <w:hideMark/>
          </w:tcPr>
          <w:p w14:paraId="0A1BFE4A" w14:textId="77777777" w:rsidR="001045BE" w:rsidRDefault="001045BE" w:rsidP="001045BE">
            <w:pPr>
              <w:rPr>
                <w:b/>
              </w:rPr>
            </w:pPr>
            <w:r>
              <w:rPr>
                <w:b/>
                <w:bCs/>
                <w:color w:val="000000"/>
                <w:szCs w:val="24"/>
                <w:lang w:eastAsia="en-GB"/>
              </w:rPr>
              <w:t>Location of manufacturing sites</w:t>
            </w:r>
          </w:p>
        </w:tc>
        <w:tc>
          <w:tcPr>
            <w:tcW w:w="5638" w:type="dxa"/>
            <w:tcBorders>
              <w:top w:val="nil"/>
              <w:left w:val="single" w:sz="4" w:space="0" w:color="000000"/>
              <w:bottom w:val="single" w:sz="4" w:space="0" w:color="000000"/>
              <w:right w:val="single" w:sz="4" w:space="0" w:color="000000"/>
            </w:tcBorders>
          </w:tcPr>
          <w:p w14:paraId="6EF707E4" w14:textId="49335DC6" w:rsidR="001045BE" w:rsidRPr="009609F5" w:rsidRDefault="001045BE" w:rsidP="001045BE">
            <w:pPr>
              <w:snapToGrid w:val="0"/>
              <w:rPr>
                <w:b/>
                <w:lang w:val="fr-FR"/>
              </w:rPr>
            </w:pPr>
            <w:proofErr w:type="spellStart"/>
            <w:r w:rsidRPr="009609F5">
              <w:rPr>
                <w:lang w:val="fr-FR"/>
              </w:rPr>
              <w:t>Polígono</w:t>
            </w:r>
            <w:proofErr w:type="spellEnd"/>
            <w:r w:rsidRPr="009609F5">
              <w:rPr>
                <w:lang w:val="fr-FR"/>
              </w:rPr>
              <w:t xml:space="preserve"> </w:t>
            </w:r>
            <w:proofErr w:type="spellStart"/>
            <w:r w:rsidRPr="009609F5">
              <w:rPr>
                <w:lang w:val="fr-FR"/>
              </w:rPr>
              <w:t>Merck</w:t>
            </w:r>
            <w:proofErr w:type="spellEnd"/>
            <w:r w:rsidRPr="009609F5">
              <w:rPr>
                <w:lang w:val="fr-FR"/>
              </w:rPr>
              <w:t xml:space="preserve">, 08100 Mollet de </w:t>
            </w:r>
            <w:proofErr w:type="spellStart"/>
            <w:r w:rsidRPr="009609F5">
              <w:rPr>
                <w:lang w:val="fr-FR"/>
              </w:rPr>
              <w:t>Vallés</w:t>
            </w:r>
            <w:proofErr w:type="spellEnd"/>
            <w:r w:rsidRPr="009609F5">
              <w:rPr>
                <w:lang w:val="fr-FR"/>
              </w:rPr>
              <w:t>, Barcelone Spain</w:t>
            </w:r>
          </w:p>
        </w:tc>
      </w:tr>
    </w:tbl>
    <w:p w14:paraId="3073938A" w14:textId="0C973FB9" w:rsidR="001045BE" w:rsidRPr="009609F5" w:rsidRDefault="001045BE" w:rsidP="00E92982">
      <w:pPr>
        <w:rPr>
          <w:lang w:val="fr-FR"/>
        </w:rPr>
      </w:pPr>
    </w:p>
    <w:p w14:paraId="21745215" w14:textId="491F7C60" w:rsidR="001045BE" w:rsidRPr="009609F5" w:rsidRDefault="001045BE" w:rsidP="009609F5">
      <w:pPr>
        <w:tabs>
          <w:tab w:val="left" w:pos="1170"/>
        </w:tabs>
        <w:rPr>
          <w:lang w:val="fr-FR"/>
        </w:rPr>
      </w:pPr>
    </w:p>
    <w:tbl>
      <w:tblPr>
        <w:tblW w:w="0" w:type="auto"/>
        <w:tblInd w:w="5" w:type="dxa"/>
        <w:tblLayout w:type="fixed"/>
        <w:tblCellMar>
          <w:left w:w="0" w:type="dxa"/>
          <w:right w:w="0" w:type="dxa"/>
        </w:tblCellMar>
        <w:tblLook w:val="04A0" w:firstRow="1" w:lastRow="0" w:firstColumn="1" w:lastColumn="0" w:noHBand="0" w:noVBand="1"/>
      </w:tblPr>
      <w:tblGrid>
        <w:gridCol w:w="3397"/>
        <w:gridCol w:w="5638"/>
      </w:tblGrid>
      <w:tr w:rsidR="001045BE" w14:paraId="784CBDE9" w14:textId="77777777" w:rsidTr="009609F5">
        <w:tc>
          <w:tcPr>
            <w:tcW w:w="3397" w:type="dxa"/>
            <w:tcBorders>
              <w:top w:val="single" w:sz="4" w:space="0" w:color="000000"/>
              <w:left w:val="single" w:sz="4" w:space="0" w:color="000000"/>
              <w:bottom w:val="single" w:sz="4" w:space="0" w:color="000000"/>
              <w:right w:val="nil"/>
            </w:tcBorders>
            <w:hideMark/>
          </w:tcPr>
          <w:p w14:paraId="7240F8AE" w14:textId="77777777" w:rsidR="001045BE" w:rsidRDefault="001045BE" w:rsidP="001045BE">
            <w:pPr>
              <w:rPr>
                <w:b/>
                <w:lang w:eastAsia="zh-CN"/>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tcPr>
          <w:p w14:paraId="41912532" w14:textId="4D31BEA5" w:rsidR="001045BE" w:rsidRDefault="001045BE" w:rsidP="001045BE">
            <w:pPr>
              <w:snapToGrid w:val="0"/>
              <w:rPr>
                <w:b/>
              </w:rPr>
            </w:pPr>
            <w:r>
              <w:t xml:space="preserve">Ethyl </w:t>
            </w:r>
            <w:proofErr w:type="spellStart"/>
            <w:r>
              <w:t>butylacetylaminopropionate</w:t>
            </w:r>
            <w:proofErr w:type="spellEnd"/>
          </w:p>
        </w:tc>
      </w:tr>
      <w:tr w:rsidR="001045BE" w14:paraId="7C705259" w14:textId="77777777" w:rsidTr="009609F5">
        <w:tc>
          <w:tcPr>
            <w:tcW w:w="3397" w:type="dxa"/>
            <w:tcBorders>
              <w:top w:val="nil"/>
              <w:left w:val="single" w:sz="4" w:space="0" w:color="000000"/>
              <w:bottom w:val="single" w:sz="4" w:space="0" w:color="000000"/>
              <w:right w:val="nil"/>
            </w:tcBorders>
            <w:hideMark/>
          </w:tcPr>
          <w:p w14:paraId="331E902D" w14:textId="77777777" w:rsidR="001045BE" w:rsidRDefault="001045BE" w:rsidP="001045BE">
            <w:pPr>
              <w:rPr>
                <w:b/>
              </w:rPr>
            </w:pPr>
            <w:r>
              <w:rPr>
                <w:b/>
                <w:bCs/>
                <w:color w:val="000000"/>
                <w:szCs w:val="24"/>
                <w:lang w:eastAsia="en-GB"/>
              </w:rPr>
              <w:t>Name of manufacturer</w:t>
            </w:r>
          </w:p>
        </w:tc>
        <w:tc>
          <w:tcPr>
            <w:tcW w:w="5638" w:type="dxa"/>
            <w:tcBorders>
              <w:top w:val="nil"/>
              <w:left w:val="single" w:sz="4" w:space="0" w:color="000000"/>
              <w:bottom w:val="single" w:sz="4" w:space="0" w:color="000000"/>
              <w:right w:val="single" w:sz="4" w:space="0" w:color="000000"/>
            </w:tcBorders>
          </w:tcPr>
          <w:p w14:paraId="368DE3FE" w14:textId="086B8E65" w:rsidR="001045BE" w:rsidRDefault="001045BE" w:rsidP="001045BE">
            <w:pPr>
              <w:snapToGrid w:val="0"/>
              <w:rPr>
                <w:b/>
              </w:rPr>
            </w:pPr>
            <w:r>
              <w:t xml:space="preserve">Merck </w:t>
            </w:r>
            <w:proofErr w:type="spellStart"/>
            <w:r>
              <w:t>KGaA</w:t>
            </w:r>
            <w:proofErr w:type="spellEnd"/>
          </w:p>
        </w:tc>
      </w:tr>
      <w:tr w:rsidR="001045BE" w14:paraId="6D6DF12A" w14:textId="77777777" w:rsidTr="009609F5">
        <w:tc>
          <w:tcPr>
            <w:tcW w:w="3397" w:type="dxa"/>
            <w:tcBorders>
              <w:top w:val="nil"/>
              <w:left w:val="single" w:sz="4" w:space="0" w:color="000000"/>
              <w:bottom w:val="single" w:sz="4" w:space="0" w:color="000000"/>
              <w:right w:val="nil"/>
            </w:tcBorders>
            <w:hideMark/>
          </w:tcPr>
          <w:p w14:paraId="7C1420AE" w14:textId="77777777" w:rsidR="001045BE" w:rsidRDefault="001045BE" w:rsidP="001045BE">
            <w:pPr>
              <w:rPr>
                <w:b/>
              </w:rPr>
            </w:pPr>
            <w:r>
              <w:rPr>
                <w:b/>
                <w:bCs/>
                <w:color w:val="000000"/>
                <w:szCs w:val="24"/>
                <w:lang w:eastAsia="en-GB"/>
              </w:rPr>
              <w:t>Address of manufacturer</w:t>
            </w:r>
          </w:p>
        </w:tc>
        <w:tc>
          <w:tcPr>
            <w:tcW w:w="5638" w:type="dxa"/>
            <w:tcBorders>
              <w:top w:val="nil"/>
              <w:left w:val="single" w:sz="4" w:space="0" w:color="000000"/>
              <w:bottom w:val="single" w:sz="4" w:space="0" w:color="000000"/>
              <w:right w:val="single" w:sz="4" w:space="0" w:color="000000"/>
            </w:tcBorders>
          </w:tcPr>
          <w:p w14:paraId="2B36B942" w14:textId="214272FD" w:rsidR="001045BE" w:rsidRDefault="001045BE" w:rsidP="001045BE">
            <w:pPr>
              <w:snapToGrid w:val="0"/>
              <w:rPr>
                <w:b/>
              </w:rPr>
            </w:pPr>
            <w:r>
              <w:t xml:space="preserve">Frankfurter </w:t>
            </w:r>
            <w:proofErr w:type="spellStart"/>
            <w:r>
              <w:t>Straße</w:t>
            </w:r>
            <w:proofErr w:type="spellEnd"/>
            <w:r>
              <w:t xml:space="preserve"> 250, 64293 Darmstadt Germany</w:t>
            </w:r>
          </w:p>
        </w:tc>
      </w:tr>
      <w:tr w:rsidR="001045BE" w14:paraId="04BA5D3A" w14:textId="77777777" w:rsidTr="009609F5">
        <w:tc>
          <w:tcPr>
            <w:tcW w:w="3397" w:type="dxa"/>
            <w:tcBorders>
              <w:top w:val="nil"/>
              <w:left w:val="single" w:sz="4" w:space="0" w:color="000000"/>
              <w:bottom w:val="single" w:sz="4" w:space="0" w:color="000000"/>
              <w:right w:val="nil"/>
            </w:tcBorders>
            <w:hideMark/>
          </w:tcPr>
          <w:p w14:paraId="2DC9D072" w14:textId="77777777" w:rsidR="001045BE" w:rsidRDefault="001045BE" w:rsidP="001045BE">
            <w:pPr>
              <w:rPr>
                <w:b/>
              </w:rPr>
            </w:pPr>
            <w:r>
              <w:rPr>
                <w:b/>
                <w:bCs/>
                <w:color w:val="000000"/>
                <w:szCs w:val="24"/>
                <w:lang w:eastAsia="en-GB"/>
              </w:rPr>
              <w:lastRenderedPageBreak/>
              <w:t>Location of manufacturing sites</w:t>
            </w:r>
          </w:p>
        </w:tc>
        <w:tc>
          <w:tcPr>
            <w:tcW w:w="5638" w:type="dxa"/>
            <w:tcBorders>
              <w:top w:val="nil"/>
              <w:left w:val="single" w:sz="4" w:space="0" w:color="000000"/>
              <w:bottom w:val="single" w:sz="4" w:space="0" w:color="000000"/>
              <w:right w:val="single" w:sz="4" w:space="0" w:color="000000"/>
            </w:tcBorders>
          </w:tcPr>
          <w:p w14:paraId="324E6661" w14:textId="0D421387" w:rsidR="001045BE" w:rsidRDefault="001045BE" w:rsidP="001045BE">
            <w:pPr>
              <w:snapToGrid w:val="0"/>
              <w:rPr>
                <w:b/>
              </w:rPr>
            </w:pPr>
            <w:proofErr w:type="spellStart"/>
            <w:r>
              <w:t>Polígono</w:t>
            </w:r>
            <w:proofErr w:type="spellEnd"/>
            <w:r>
              <w:t xml:space="preserve"> Merck, 08100 </w:t>
            </w:r>
            <w:proofErr w:type="spellStart"/>
            <w:r>
              <w:t>Mollet</w:t>
            </w:r>
            <w:proofErr w:type="spellEnd"/>
            <w:r>
              <w:t xml:space="preserve"> del </w:t>
            </w:r>
            <w:proofErr w:type="spellStart"/>
            <w:r>
              <w:t>Vallés</w:t>
            </w:r>
            <w:proofErr w:type="spellEnd"/>
            <w:r>
              <w:t xml:space="preserve">, </w:t>
            </w:r>
            <w:proofErr w:type="spellStart"/>
            <w:r>
              <w:t>Barcelone</w:t>
            </w:r>
            <w:proofErr w:type="spellEnd"/>
            <w:r>
              <w:t xml:space="preserve"> Spain</w:t>
            </w:r>
          </w:p>
        </w:tc>
      </w:tr>
    </w:tbl>
    <w:p w14:paraId="57F3523B" w14:textId="77777777" w:rsidR="001045BE" w:rsidRDefault="001045BE" w:rsidP="009609F5">
      <w:pPr>
        <w:tabs>
          <w:tab w:val="left" w:pos="1170"/>
        </w:tabs>
      </w:pPr>
    </w:p>
    <w:p w14:paraId="5CEFE65B" w14:textId="11A73868" w:rsidR="00E92982" w:rsidRDefault="00590721" w:rsidP="00534A29">
      <w:pPr>
        <w:pStyle w:val="Titre3"/>
        <w:numPr>
          <w:ilvl w:val="2"/>
          <w:numId w:val="42"/>
        </w:numPr>
        <w:tabs>
          <w:tab w:val="num" w:pos="0"/>
          <w:tab w:val="num" w:pos="284"/>
        </w:tabs>
        <w:suppressAutoHyphens/>
        <w:spacing w:before="0"/>
        <w:ind w:left="720"/>
        <w:rPr>
          <w:rFonts w:cs="Verdana"/>
          <w:sz w:val="22"/>
          <w:lang w:val="de-DE"/>
        </w:rPr>
      </w:pPr>
      <w:bookmarkStart w:id="35" w:name="_Toc2155626"/>
      <w:r>
        <w:rPr>
          <w:b w:val="0"/>
        </w:rPr>
        <w:t>P</w:t>
      </w:r>
      <w:r w:rsidR="00E92982">
        <w:rPr>
          <w:b w:val="0"/>
        </w:rPr>
        <w:t>roduct composition and formulation</w:t>
      </w:r>
      <w:bookmarkEnd w:id="35"/>
    </w:p>
    <w:bookmarkEnd w:id="30"/>
    <w:p w14:paraId="7A650700" w14:textId="77777777" w:rsidR="00E92982" w:rsidRDefault="00E92982" w:rsidP="00E92982">
      <w:pPr>
        <w:spacing w:line="260" w:lineRule="atLeast"/>
      </w:pPr>
      <w:r>
        <w:t>NB: the full composition of the product according to Annex III Title 1 should be provided in the confidential annex.</w:t>
      </w:r>
    </w:p>
    <w:p w14:paraId="10CA71F4" w14:textId="77777777" w:rsidR="00E92982" w:rsidRDefault="00E92982" w:rsidP="00E92982">
      <w:pPr>
        <w:spacing w:line="260" w:lineRule="atLeast"/>
      </w:pPr>
    </w:p>
    <w:p w14:paraId="4182674C" w14:textId="77777777" w:rsidR="00E92982" w:rsidRDefault="00E92982" w:rsidP="00E92982">
      <w:pPr>
        <w:spacing w:line="260" w:lineRule="atLeast"/>
        <w:jc w:val="both"/>
      </w:pPr>
      <w:r>
        <w:t>Does the product have the same identity and composition as the product evaluated in connection with the approval for listing of the active substance(s) on the Union list of approved active substances under Regulation No. 528/2012?</w:t>
      </w:r>
    </w:p>
    <w:p w14:paraId="42C1974A" w14:textId="29D6FA59" w:rsidR="00E92982" w:rsidRDefault="00E92982" w:rsidP="00E92982">
      <w:pPr>
        <w:spacing w:line="260" w:lineRule="atLeast"/>
        <w:ind w:left="720"/>
        <w:jc w:val="both"/>
      </w:pPr>
      <w:r>
        <w:t xml:space="preserve">Yes </w:t>
      </w:r>
      <w:r>
        <w:tab/>
      </w:r>
      <w:bookmarkStart w:id="36" w:name="__Fieldmark__1124_528645922"/>
      <w:r>
        <w:fldChar w:fldCharType="begin">
          <w:ffData>
            <w:name w:val=""/>
            <w:enabled/>
            <w:calcOnExit w:val="0"/>
            <w:checkBox>
              <w:sizeAuto/>
              <w:default w:val="0"/>
              <w:checked w:val="0"/>
            </w:checkBox>
          </w:ffData>
        </w:fldChar>
      </w:r>
      <w:r>
        <w:instrText xml:space="preserve"> FORMCHECKBOX </w:instrText>
      </w:r>
      <w:r w:rsidR="00F26AF2">
        <w:fldChar w:fldCharType="separate"/>
      </w:r>
      <w:r>
        <w:fldChar w:fldCharType="end"/>
      </w:r>
      <w:bookmarkEnd w:id="36"/>
    </w:p>
    <w:p w14:paraId="17D5D311" w14:textId="302E6F45" w:rsidR="00E92982" w:rsidRDefault="00E92982" w:rsidP="00E92982">
      <w:pPr>
        <w:spacing w:line="260" w:lineRule="atLeast"/>
        <w:ind w:left="720"/>
        <w:jc w:val="both"/>
        <w:rPr>
          <w:rFonts w:eastAsia="Times New Roman"/>
          <w:lang w:eastAsia="zh-CN"/>
        </w:rPr>
      </w:pPr>
      <w:r>
        <w:t xml:space="preserve">No </w:t>
      </w:r>
      <w:r>
        <w:tab/>
      </w:r>
      <w:r w:rsidR="001045BE">
        <w:fldChar w:fldCharType="begin">
          <w:ffData>
            <w:name w:val=""/>
            <w:enabled/>
            <w:calcOnExit w:val="0"/>
            <w:checkBox>
              <w:sizeAuto/>
              <w:default w:val="1"/>
            </w:checkBox>
          </w:ffData>
        </w:fldChar>
      </w:r>
      <w:r w:rsidR="001045BE">
        <w:instrText xml:space="preserve"> FORMCHECKBOX </w:instrText>
      </w:r>
      <w:r w:rsidR="00F26AF2">
        <w:fldChar w:fldCharType="separate"/>
      </w:r>
      <w:r w:rsidR="001045BE">
        <w:fldChar w:fldCharType="end"/>
      </w:r>
    </w:p>
    <w:p w14:paraId="010EFD36" w14:textId="22F24711" w:rsidR="00E92982" w:rsidRDefault="00E92982" w:rsidP="00534A29">
      <w:pPr>
        <w:pStyle w:val="Titre4"/>
        <w:numPr>
          <w:ilvl w:val="3"/>
          <w:numId w:val="42"/>
        </w:numPr>
        <w:tabs>
          <w:tab w:val="num" w:pos="0"/>
        </w:tabs>
        <w:suppressAutoHyphens/>
        <w:rPr>
          <w:b/>
        </w:rPr>
      </w:pPr>
      <w:bookmarkStart w:id="37" w:name="_Toc2155627"/>
      <w:r>
        <w:t>Identity of the active substance</w:t>
      </w:r>
      <w:bookmarkEnd w:id="37"/>
    </w:p>
    <w:tbl>
      <w:tblPr>
        <w:tblW w:w="9440" w:type="dxa"/>
        <w:tblInd w:w="-5" w:type="dxa"/>
        <w:tblLayout w:type="fixed"/>
        <w:tblLook w:val="04A0" w:firstRow="1" w:lastRow="0" w:firstColumn="1" w:lastColumn="0" w:noHBand="0" w:noVBand="1"/>
      </w:tblPr>
      <w:tblGrid>
        <w:gridCol w:w="4077"/>
        <w:gridCol w:w="5363"/>
      </w:tblGrid>
      <w:tr w:rsidR="00E92982" w14:paraId="2D347216" w14:textId="77777777" w:rsidTr="001045BE">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37149F6A" w14:textId="77777777" w:rsidR="00E92982" w:rsidRDefault="00E92982">
            <w:pPr>
              <w:spacing w:line="260" w:lineRule="atLeast"/>
              <w:jc w:val="center"/>
              <w:rPr>
                <w:lang w:eastAsia="zh-CN"/>
              </w:rPr>
            </w:pPr>
            <w:r>
              <w:rPr>
                <w:b/>
              </w:rPr>
              <w:t>Main constituent(s)</w:t>
            </w:r>
          </w:p>
        </w:tc>
      </w:tr>
      <w:tr w:rsidR="001045BE" w14:paraId="7E5E15B7" w14:textId="77777777" w:rsidTr="001045BE">
        <w:tc>
          <w:tcPr>
            <w:tcW w:w="4077" w:type="dxa"/>
            <w:tcBorders>
              <w:top w:val="single" w:sz="4" w:space="0" w:color="000000"/>
              <w:left w:val="single" w:sz="4" w:space="0" w:color="000000"/>
              <w:bottom w:val="single" w:sz="4" w:space="0" w:color="000000"/>
              <w:right w:val="nil"/>
            </w:tcBorders>
            <w:hideMark/>
          </w:tcPr>
          <w:p w14:paraId="50098D5C" w14:textId="77777777" w:rsidR="001045BE" w:rsidRDefault="001045BE" w:rsidP="001045BE">
            <w:pPr>
              <w:spacing w:line="260" w:lineRule="atLeast"/>
              <w:rPr>
                <w:b/>
              </w:rPr>
            </w:pPr>
            <w:r>
              <w:rPr>
                <w:b/>
              </w:rPr>
              <w:t>ISO name</w:t>
            </w:r>
          </w:p>
        </w:tc>
        <w:tc>
          <w:tcPr>
            <w:tcW w:w="5363" w:type="dxa"/>
            <w:tcBorders>
              <w:top w:val="single" w:sz="4" w:space="0" w:color="000000"/>
              <w:left w:val="single" w:sz="4" w:space="0" w:color="000000"/>
              <w:bottom w:val="single" w:sz="4" w:space="0" w:color="000000"/>
              <w:right w:val="single" w:sz="4" w:space="0" w:color="000000"/>
            </w:tcBorders>
          </w:tcPr>
          <w:p w14:paraId="1980D452" w14:textId="06BFAE57" w:rsidR="001045BE" w:rsidRDefault="001045BE" w:rsidP="001045BE">
            <w:pPr>
              <w:snapToGrid w:val="0"/>
              <w:spacing w:line="260" w:lineRule="atLeast"/>
              <w:rPr>
                <w:b/>
              </w:rPr>
            </w:pPr>
            <w:r>
              <w:t>IR3535</w:t>
            </w:r>
          </w:p>
        </w:tc>
      </w:tr>
      <w:tr w:rsidR="001045BE" w14:paraId="7E70C93A" w14:textId="77777777" w:rsidTr="001045BE">
        <w:tc>
          <w:tcPr>
            <w:tcW w:w="4077" w:type="dxa"/>
            <w:tcBorders>
              <w:top w:val="single" w:sz="4" w:space="0" w:color="000000"/>
              <w:left w:val="single" w:sz="4" w:space="0" w:color="000000"/>
              <w:bottom w:val="single" w:sz="4" w:space="0" w:color="000000"/>
              <w:right w:val="nil"/>
            </w:tcBorders>
            <w:hideMark/>
          </w:tcPr>
          <w:p w14:paraId="7A741C11" w14:textId="77777777" w:rsidR="001045BE" w:rsidRDefault="001045BE" w:rsidP="001045BE">
            <w:pPr>
              <w:spacing w:line="260" w:lineRule="atLeast"/>
              <w:rPr>
                <w:b/>
              </w:rPr>
            </w:pPr>
            <w:r>
              <w:rPr>
                <w:b/>
              </w:rPr>
              <w:t>IUPAC or EC name</w:t>
            </w:r>
          </w:p>
        </w:tc>
        <w:tc>
          <w:tcPr>
            <w:tcW w:w="5363" w:type="dxa"/>
            <w:tcBorders>
              <w:top w:val="single" w:sz="4" w:space="0" w:color="000000"/>
              <w:left w:val="single" w:sz="4" w:space="0" w:color="000000"/>
              <w:bottom w:val="single" w:sz="4" w:space="0" w:color="000000"/>
              <w:right w:val="single" w:sz="4" w:space="0" w:color="000000"/>
            </w:tcBorders>
          </w:tcPr>
          <w:p w14:paraId="5365AB7D" w14:textId="028FE333" w:rsidR="001045BE" w:rsidRDefault="001045BE" w:rsidP="001045BE">
            <w:pPr>
              <w:snapToGrid w:val="0"/>
              <w:spacing w:line="260" w:lineRule="atLeast"/>
              <w:rPr>
                <w:b/>
              </w:rPr>
            </w:pPr>
            <w:r>
              <w:t xml:space="preserve">ethyl 3-[N-acetyl-N-butyl] </w:t>
            </w:r>
            <w:proofErr w:type="spellStart"/>
            <w:r>
              <w:t>aminopropionate</w:t>
            </w:r>
            <w:proofErr w:type="spellEnd"/>
          </w:p>
        </w:tc>
      </w:tr>
      <w:tr w:rsidR="001045BE" w14:paraId="0770395F" w14:textId="77777777" w:rsidTr="001045BE">
        <w:tc>
          <w:tcPr>
            <w:tcW w:w="4077" w:type="dxa"/>
            <w:tcBorders>
              <w:top w:val="single" w:sz="4" w:space="0" w:color="000000"/>
              <w:left w:val="single" w:sz="4" w:space="0" w:color="000000"/>
              <w:bottom w:val="single" w:sz="4" w:space="0" w:color="000000"/>
              <w:right w:val="nil"/>
            </w:tcBorders>
            <w:hideMark/>
          </w:tcPr>
          <w:p w14:paraId="47E4A8B6" w14:textId="77777777" w:rsidR="001045BE" w:rsidRDefault="001045BE" w:rsidP="001045BE">
            <w:pPr>
              <w:spacing w:line="260" w:lineRule="atLeast"/>
              <w:rPr>
                <w:b/>
              </w:rPr>
            </w:pPr>
            <w:r>
              <w:rPr>
                <w:b/>
              </w:rPr>
              <w:t>EC number</w:t>
            </w:r>
          </w:p>
        </w:tc>
        <w:tc>
          <w:tcPr>
            <w:tcW w:w="5363" w:type="dxa"/>
            <w:tcBorders>
              <w:top w:val="single" w:sz="4" w:space="0" w:color="000000"/>
              <w:left w:val="single" w:sz="4" w:space="0" w:color="000000"/>
              <w:bottom w:val="single" w:sz="4" w:space="0" w:color="000000"/>
              <w:right w:val="single" w:sz="4" w:space="0" w:color="000000"/>
            </w:tcBorders>
          </w:tcPr>
          <w:p w14:paraId="2A2924A9" w14:textId="650BD9B7" w:rsidR="001045BE" w:rsidRDefault="001045BE" w:rsidP="001045BE">
            <w:pPr>
              <w:snapToGrid w:val="0"/>
              <w:spacing w:line="260" w:lineRule="atLeast"/>
              <w:rPr>
                <w:b/>
              </w:rPr>
            </w:pPr>
            <w:r>
              <w:t>257-835-0</w:t>
            </w:r>
          </w:p>
        </w:tc>
      </w:tr>
      <w:tr w:rsidR="001045BE" w14:paraId="687C7C7B" w14:textId="77777777" w:rsidTr="001045BE">
        <w:tc>
          <w:tcPr>
            <w:tcW w:w="4077" w:type="dxa"/>
            <w:tcBorders>
              <w:top w:val="single" w:sz="4" w:space="0" w:color="000000"/>
              <w:left w:val="single" w:sz="4" w:space="0" w:color="000000"/>
              <w:bottom w:val="single" w:sz="4" w:space="0" w:color="000000"/>
              <w:right w:val="nil"/>
            </w:tcBorders>
            <w:hideMark/>
          </w:tcPr>
          <w:p w14:paraId="77559A0B" w14:textId="77777777" w:rsidR="001045BE" w:rsidRDefault="001045BE" w:rsidP="001045BE">
            <w:pPr>
              <w:spacing w:line="260" w:lineRule="atLeast"/>
              <w:rPr>
                <w:b/>
              </w:rPr>
            </w:pPr>
            <w:r>
              <w:rPr>
                <w:b/>
              </w:rPr>
              <w:t>CAS number</w:t>
            </w:r>
          </w:p>
        </w:tc>
        <w:tc>
          <w:tcPr>
            <w:tcW w:w="5363" w:type="dxa"/>
            <w:tcBorders>
              <w:top w:val="single" w:sz="4" w:space="0" w:color="000000"/>
              <w:left w:val="single" w:sz="4" w:space="0" w:color="000000"/>
              <w:bottom w:val="single" w:sz="4" w:space="0" w:color="000000"/>
              <w:right w:val="single" w:sz="4" w:space="0" w:color="000000"/>
            </w:tcBorders>
          </w:tcPr>
          <w:p w14:paraId="2A03A277" w14:textId="12AC388C" w:rsidR="001045BE" w:rsidRDefault="001045BE" w:rsidP="001045BE">
            <w:pPr>
              <w:snapToGrid w:val="0"/>
              <w:spacing w:line="260" w:lineRule="atLeast"/>
              <w:rPr>
                <w:b/>
              </w:rPr>
            </w:pPr>
            <w:r>
              <w:t>52304-36-6</w:t>
            </w:r>
          </w:p>
        </w:tc>
      </w:tr>
      <w:tr w:rsidR="001045BE" w:rsidRPr="00E92982" w14:paraId="537356E3" w14:textId="77777777" w:rsidTr="001045BE">
        <w:tc>
          <w:tcPr>
            <w:tcW w:w="4077" w:type="dxa"/>
            <w:tcBorders>
              <w:top w:val="single" w:sz="4" w:space="0" w:color="000000"/>
              <w:left w:val="single" w:sz="4" w:space="0" w:color="000000"/>
              <w:bottom w:val="single" w:sz="4" w:space="0" w:color="000000"/>
              <w:right w:val="nil"/>
            </w:tcBorders>
            <w:hideMark/>
          </w:tcPr>
          <w:p w14:paraId="0AC05EF1" w14:textId="77777777" w:rsidR="001045BE" w:rsidRDefault="001045BE" w:rsidP="001045BE">
            <w:pPr>
              <w:spacing w:line="260" w:lineRule="atLeast"/>
              <w:rPr>
                <w:b/>
              </w:rPr>
            </w:pPr>
            <w:r>
              <w:rPr>
                <w:b/>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tcPr>
          <w:p w14:paraId="1106F861" w14:textId="77777777" w:rsidR="001045BE" w:rsidRDefault="001045BE" w:rsidP="001045BE">
            <w:pPr>
              <w:snapToGrid w:val="0"/>
              <w:spacing w:line="260" w:lineRule="atLeast"/>
              <w:rPr>
                <w:b/>
              </w:rPr>
            </w:pPr>
          </w:p>
        </w:tc>
      </w:tr>
      <w:tr w:rsidR="001045BE" w14:paraId="5816F10E" w14:textId="77777777" w:rsidTr="001045BE">
        <w:tc>
          <w:tcPr>
            <w:tcW w:w="4077" w:type="dxa"/>
            <w:tcBorders>
              <w:top w:val="single" w:sz="4" w:space="0" w:color="000000"/>
              <w:left w:val="single" w:sz="4" w:space="0" w:color="000000"/>
              <w:bottom w:val="single" w:sz="4" w:space="0" w:color="000000"/>
              <w:right w:val="nil"/>
            </w:tcBorders>
            <w:hideMark/>
          </w:tcPr>
          <w:p w14:paraId="0AD91E68" w14:textId="77777777" w:rsidR="001045BE" w:rsidRDefault="001045BE" w:rsidP="001045BE">
            <w:pPr>
              <w:spacing w:line="260" w:lineRule="atLeast"/>
              <w:rPr>
                <w:b/>
              </w:rPr>
            </w:pPr>
            <w:r>
              <w:rPr>
                <w:b/>
              </w:rPr>
              <w:t>Minimum purity / content</w:t>
            </w:r>
          </w:p>
        </w:tc>
        <w:tc>
          <w:tcPr>
            <w:tcW w:w="5363" w:type="dxa"/>
            <w:tcBorders>
              <w:top w:val="single" w:sz="4" w:space="0" w:color="000000"/>
              <w:left w:val="single" w:sz="4" w:space="0" w:color="000000"/>
              <w:bottom w:val="single" w:sz="4" w:space="0" w:color="000000"/>
              <w:right w:val="single" w:sz="4" w:space="0" w:color="000000"/>
            </w:tcBorders>
          </w:tcPr>
          <w:p w14:paraId="46702A63" w14:textId="74020F06" w:rsidR="001045BE" w:rsidRDefault="001045BE" w:rsidP="001045BE">
            <w:pPr>
              <w:snapToGrid w:val="0"/>
              <w:spacing w:line="260" w:lineRule="atLeast"/>
              <w:rPr>
                <w:b/>
              </w:rPr>
            </w:pPr>
            <w:r>
              <w:t>≥ 99 % w/w</w:t>
            </w:r>
          </w:p>
        </w:tc>
      </w:tr>
      <w:tr w:rsidR="001045BE" w14:paraId="4F57C299" w14:textId="77777777" w:rsidTr="001045BE">
        <w:trPr>
          <w:trHeight w:val="1359"/>
        </w:trPr>
        <w:tc>
          <w:tcPr>
            <w:tcW w:w="4077" w:type="dxa"/>
            <w:tcBorders>
              <w:top w:val="single" w:sz="4" w:space="0" w:color="000000"/>
              <w:left w:val="single" w:sz="4" w:space="0" w:color="000000"/>
              <w:bottom w:val="single" w:sz="4" w:space="0" w:color="000000"/>
              <w:right w:val="nil"/>
            </w:tcBorders>
            <w:hideMark/>
          </w:tcPr>
          <w:p w14:paraId="032A7ECE" w14:textId="77777777" w:rsidR="001045BE" w:rsidRDefault="001045BE" w:rsidP="001045BE">
            <w:pPr>
              <w:spacing w:line="260" w:lineRule="atLeast"/>
              <w:rPr>
                <w:b/>
              </w:rPr>
            </w:pPr>
            <w:r>
              <w:rPr>
                <w:b/>
              </w:rPr>
              <w:t>Structural formula</w:t>
            </w:r>
          </w:p>
        </w:tc>
        <w:tc>
          <w:tcPr>
            <w:tcW w:w="5363" w:type="dxa"/>
            <w:tcBorders>
              <w:top w:val="single" w:sz="4" w:space="0" w:color="000000"/>
              <w:left w:val="single" w:sz="4" w:space="0" w:color="000000"/>
              <w:bottom w:val="single" w:sz="4" w:space="0" w:color="000000"/>
              <w:right w:val="single" w:sz="4" w:space="0" w:color="000000"/>
            </w:tcBorders>
          </w:tcPr>
          <w:p w14:paraId="0E0753EA" w14:textId="77777777" w:rsidR="001045BE" w:rsidRDefault="001045BE" w:rsidP="001045BE">
            <w:pPr>
              <w:pStyle w:val="Standaard-Tabellen"/>
            </w:pPr>
            <w:r>
              <w:rPr>
                <w:noProof/>
                <w:lang w:val="fr-FR" w:eastAsia="fr-FR"/>
              </w:rPr>
              <w:drawing>
                <wp:inline distT="0" distB="0" distL="0" distR="0" wp14:anchorId="4A2AFFDD" wp14:editId="6EA6A28A">
                  <wp:extent cx="2099145" cy="967432"/>
                  <wp:effectExtent l="0" t="0" r="0" b="4445"/>
                  <wp:docPr id="5" name="Afbeelding 1" descr="ir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35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6811" cy="970965"/>
                          </a:xfrm>
                          <a:prstGeom prst="rect">
                            <a:avLst/>
                          </a:prstGeom>
                          <a:noFill/>
                          <a:ln>
                            <a:noFill/>
                          </a:ln>
                        </pic:spPr>
                      </pic:pic>
                    </a:graphicData>
                  </a:graphic>
                </wp:inline>
              </w:drawing>
            </w:r>
          </w:p>
          <w:p w14:paraId="104F5AB6" w14:textId="77777777" w:rsidR="001045BE" w:rsidRDefault="001045BE" w:rsidP="001045BE">
            <w:pPr>
              <w:snapToGrid w:val="0"/>
              <w:spacing w:line="260" w:lineRule="atLeast"/>
              <w:rPr>
                <w:b/>
              </w:rPr>
            </w:pPr>
          </w:p>
        </w:tc>
      </w:tr>
    </w:tbl>
    <w:p w14:paraId="74D14730" w14:textId="77777777" w:rsidR="00E92982" w:rsidRDefault="00E92982" w:rsidP="00E92982">
      <w:pPr>
        <w:spacing w:line="260" w:lineRule="atLeast"/>
        <w:jc w:val="both"/>
        <w:rPr>
          <w:rFonts w:cs="Verdana"/>
          <w:lang w:val="en-GB" w:eastAsia="fr-FR"/>
        </w:rPr>
      </w:pPr>
    </w:p>
    <w:p w14:paraId="1BA4F3F3" w14:textId="0155AA46" w:rsidR="00E92982" w:rsidRDefault="00E92982" w:rsidP="00534A29">
      <w:pPr>
        <w:pStyle w:val="Titre4"/>
        <w:numPr>
          <w:ilvl w:val="3"/>
          <w:numId w:val="42"/>
        </w:numPr>
        <w:tabs>
          <w:tab w:val="num" w:pos="0"/>
        </w:tabs>
        <w:suppressAutoHyphens/>
        <w:rPr>
          <w:rFonts w:ascii="Times New Roman" w:hAnsi="Times New Roman"/>
          <w:lang w:eastAsia="fr-FR"/>
        </w:rPr>
      </w:pPr>
      <w:bookmarkStart w:id="38" w:name="_Toc2155628"/>
      <w:r>
        <w:t>Candidate(s) for substitution</w:t>
      </w:r>
      <w:bookmarkEnd w:id="38"/>
    </w:p>
    <w:p w14:paraId="68A78E52" w14:textId="77777777" w:rsidR="001045BE" w:rsidRDefault="001045BE" w:rsidP="001045BE">
      <w:pPr>
        <w:rPr>
          <w:lang w:eastAsia="fr-FR"/>
        </w:rPr>
      </w:pPr>
      <w:r>
        <w:rPr>
          <w:lang w:eastAsia="fr-FR"/>
        </w:rPr>
        <w:t>The active substance IR3535</w:t>
      </w:r>
      <w:r w:rsidRPr="0004367B">
        <w:rPr>
          <w:vertAlign w:val="superscript"/>
          <w:lang w:eastAsia="fr-FR"/>
        </w:rPr>
        <w:t>®</w:t>
      </w:r>
      <w:r>
        <w:rPr>
          <w:lang w:eastAsia="fr-FR"/>
        </w:rPr>
        <w:t xml:space="preserve"> is n</w:t>
      </w:r>
      <w:r>
        <w:t>ot a candidate for substitution.</w:t>
      </w:r>
    </w:p>
    <w:p w14:paraId="135AE232" w14:textId="77777777" w:rsidR="00E92982" w:rsidRDefault="00E92982" w:rsidP="00E92982">
      <w:pPr>
        <w:spacing w:line="260" w:lineRule="atLeast"/>
        <w:jc w:val="both"/>
        <w:rPr>
          <w:rFonts w:ascii="Times New Roman" w:hAnsi="Times New Roman"/>
          <w:i/>
          <w:lang w:eastAsia="fr-FR"/>
        </w:rPr>
      </w:pPr>
    </w:p>
    <w:p w14:paraId="20A45D2D" w14:textId="77777777" w:rsidR="00E92982" w:rsidRDefault="00E92982" w:rsidP="00534A29">
      <w:pPr>
        <w:pStyle w:val="Titre4"/>
        <w:pageBreakBefore/>
        <w:numPr>
          <w:ilvl w:val="3"/>
          <w:numId w:val="42"/>
        </w:numPr>
        <w:tabs>
          <w:tab w:val="num" w:pos="0"/>
        </w:tabs>
        <w:suppressAutoHyphens/>
        <w:rPr>
          <w:rFonts w:cs="Verdana"/>
          <w:b/>
          <w:bCs/>
          <w:i w:val="0"/>
          <w:color w:val="000000"/>
          <w:lang w:eastAsia="en-GB"/>
        </w:rPr>
      </w:pPr>
      <w:bookmarkStart w:id="39" w:name="_Toc2155629"/>
      <w:r>
        <w:lastRenderedPageBreak/>
        <w:t>Qualitative and quantitative information on the composition of the biocidal product</w:t>
      </w:r>
      <w:r>
        <w:rPr>
          <w:rStyle w:val="Appelnotedebasdep"/>
        </w:rPr>
        <w:footnoteReference w:id="2"/>
      </w:r>
      <w:bookmarkEnd w:id="39"/>
      <w:r>
        <w:rPr>
          <w:vertAlign w:val="superscript"/>
        </w:rPr>
        <w:t xml:space="preserve"> </w:t>
      </w:r>
    </w:p>
    <w:tbl>
      <w:tblPr>
        <w:tblW w:w="0" w:type="auto"/>
        <w:tblInd w:w="5" w:type="dxa"/>
        <w:tblLayout w:type="fixed"/>
        <w:tblCellMar>
          <w:left w:w="0" w:type="dxa"/>
          <w:right w:w="0" w:type="dxa"/>
        </w:tblCellMar>
        <w:tblLook w:val="04A0" w:firstRow="1" w:lastRow="0" w:firstColumn="1" w:lastColumn="0" w:noHBand="0" w:noVBand="1"/>
      </w:tblPr>
      <w:tblGrid>
        <w:gridCol w:w="2256"/>
        <w:gridCol w:w="1353"/>
        <w:gridCol w:w="1353"/>
        <w:gridCol w:w="1353"/>
        <w:gridCol w:w="1353"/>
        <w:gridCol w:w="1363"/>
      </w:tblGrid>
      <w:tr w:rsidR="00E92982" w14:paraId="6D160DF0" w14:textId="77777777" w:rsidTr="00E92982">
        <w:trPr>
          <w:tblHeader/>
        </w:trPr>
        <w:tc>
          <w:tcPr>
            <w:tcW w:w="2256" w:type="dxa"/>
            <w:tcBorders>
              <w:top w:val="single" w:sz="4" w:space="0" w:color="000000"/>
              <w:left w:val="single" w:sz="4" w:space="0" w:color="000000"/>
              <w:bottom w:val="single" w:sz="4" w:space="0" w:color="000000"/>
              <w:right w:val="nil"/>
            </w:tcBorders>
            <w:hideMark/>
          </w:tcPr>
          <w:p w14:paraId="5C9745FC" w14:textId="77777777" w:rsidR="00E92982" w:rsidRDefault="00E92982">
            <w:pPr>
              <w:rPr>
                <w:b/>
                <w:bCs/>
                <w:color w:val="000000"/>
                <w:szCs w:val="24"/>
                <w:lang w:eastAsia="en-GB"/>
              </w:rPr>
            </w:pPr>
            <w:r>
              <w:rPr>
                <w:b/>
                <w:bCs/>
                <w:color w:val="000000"/>
                <w:szCs w:val="24"/>
                <w:lang w:eastAsia="en-GB"/>
              </w:rPr>
              <w:t>Common name</w:t>
            </w:r>
          </w:p>
        </w:tc>
        <w:tc>
          <w:tcPr>
            <w:tcW w:w="1353" w:type="dxa"/>
            <w:tcBorders>
              <w:top w:val="single" w:sz="4" w:space="0" w:color="000000"/>
              <w:left w:val="single" w:sz="4" w:space="0" w:color="000000"/>
              <w:bottom w:val="single" w:sz="4" w:space="0" w:color="000000"/>
              <w:right w:val="nil"/>
            </w:tcBorders>
            <w:hideMark/>
          </w:tcPr>
          <w:p w14:paraId="3264CF0E" w14:textId="77777777" w:rsidR="00E92982" w:rsidRDefault="00E92982">
            <w:pPr>
              <w:rPr>
                <w:b/>
                <w:bCs/>
                <w:color w:val="000000"/>
                <w:szCs w:val="24"/>
                <w:lang w:eastAsia="en-GB"/>
              </w:rPr>
            </w:pPr>
            <w:r>
              <w:rPr>
                <w:b/>
                <w:bCs/>
                <w:color w:val="000000"/>
                <w:szCs w:val="24"/>
                <w:lang w:eastAsia="en-GB"/>
              </w:rPr>
              <w:t>IUPAC name</w:t>
            </w:r>
          </w:p>
        </w:tc>
        <w:tc>
          <w:tcPr>
            <w:tcW w:w="1353" w:type="dxa"/>
            <w:tcBorders>
              <w:top w:val="single" w:sz="4" w:space="0" w:color="000000"/>
              <w:left w:val="single" w:sz="4" w:space="0" w:color="000000"/>
              <w:bottom w:val="single" w:sz="4" w:space="0" w:color="000000"/>
              <w:right w:val="nil"/>
            </w:tcBorders>
            <w:hideMark/>
          </w:tcPr>
          <w:p w14:paraId="60682540" w14:textId="77777777" w:rsidR="00E92982" w:rsidRDefault="00E92982">
            <w:pPr>
              <w:rPr>
                <w:b/>
                <w:bCs/>
                <w:color w:val="000000"/>
                <w:szCs w:val="24"/>
                <w:lang w:eastAsia="en-GB"/>
              </w:rPr>
            </w:pPr>
            <w:r>
              <w:rPr>
                <w:b/>
                <w:bCs/>
                <w:color w:val="000000"/>
                <w:szCs w:val="24"/>
                <w:lang w:eastAsia="en-GB"/>
              </w:rPr>
              <w:t>Function</w:t>
            </w:r>
          </w:p>
        </w:tc>
        <w:tc>
          <w:tcPr>
            <w:tcW w:w="1353" w:type="dxa"/>
            <w:tcBorders>
              <w:top w:val="single" w:sz="4" w:space="0" w:color="000000"/>
              <w:left w:val="single" w:sz="4" w:space="0" w:color="000000"/>
              <w:bottom w:val="single" w:sz="4" w:space="0" w:color="000000"/>
              <w:right w:val="nil"/>
            </w:tcBorders>
            <w:hideMark/>
          </w:tcPr>
          <w:p w14:paraId="1669E7F0" w14:textId="77777777" w:rsidR="00E92982" w:rsidRDefault="00E92982">
            <w:pPr>
              <w:rPr>
                <w:b/>
                <w:bCs/>
                <w:color w:val="000000"/>
                <w:szCs w:val="24"/>
                <w:lang w:eastAsia="en-GB"/>
              </w:rPr>
            </w:pPr>
            <w:r>
              <w:rPr>
                <w:b/>
                <w:bCs/>
                <w:color w:val="000000"/>
                <w:szCs w:val="24"/>
                <w:lang w:eastAsia="en-GB"/>
              </w:rPr>
              <w:t>CAS number</w:t>
            </w:r>
          </w:p>
        </w:tc>
        <w:tc>
          <w:tcPr>
            <w:tcW w:w="1353" w:type="dxa"/>
            <w:tcBorders>
              <w:top w:val="single" w:sz="4" w:space="0" w:color="000000"/>
              <w:left w:val="single" w:sz="4" w:space="0" w:color="000000"/>
              <w:bottom w:val="single" w:sz="4" w:space="0" w:color="000000"/>
              <w:right w:val="nil"/>
            </w:tcBorders>
            <w:hideMark/>
          </w:tcPr>
          <w:p w14:paraId="77F393F0" w14:textId="77777777" w:rsidR="00E92982" w:rsidRDefault="00E92982">
            <w:pPr>
              <w:rPr>
                <w:b/>
                <w:bCs/>
                <w:color w:val="000000"/>
                <w:szCs w:val="24"/>
                <w:lang w:eastAsia="en-GB"/>
              </w:rPr>
            </w:pPr>
            <w:r>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hideMark/>
          </w:tcPr>
          <w:p w14:paraId="567F4F67" w14:textId="77777777" w:rsidR="00E92982" w:rsidRDefault="00E92982">
            <w:pPr>
              <w:rPr>
                <w:lang w:eastAsia="zh-CN"/>
              </w:rPr>
            </w:pPr>
            <w:r>
              <w:rPr>
                <w:b/>
                <w:bCs/>
                <w:color w:val="000000"/>
                <w:szCs w:val="24"/>
                <w:lang w:eastAsia="en-GB"/>
              </w:rPr>
              <w:t>Content (%)</w:t>
            </w:r>
          </w:p>
        </w:tc>
      </w:tr>
      <w:tr w:rsidR="001045BE" w14:paraId="005A5AE3" w14:textId="77777777" w:rsidTr="00E92982">
        <w:tc>
          <w:tcPr>
            <w:tcW w:w="2256" w:type="dxa"/>
            <w:tcBorders>
              <w:top w:val="nil"/>
              <w:left w:val="single" w:sz="4" w:space="0" w:color="000000"/>
              <w:bottom w:val="single" w:sz="4" w:space="0" w:color="000000"/>
              <w:right w:val="nil"/>
            </w:tcBorders>
          </w:tcPr>
          <w:p w14:paraId="0221A322" w14:textId="6A301ACB" w:rsidR="001045BE" w:rsidRDefault="001045BE" w:rsidP="001045BE">
            <w:pPr>
              <w:snapToGrid w:val="0"/>
              <w:rPr>
                <w:lang w:val="pl-PL"/>
              </w:rPr>
            </w:pPr>
            <w:r>
              <w:t>IR3535</w:t>
            </w:r>
            <w:r w:rsidRPr="009451AC">
              <w:rPr>
                <w:vertAlign w:val="superscript"/>
              </w:rPr>
              <w:t>®</w:t>
            </w:r>
          </w:p>
        </w:tc>
        <w:tc>
          <w:tcPr>
            <w:tcW w:w="1353" w:type="dxa"/>
            <w:tcBorders>
              <w:top w:val="nil"/>
              <w:left w:val="single" w:sz="4" w:space="0" w:color="000000"/>
              <w:bottom w:val="single" w:sz="4" w:space="0" w:color="000000"/>
              <w:right w:val="nil"/>
            </w:tcBorders>
          </w:tcPr>
          <w:p w14:paraId="5F7BF50A" w14:textId="17184613" w:rsidR="001045BE" w:rsidRDefault="001045BE" w:rsidP="001045BE">
            <w:pPr>
              <w:snapToGrid w:val="0"/>
              <w:rPr>
                <w:lang w:val="pl-PL"/>
              </w:rPr>
            </w:pPr>
            <w:r>
              <w:t xml:space="preserve">Ethyl 3-[N-acetyl-N-butyl] </w:t>
            </w:r>
            <w:proofErr w:type="spellStart"/>
            <w:r>
              <w:t>aminopropionate</w:t>
            </w:r>
            <w:proofErr w:type="spellEnd"/>
          </w:p>
        </w:tc>
        <w:tc>
          <w:tcPr>
            <w:tcW w:w="1353" w:type="dxa"/>
            <w:tcBorders>
              <w:top w:val="nil"/>
              <w:left w:val="single" w:sz="4" w:space="0" w:color="000000"/>
              <w:bottom w:val="single" w:sz="4" w:space="0" w:color="000000"/>
              <w:right w:val="nil"/>
            </w:tcBorders>
            <w:hideMark/>
          </w:tcPr>
          <w:p w14:paraId="3174687D" w14:textId="5551E192" w:rsidR="001045BE" w:rsidRDefault="001045BE" w:rsidP="001045BE">
            <w:pPr>
              <w:rPr>
                <w:lang w:val="en-GB"/>
              </w:rPr>
            </w:pPr>
            <w:r>
              <w:t>Active substance</w:t>
            </w:r>
          </w:p>
        </w:tc>
        <w:tc>
          <w:tcPr>
            <w:tcW w:w="1353" w:type="dxa"/>
            <w:tcBorders>
              <w:top w:val="nil"/>
              <w:left w:val="single" w:sz="4" w:space="0" w:color="000000"/>
              <w:bottom w:val="single" w:sz="4" w:space="0" w:color="000000"/>
              <w:right w:val="nil"/>
            </w:tcBorders>
          </w:tcPr>
          <w:p w14:paraId="59D94472" w14:textId="41477E66" w:rsidR="001045BE" w:rsidRDefault="001045BE" w:rsidP="001045BE">
            <w:pPr>
              <w:snapToGrid w:val="0"/>
            </w:pPr>
            <w:r>
              <w:t>52304-36-6</w:t>
            </w:r>
          </w:p>
        </w:tc>
        <w:tc>
          <w:tcPr>
            <w:tcW w:w="1353" w:type="dxa"/>
            <w:tcBorders>
              <w:top w:val="nil"/>
              <w:left w:val="single" w:sz="4" w:space="0" w:color="000000"/>
              <w:bottom w:val="single" w:sz="4" w:space="0" w:color="000000"/>
              <w:right w:val="nil"/>
            </w:tcBorders>
          </w:tcPr>
          <w:p w14:paraId="7F23BCBA" w14:textId="6EC8D928" w:rsidR="001045BE" w:rsidRDefault="001045BE" w:rsidP="001045BE">
            <w:pPr>
              <w:snapToGrid w:val="0"/>
            </w:pPr>
            <w:r>
              <w:t>257-835-0</w:t>
            </w:r>
          </w:p>
        </w:tc>
        <w:tc>
          <w:tcPr>
            <w:tcW w:w="1363" w:type="dxa"/>
            <w:tcBorders>
              <w:top w:val="nil"/>
              <w:left w:val="single" w:sz="4" w:space="0" w:color="000000"/>
              <w:bottom w:val="single" w:sz="4" w:space="0" w:color="000000"/>
              <w:right w:val="single" w:sz="4" w:space="0" w:color="000000"/>
            </w:tcBorders>
          </w:tcPr>
          <w:p w14:paraId="2A3FC606" w14:textId="77777777" w:rsidR="001045BE" w:rsidRDefault="001045BE" w:rsidP="001045BE">
            <w:pPr>
              <w:pStyle w:val="Standaard-Tabellen"/>
            </w:pPr>
            <w:r>
              <w:t>20</w:t>
            </w:r>
          </w:p>
          <w:p w14:paraId="190C1A51" w14:textId="6B9C9CA2" w:rsidR="001045BE" w:rsidRDefault="001045BE" w:rsidP="001045BE">
            <w:pPr>
              <w:snapToGrid w:val="0"/>
            </w:pPr>
            <w:r>
              <w:t>purity: ≥99%</w:t>
            </w:r>
          </w:p>
        </w:tc>
      </w:tr>
      <w:tr w:rsidR="001045BE" w14:paraId="07AB15C0" w14:textId="77777777" w:rsidTr="00E92982">
        <w:tc>
          <w:tcPr>
            <w:tcW w:w="2256" w:type="dxa"/>
            <w:tcBorders>
              <w:top w:val="nil"/>
              <w:left w:val="single" w:sz="4" w:space="0" w:color="000000"/>
              <w:bottom w:val="single" w:sz="4" w:space="0" w:color="000000"/>
              <w:right w:val="nil"/>
            </w:tcBorders>
          </w:tcPr>
          <w:p w14:paraId="255D788E" w14:textId="0575C581" w:rsidR="001045BE" w:rsidRDefault="001045BE" w:rsidP="001045BE">
            <w:pPr>
              <w:snapToGrid w:val="0"/>
              <w:rPr>
                <w:lang w:val="pl-PL"/>
              </w:rPr>
            </w:pPr>
            <w:r>
              <w:t>Ethanol 96%</w:t>
            </w:r>
          </w:p>
        </w:tc>
        <w:tc>
          <w:tcPr>
            <w:tcW w:w="1353" w:type="dxa"/>
            <w:tcBorders>
              <w:top w:val="nil"/>
              <w:left w:val="single" w:sz="4" w:space="0" w:color="000000"/>
              <w:bottom w:val="single" w:sz="4" w:space="0" w:color="000000"/>
              <w:right w:val="nil"/>
            </w:tcBorders>
          </w:tcPr>
          <w:p w14:paraId="1226A69B" w14:textId="77777777" w:rsidR="001045BE" w:rsidRDefault="001045BE" w:rsidP="001045BE">
            <w:pPr>
              <w:pStyle w:val="Standaard-Tabellen"/>
            </w:pPr>
            <w:r>
              <w:t>Ethanol</w:t>
            </w:r>
          </w:p>
          <w:p w14:paraId="0DE69B02" w14:textId="77777777" w:rsidR="001045BE" w:rsidRDefault="001045BE" w:rsidP="001045BE">
            <w:pPr>
              <w:snapToGrid w:val="0"/>
              <w:rPr>
                <w:lang w:val="pl-PL"/>
              </w:rPr>
            </w:pPr>
          </w:p>
        </w:tc>
        <w:tc>
          <w:tcPr>
            <w:tcW w:w="1353" w:type="dxa"/>
            <w:tcBorders>
              <w:top w:val="nil"/>
              <w:left w:val="single" w:sz="4" w:space="0" w:color="000000"/>
              <w:bottom w:val="single" w:sz="4" w:space="0" w:color="000000"/>
              <w:right w:val="nil"/>
            </w:tcBorders>
            <w:hideMark/>
          </w:tcPr>
          <w:p w14:paraId="62D55F29" w14:textId="1732A657" w:rsidR="001045BE" w:rsidRDefault="001045BE" w:rsidP="001045BE">
            <w:pPr>
              <w:rPr>
                <w:lang w:val="en-GB"/>
              </w:rPr>
            </w:pPr>
            <w:r>
              <w:t>solvent</w:t>
            </w:r>
          </w:p>
        </w:tc>
        <w:tc>
          <w:tcPr>
            <w:tcW w:w="1353" w:type="dxa"/>
            <w:tcBorders>
              <w:top w:val="nil"/>
              <w:left w:val="single" w:sz="4" w:space="0" w:color="000000"/>
              <w:bottom w:val="single" w:sz="4" w:space="0" w:color="000000"/>
              <w:right w:val="nil"/>
            </w:tcBorders>
          </w:tcPr>
          <w:p w14:paraId="2EB09404" w14:textId="0D2427DB" w:rsidR="001045BE" w:rsidRDefault="001045BE" w:rsidP="001045BE">
            <w:pPr>
              <w:snapToGrid w:val="0"/>
            </w:pPr>
            <w:r>
              <w:t>64-17-5</w:t>
            </w:r>
          </w:p>
        </w:tc>
        <w:tc>
          <w:tcPr>
            <w:tcW w:w="1353" w:type="dxa"/>
            <w:tcBorders>
              <w:top w:val="nil"/>
              <w:left w:val="single" w:sz="4" w:space="0" w:color="000000"/>
              <w:bottom w:val="single" w:sz="4" w:space="0" w:color="000000"/>
              <w:right w:val="nil"/>
            </w:tcBorders>
          </w:tcPr>
          <w:p w14:paraId="472B3B6A" w14:textId="3F19C4A4" w:rsidR="001045BE" w:rsidRDefault="001045BE" w:rsidP="001045BE">
            <w:pPr>
              <w:snapToGrid w:val="0"/>
            </w:pPr>
            <w:r>
              <w:t>200-578-6</w:t>
            </w:r>
          </w:p>
        </w:tc>
        <w:tc>
          <w:tcPr>
            <w:tcW w:w="1363" w:type="dxa"/>
            <w:tcBorders>
              <w:top w:val="nil"/>
              <w:left w:val="single" w:sz="4" w:space="0" w:color="000000"/>
              <w:bottom w:val="single" w:sz="4" w:space="0" w:color="000000"/>
              <w:right w:val="single" w:sz="4" w:space="0" w:color="000000"/>
            </w:tcBorders>
          </w:tcPr>
          <w:p w14:paraId="609322CE" w14:textId="5A999760" w:rsidR="001045BE" w:rsidRDefault="001045BE" w:rsidP="001045BE">
            <w:pPr>
              <w:snapToGrid w:val="0"/>
            </w:pPr>
            <w:r>
              <w:t>35</w:t>
            </w:r>
          </w:p>
        </w:tc>
      </w:tr>
    </w:tbl>
    <w:p w14:paraId="496E2338" w14:textId="18B25171" w:rsidR="00E92982" w:rsidRDefault="00E92982" w:rsidP="00534A29">
      <w:pPr>
        <w:pStyle w:val="Titre4"/>
        <w:numPr>
          <w:ilvl w:val="3"/>
          <w:numId w:val="42"/>
        </w:numPr>
        <w:tabs>
          <w:tab w:val="num" w:pos="0"/>
        </w:tabs>
        <w:suppressAutoHyphens/>
        <w:rPr>
          <w:rFonts w:ascii="Times New Roman" w:hAnsi="Times New Roman"/>
          <w:sz w:val="22"/>
          <w:lang w:val="de-DE" w:eastAsia="fr-FR"/>
        </w:rPr>
      </w:pPr>
      <w:bookmarkStart w:id="40" w:name="_Toc2155630"/>
      <w:r>
        <w:t>Information on technical equivalence</w:t>
      </w:r>
      <w:bookmarkEnd w:id="40"/>
    </w:p>
    <w:p w14:paraId="64598721" w14:textId="77777777" w:rsidR="001045BE" w:rsidRDefault="001045BE" w:rsidP="001045BE">
      <w:r>
        <w:t>Not needed, since the manufacturer is the same as included in the Union list of approved active substances.</w:t>
      </w:r>
    </w:p>
    <w:p w14:paraId="2AEB994B" w14:textId="77777777" w:rsidR="00E92982" w:rsidRDefault="00E92982" w:rsidP="00E92982">
      <w:pPr>
        <w:spacing w:line="260" w:lineRule="atLeast"/>
        <w:rPr>
          <w:rFonts w:ascii="Times New Roman" w:hAnsi="Times New Roman"/>
          <w:i/>
          <w:szCs w:val="24"/>
        </w:rPr>
      </w:pPr>
    </w:p>
    <w:p w14:paraId="2B64A711" w14:textId="298CBE7F" w:rsidR="00E92982" w:rsidRDefault="00E92982" w:rsidP="00534A29">
      <w:pPr>
        <w:pStyle w:val="Titre4"/>
        <w:numPr>
          <w:ilvl w:val="3"/>
          <w:numId w:val="42"/>
        </w:numPr>
        <w:tabs>
          <w:tab w:val="num" w:pos="0"/>
        </w:tabs>
        <w:suppressAutoHyphens/>
        <w:rPr>
          <w:rFonts w:cs="Times"/>
          <w:bCs/>
          <w:i w:val="0"/>
          <w:szCs w:val="29"/>
          <w:lang w:eastAsia="zh-CN"/>
        </w:rPr>
      </w:pPr>
      <w:bookmarkStart w:id="41" w:name="_Toc2155631"/>
      <w:r>
        <w:t>Information on the substance(s) of concern</w:t>
      </w:r>
      <w:bookmarkEnd w:id="41"/>
    </w:p>
    <w:p w14:paraId="49ACD87F" w14:textId="77777777" w:rsidR="001045BE" w:rsidRDefault="001045BE" w:rsidP="001045BE"/>
    <w:p w14:paraId="23A42BBD" w14:textId="31BAFDEE" w:rsidR="001045BE" w:rsidRPr="009609F5" w:rsidRDefault="001045BE" w:rsidP="00C356FB">
      <w:pPr>
        <w:pStyle w:val="Paragraphedeliste"/>
        <w:numPr>
          <w:ilvl w:val="0"/>
          <w:numId w:val="39"/>
        </w:numPr>
        <w:rPr>
          <w:b/>
        </w:rPr>
      </w:pPr>
      <w:r w:rsidRPr="009609F5">
        <w:rPr>
          <w:b/>
        </w:rPr>
        <w:t>Initial Assessment of the reference product Insect Repellent Pump Spray IR3535</w:t>
      </w:r>
      <w:r w:rsidRPr="009609F5">
        <w:rPr>
          <w:b/>
          <w:vertAlign w:val="superscript"/>
        </w:rPr>
        <w:t xml:space="preserve">®  </w:t>
      </w:r>
      <w:r w:rsidRPr="009609F5">
        <w:rPr>
          <w:b/>
        </w:rPr>
        <w:t>20%- 2019</w:t>
      </w:r>
    </w:p>
    <w:p w14:paraId="6BF5D850" w14:textId="7A1C1D7D" w:rsidR="001045BE" w:rsidRDefault="001045BE" w:rsidP="001045BE">
      <w:r>
        <w:t>During the referral discussions concerning this product, it was decided that ethanol should be considered as a substance of concern (</w:t>
      </w:r>
      <w:proofErr w:type="spellStart"/>
      <w:r>
        <w:t>SoC</w:t>
      </w:r>
      <w:proofErr w:type="spellEnd"/>
      <w:r>
        <w:t>).</w:t>
      </w:r>
    </w:p>
    <w:p w14:paraId="517855A5" w14:textId="77777777" w:rsidR="001045BE" w:rsidRDefault="001045BE" w:rsidP="001045BE">
      <w:r>
        <w:t>According to the definition in the BPR (Article (3</w:t>
      </w:r>
      <w:proofErr w:type="gramStart"/>
      <w:r>
        <w:t>)(</w:t>
      </w:r>
      <w:proofErr w:type="gramEnd"/>
      <w:r>
        <w:t xml:space="preserve">f)), a </w:t>
      </w:r>
      <w:proofErr w:type="spellStart"/>
      <w:r>
        <w:t>SoC</w:t>
      </w:r>
      <w:proofErr w:type="spellEnd"/>
      <w:r>
        <w:t xml:space="preserve"> is a substance which has an inherent capacity to cause an adverse effect. In this product, ethanol is the cause for the classification as a flammable liquid and during the referral discussions it was agreed that flammability can be considered as a cause to provoke an adverse effect and, therefore, ethanol should be considered as a </w:t>
      </w:r>
      <w:proofErr w:type="spellStart"/>
      <w:r>
        <w:t>SoC.</w:t>
      </w:r>
      <w:proofErr w:type="spellEnd"/>
    </w:p>
    <w:p w14:paraId="107A7A07" w14:textId="77777777" w:rsidR="001045BE" w:rsidRDefault="001045BE" w:rsidP="001045BE"/>
    <w:p w14:paraId="45A82546" w14:textId="77777777" w:rsidR="001045BE" w:rsidRDefault="001045BE" w:rsidP="001045BE">
      <w:pPr>
        <w:pStyle w:val="Paragraphedeliste"/>
        <w:ind w:left="0" w:right="49"/>
        <w:jc w:val="both"/>
      </w:pPr>
      <w:r>
        <w:t>Due to the lack of</w:t>
      </w:r>
      <w:r w:rsidRPr="008C330F">
        <w:t xml:space="preserve"> guidance in relation to physical-chemical endpoints, the methodology described in the guidance for human health assessment of </w:t>
      </w:r>
      <w:proofErr w:type="spellStart"/>
      <w:r w:rsidRPr="008C330F">
        <w:t>SoC</w:t>
      </w:r>
      <w:proofErr w:type="spellEnd"/>
      <w:r w:rsidRPr="008C330F">
        <w:t xml:space="preserve">, can be applied by analogy. Accordingly, the label of the product should include the corresponding H/P statements but a qualitative/quantitative risk assessment is not necessary. </w:t>
      </w:r>
      <w:r>
        <w:t xml:space="preserve">Ethanol will be indicated in the SPC Section 2.1. </w:t>
      </w:r>
    </w:p>
    <w:p w14:paraId="5EAADA40" w14:textId="77777777" w:rsidR="001045BE" w:rsidRDefault="001045BE" w:rsidP="001045BE">
      <w:pPr>
        <w:pStyle w:val="Paragraphedeliste"/>
        <w:ind w:left="0" w:right="49"/>
        <w:jc w:val="both"/>
      </w:pPr>
    </w:p>
    <w:p w14:paraId="5B83B1B3" w14:textId="77777777" w:rsidR="001045BE" w:rsidRPr="008C330F" w:rsidRDefault="001045BE" w:rsidP="001045BE">
      <w:pPr>
        <w:pStyle w:val="Paragraphedeliste"/>
        <w:ind w:left="0" w:right="49"/>
        <w:jc w:val="both"/>
        <w:rPr>
          <w:u w:val="single"/>
        </w:rPr>
      </w:pPr>
      <w:r>
        <w:t xml:space="preserve">Related to the submission of the analytical method for determining the concentration of the </w:t>
      </w:r>
      <w:proofErr w:type="spellStart"/>
      <w:r>
        <w:t>SoC</w:t>
      </w:r>
      <w:proofErr w:type="spellEnd"/>
      <w:r>
        <w:t>, Article 21 of the BPR is applicable and waiving of the data requirements is allowed and accepted.</w:t>
      </w:r>
    </w:p>
    <w:p w14:paraId="4F6A0254" w14:textId="77777777" w:rsidR="00E92982" w:rsidRDefault="00E92982" w:rsidP="00E92982">
      <w:pPr>
        <w:spacing w:line="260" w:lineRule="atLeast"/>
        <w:jc w:val="both"/>
        <w:rPr>
          <w:rFonts w:cs="Times"/>
          <w:bCs/>
          <w:szCs w:val="29"/>
        </w:rPr>
      </w:pPr>
      <w:r>
        <w:rPr>
          <w:rFonts w:cs="Times"/>
          <w:bCs/>
          <w:szCs w:val="29"/>
        </w:rPr>
        <w:t>Please see the confidential annex for further details.</w:t>
      </w:r>
    </w:p>
    <w:p w14:paraId="30E83179" w14:textId="77777777" w:rsidR="00E92982" w:rsidRDefault="00E92982" w:rsidP="00E92982">
      <w:pPr>
        <w:spacing w:line="260" w:lineRule="atLeast"/>
        <w:jc w:val="both"/>
        <w:rPr>
          <w:rFonts w:cs="Times"/>
          <w:bCs/>
          <w:szCs w:val="29"/>
        </w:rPr>
      </w:pPr>
    </w:p>
    <w:p w14:paraId="56BECA72" w14:textId="6E96102A" w:rsidR="00E92982" w:rsidRDefault="00E92982" w:rsidP="009609F5">
      <w:pPr>
        <w:pStyle w:val="Titre4"/>
        <w:numPr>
          <w:ilvl w:val="3"/>
          <w:numId w:val="42"/>
        </w:numPr>
        <w:suppressAutoHyphens/>
        <w:rPr>
          <w:rFonts w:cs="Verdana"/>
        </w:rPr>
      </w:pPr>
      <w:bookmarkStart w:id="42" w:name="_Toc2155632"/>
      <w:bookmarkStart w:id="43" w:name="_Toc2154494"/>
      <w:bookmarkStart w:id="44" w:name="_Toc2154055"/>
      <w:bookmarkStart w:id="45" w:name="_Toc533154532"/>
      <w:bookmarkStart w:id="46" w:name="_Toc532221594"/>
      <w:r>
        <w:t>Assessment of endocrine disruption (ED) properties of the biocidal product</w:t>
      </w:r>
      <w:bookmarkEnd w:id="42"/>
      <w:bookmarkEnd w:id="43"/>
      <w:bookmarkEnd w:id="44"/>
      <w:bookmarkEnd w:id="45"/>
      <w:bookmarkEnd w:id="46"/>
    </w:p>
    <w:p w14:paraId="706948EF" w14:textId="77777777" w:rsidR="00E92982" w:rsidRDefault="00E92982" w:rsidP="00E92982">
      <w:pPr>
        <w:spacing w:line="260" w:lineRule="atLeast"/>
        <w:jc w:val="both"/>
        <w:rPr>
          <w:rFonts w:cs="Times"/>
          <w:bCs/>
          <w:szCs w:val="29"/>
          <w:lang w:val="de-DE"/>
        </w:rPr>
      </w:pPr>
    </w:p>
    <w:p w14:paraId="121FEAA5" w14:textId="77777777" w:rsidR="00E92982" w:rsidRDefault="00E92982" w:rsidP="00E92982">
      <w:pPr>
        <w:spacing w:line="260" w:lineRule="atLeast"/>
        <w:jc w:val="both"/>
        <w:rPr>
          <w:rFonts w:cs="Times"/>
          <w:bCs/>
          <w:szCs w:val="29"/>
          <w:lang w:val="en-GB"/>
        </w:rPr>
      </w:pPr>
    </w:p>
    <w:p w14:paraId="6D796C1E" w14:textId="23B77D25" w:rsidR="00E92982" w:rsidRDefault="00E92982" w:rsidP="00534A29">
      <w:pPr>
        <w:pStyle w:val="Titre4"/>
        <w:numPr>
          <w:ilvl w:val="3"/>
          <w:numId w:val="42"/>
        </w:numPr>
        <w:tabs>
          <w:tab w:val="num" w:pos="0"/>
        </w:tabs>
        <w:suppressAutoHyphens/>
        <w:rPr>
          <w:rFonts w:cs="Verdana"/>
        </w:rPr>
      </w:pPr>
      <w:bookmarkStart w:id="47" w:name="_Toc2155633"/>
      <w:r>
        <w:lastRenderedPageBreak/>
        <w:t>Type of formulation</w:t>
      </w:r>
      <w:bookmarkEnd w:id="47"/>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14:paraId="3529D3D9"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6635B33B" w14:textId="0F03D434" w:rsidR="00E92982" w:rsidRDefault="001045BE">
            <w:pPr>
              <w:snapToGrid w:val="0"/>
            </w:pPr>
            <w:r>
              <w:t>AL- Any other liquid</w:t>
            </w:r>
          </w:p>
        </w:tc>
      </w:tr>
    </w:tbl>
    <w:p w14:paraId="20B0F783" w14:textId="77777777" w:rsidR="00E92982" w:rsidRDefault="00E92982" w:rsidP="00E92982">
      <w:pPr>
        <w:rPr>
          <w:rFonts w:cs="Verdana"/>
          <w:lang w:val="en-GB" w:eastAsia="zh-CN"/>
        </w:rPr>
      </w:pPr>
      <w:bookmarkStart w:id="48" w:name="d0e452"/>
    </w:p>
    <w:p w14:paraId="40142199" w14:textId="77777777" w:rsidR="00E92982" w:rsidRDefault="00E92982" w:rsidP="00E92982"/>
    <w:p w14:paraId="5F59CF95" w14:textId="7BAA134B" w:rsidR="00E92982" w:rsidRDefault="00E92982" w:rsidP="00534A29">
      <w:pPr>
        <w:pStyle w:val="Titre3"/>
        <w:numPr>
          <w:ilvl w:val="2"/>
          <w:numId w:val="42"/>
        </w:numPr>
        <w:tabs>
          <w:tab w:val="num" w:pos="0"/>
          <w:tab w:val="num" w:pos="284"/>
        </w:tabs>
        <w:suppressAutoHyphens/>
        <w:spacing w:before="0"/>
        <w:ind w:left="720"/>
      </w:pPr>
      <w:bookmarkStart w:id="49" w:name="_Toc2155634"/>
      <w:r>
        <w:rPr>
          <w:b w:val="0"/>
        </w:rPr>
        <w:t>Hazard and precautionary statements</w:t>
      </w:r>
      <w:bookmarkEnd w:id="49"/>
    </w:p>
    <w:p w14:paraId="137D81A4" w14:textId="77777777" w:rsidR="00E92982" w:rsidRDefault="00E92982" w:rsidP="00E92982">
      <w:pPr>
        <w:rPr>
          <w:rFonts w:ascii="Times New Roman" w:hAnsi="Times New Roman"/>
          <w:i/>
          <w:szCs w:val="24"/>
          <w:lang w:eastAsia="en-GB"/>
        </w:rPr>
      </w:pPr>
      <w:r>
        <w:rPr>
          <w:b/>
        </w:rPr>
        <w:t>Classification and labelling of the products according to the Regulation (EC) 1272/2008</w:t>
      </w:r>
    </w:p>
    <w:p w14:paraId="34D11FEC" w14:textId="77777777" w:rsidR="00E92982" w:rsidRDefault="00E92982" w:rsidP="00E92982">
      <w:pPr>
        <w:tabs>
          <w:tab w:val="left" w:pos="500"/>
        </w:tabs>
        <w:ind w:left="500" w:hanging="500"/>
        <w:rPr>
          <w:rFonts w:ascii="Times New Roman" w:hAnsi="Times New Roman"/>
          <w:b/>
          <w:bCs/>
          <w:i/>
          <w:szCs w:val="24"/>
          <w:lang w:eastAsia="en-GB"/>
        </w:rPr>
      </w:pPr>
    </w:p>
    <w:tbl>
      <w:tblPr>
        <w:tblW w:w="0" w:type="auto"/>
        <w:tblInd w:w="108" w:type="dxa"/>
        <w:tblLayout w:type="fixed"/>
        <w:tblLook w:val="04A0" w:firstRow="1" w:lastRow="0" w:firstColumn="1" w:lastColumn="0" w:noHBand="0" w:noVBand="1"/>
      </w:tblPr>
      <w:tblGrid>
        <w:gridCol w:w="2606"/>
        <w:gridCol w:w="6414"/>
      </w:tblGrid>
      <w:tr w:rsidR="00E92982" w14:paraId="20A30E0D" w14:textId="77777777" w:rsidTr="00E92982">
        <w:trPr>
          <w:cantSplit/>
          <w:tblHeader/>
        </w:trPr>
        <w:tc>
          <w:tcPr>
            <w:tcW w:w="9020" w:type="dxa"/>
            <w:gridSpan w:val="2"/>
            <w:tcBorders>
              <w:top w:val="single" w:sz="2" w:space="0" w:color="000000"/>
              <w:left w:val="single" w:sz="2" w:space="0" w:color="000000"/>
              <w:bottom w:val="single" w:sz="2" w:space="0" w:color="000000"/>
              <w:right w:val="single" w:sz="2" w:space="0" w:color="000000"/>
            </w:tcBorders>
            <w:hideMark/>
          </w:tcPr>
          <w:p w14:paraId="55C278D9" w14:textId="77777777" w:rsidR="00E92982" w:rsidRDefault="00E92982">
            <w:pPr>
              <w:rPr>
                <w:rFonts w:cs="Verdana"/>
                <w:lang w:eastAsia="zh-CN"/>
              </w:rPr>
            </w:pPr>
            <w:r>
              <w:rPr>
                <w:b/>
              </w:rPr>
              <w:t>Classification</w:t>
            </w:r>
          </w:p>
        </w:tc>
      </w:tr>
      <w:tr w:rsidR="001045BE" w:rsidRPr="001045BE" w14:paraId="2ED82C39"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2A5ECDCF" w14:textId="77777777" w:rsidR="001045BE" w:rsidRDefault="001045BE" w:rsidP="001045BE">
            <w:pPr>
              <w:rPr>
                <w:lang w:eastAsia="fi-FI"/>
              </w:rPr>
            </w:pPr>
            <w:r>
              <w:t>Hazard category</w:t>
            </w:r>
          </w:p>
        </w:tc>
        <w:tc>
          <w:tcPr>
            <w:tcW w:w="6414" w:type="dxa"/>
            <w:tcBorders>
              <w:top w:val="single" w:sz="2" w:space="0" w:color="000000"/>
              <w:left w:val="single" w:sz="2" w:space="0" w:color="000000"/>
              <w:bottom w:val="single" w:sz="2" w:space="0" w:color="000000"/>
              <w:right w:val="single" w:sz="2" w:space="0" w:color="000000"/>
            </w:tcBorders>
          </w:tcPr>
          <w:p w14:paraId="3F0C9B4E" w14:textId="77777777" w:rsidR="001045BE" w:rsidRDefault="001045BE" w:rsidP="001045BE">
            <w:pPr>
              <w:pStyle w:val="Standaard-Tabellen"/>
            </w:pPr>
            <w:r>
              <w:t>Flammable liquid, category 3</w:t>
            </w:r>
          </w:p>
          <w:p w14:paraId="120A43D0" w14:textId="61AEDF64" w:rsidR="001045BE" w:rsidRPr="00C356FB" w:rsidRDefault="001045BE" w:rsidP="001045BE">
            <w:pPr>
              <w:snapToGrid w:val="0"/>
              <w:rPr>
                <w:bCs/>
                <w:sz w:val="18"/>
                <w:szCs w:val="24"/>
                <w:lang w:eastAsia="en-GB"/>
              </w:rPr>
            </w:pPr>
            <w:r w:rsidRPr="00C356FB">
              <w:rPr>
                <w:bCs/>
                <w:sz w:val="18"/>
                <w:szCs w:val="24"/>
                <w:lang w:eastAsia="en-GB"/>
              </w:rPr>
              <w:t>Eye irritation, category 2</w:t>
            </w:r>
          </w:p>
        </w:tc>
      </w:tr>
      <w:tr w:rsidR="001045BE" w14:paraId="7CCF0F3B"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3625603F" w14:textId="77777777" w:rsidR="001045BE" w:rsidRDefault="001045BE" w:rsidP="001045BE">
            <w:pPr>
              <w:rPr>
                <w:lang w:eastAsia="fi-FI"/>
              </w:rPr>
            </w:pPr>
            <w:r>
              <w:t>Hazard statement</w:t>
            </w:r>
          </w:p>
        </w:tc>
        <w:tc>
          <w:tcPr>
            <w:tcW w:w="6414" w:type="dxa"/>
            <w:tcBorders>
              <w:top w:val="single" w:sz="2" w:space="0" w:color="000000"/>
              <w:left w:val="single" w:sz="2" w:space="0" w:color="000000"/>
              <w:bottom w:val="single" w:sz="2" w:space="0" w:color="000000"/>
              <w:right w:val="single" w:sz="2" w:space="0" w:color="000000"/>
            </w:tcBorders>
          </w:tcPr>
          <w:p w14:paraId="0CBCFA4A" w14:textId="77777777" w:rsidR="001045BE" w:rsidRDefault="001045BE" w:rsidP="001045BE">
            <w:pPr>
              <w:pStyle w:val="Standaard-Tabellen"/>
            </w:pPr>
            <w:r>
              <w:t xml:space="preserve">H226: Flammable liquid and </w:t>
            </w:r>
            <w:proofErr w:type="spellStart"/>
            <w:r>
              <w:t>vapour</w:t>
            </w:r>
            <w:proofErr w:type="spellEnd"/>
          </w:p>
          <w:p w14:paraId="52EA2D0C" w14:textId="48DA9F21" w:rsidR="001045BE" w:rsidRPr="00C356FB" w:rsidRDefault="001045BE" w:rsidP="001045BE">
            <w:pPr>
              <w:snapToGrid w:val="0"/>
              <w:rPr>
                <w:bCs/>
                <w:sz w:val="18"/>
                <w:szCs w:val="24"/>
                <w:lang w:eastAsia="en-GB"/>
              </w:rPr>
            </w:pPr>
            <w:r w:rsidRPr="00C356FB">
              <w:rPr>
                <w:bCs/>
                <w:sz w:val="18"/>
                <w:szCs w:val="24"/>
                <w:lang w:eastAsia="en-GB"/>
              </w:rPr>
              <w:t>H319: Causes serious eye irritation</w:t>
            </w:r>
          </w:p>
        </w:tc>
      </w:tr>
      <w:tr w:rsidR="00E92982" w14:paraId="3BAD1785" w14:textId="77777777" w:rsidTr="00E92982">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2E883D86" w14:textId="77777777" w:rsidR="00E92982" w:rsidRPr="00C356FB" w:rsidRDefault="00E92982">
            <w:pPr>
              <w:snapToGrid w:val="0"/>
              <w:rPr>
                <w:bCs/>
                <w:sz w:val="18"/>
                <w:szCs w:val="24"/>
                <w:lang w:eastAsia="en-GB"/>
              </w:rPr>
            </w:pPr>
          </w:p>
        </w:tc>
      </w:tr>
      <w:tr w:rsidR="00E92982" w14:paraId="2054354D" w14:textId="77777777" w:rsidTr="00E92982">
        <w:trPr>
          <w:cantSplit/>
        </w:trPr>
        <w:tc>
          <w:tcPr>
            <w:tcW w:w="9020" w:type="dxa"/>
            <w:gridSpan w:val="2"/>
            <w:tcBorders>
              <w:top w:val="single" w:sz="2" w:space="0" w:color="000000"/>
              <w:left w:val="single" w:sz="2" w:space="0" w:color="000000"/>
              <w:bottom w:val="single" w:sz="2" w:space="0" w:color="000000"/>
              <w:right w:val="single" w:sz="2" w:space="0" w:color="000000"/>
            </w:tcBorders>
            <w:hideMark/>
          </w:tcPr>
          <w:p w14:paraId="7A6C1AFC" w14:textId="77777777" w:rsidR="00E92982" w:rsidRPr="00C356FB" w:rsidRDefault="00E92982">
            <w:pPr>
              <w:rPr>
                <w:bCs/>
                <w:sz w:val="18"/>
                <w:szCs w:val="24"/>
                <w:lang w:eastAsia="en-GB"/>
              </w:rPr>
            </w:pPr>
            <w:r w:rsidRPr="00C356FB">
              <w:rPr>
                <w:bCs/>
                <w:szCs w:val="24"/>
                <w:lang w:eastAsia="en-GB"/>
              </w:rPr>
              <w:t>Labelling</w:t>
            </w:r>
          </w:p>
        </w:tc>
      </w:tr>
      <w:tr w:rsidR="000260E6" w14:paraId="698CD106"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598D9946" w14:textId="77777777" w:rsidR="000260E6" w:rsidRDefault="000260E6" w:rsidP="000260E6">
            <w:pPr>
              <w:rPr>
                <w:lang w:eastAsia="fi-FI"/>
              </w:rPr>
            </w:pPr>
            <w:r>
              <w:t>Signal words</w:t>
            </w:r>
          </w:p>
        </w:tc>
        <w:tc>
          <w:tcPr>
            <w:tcW w:w="6414" w:type="dxa"/>
            <w:tcBorders>
              <w:top w:val="single" w:sz="2" w:space="0" w:color="000000"/>
              <w:left w:val="single" w:sz="2" w:space="0" w:color="000000"/>
              <w:bottom w:val="single" w:sz="2" w:space="0" w:color="000000"/>
              <w:right w:val="single" w:sz="2" w:space="0" w:color="000000"/>
            </w:tcBorders>
          </w:tcPr>
          <w:p w14:paraId="283DE527" w14:textId="3AFA770A" w:rsidR="000260E6" w:rsidRPr="00C356FB" w:rsidRDefault="00C356FB" w:rsidP="000260E6">
            <w:pPr>
              <w:snapToGrid w:val="0"/>
              <w:rPr>
                <w:bCs/>
                <w:sz w:val="18"/>
                <w:szCs w:val="24"/>
                <w:lang w:eastAsia="en-GB"/>
              </w:rPr>
            </w:pPr>
            <w:r>
              <w:rPr>
                <w:bCs/>
                <w:sz w:val="18"/>
                <w:szCs w:val="24"/>
                <w:lang w:eastAsia="en-GB"/>
              </w:rPr>
              <w:t>W</w:t>
            </w:r>
            <w:r w:rsidR="000260E6" w:rsidRPr="00C356FB">
              <w:rPr>
                <w:bCs/>
                <w:sz w:val="18"/>
                <w:szCs w:val="24"/>
                <w:lang w:eastAsia="en-GB"/>
              </w:rPr>
              <w:t>arning</w:t>
            </w:r>
          </w:p>
        </w:tc>
      </w:tr>
      <w:tr w:rsidR="000260E6" w14:paraId="126209FA"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5A3BB46F" w14:textId="77777777" w:rsidR="000260E6" w:rsidRDefault="000260E6" w:rsidP="000260E6">
            <w:pPr>
              <w:rPr>
                <w:lang w:eastAsia="fi-FI"/>
              </w:rPr>
            </w:pPr>
            <w:r>
              <w:t>Hazard statements</w:t>
            </w:r>
          </w:p>
        </w:tc>
        <w:tc>
          <w:tcPr>
            <w:tcW w:w="6414" w:type="dxa"/>
            <w:tcBorders>
              <w:top w:val="single" w:sz="2" w:space="0" w:color="000000"/>
              <w:left w:val="single" w:sz="2" w:space="0" w:color="000000"/>
              <w:bottom w:val="single" w:sz="2" w:space="0" w:color="000000"/>
              <w:right w:val="single" w:sz="2" w:space="0" w:color="000000"/>
            </w:tcBorders>
          </w:tcPr>
          <w:p w14:paraId="2C87D516" w14:textId="77777777" w:rsidR="000260E6" w:rsidRPr="00621336" w:rsidRDefault="000260E6" w:rsidP="000260E6">
            <w:pPr>
              <w:pStyle w:val="Standaard-Tabellen"/>
            </w:pPr>
            <w:r w:rsidRPr="00621336">
              <w:t xml:space="preserve">H226: Flammable liquid and </w:t>
            </w:r>
            <w:proofErr w:type="spellStart"/>
            <w:r w:rsidRPr="00621336">
              <w:t>vapour</w:t>
            </w:r>
            <w:proofErr w:type="spellEnd"/>
          </w:p>
          <w:p w14:paraId="3F85FDAF" w14:textId="72066C27" w:rsidR="000260E6" w:rsidRPr="00C356FB" w:rsidRDefault="000260E6" w:rsidP="000260E6">
            <w:pPr>
              <w:snapToGrid w:val="0"/>
              <w:rPr>
                <w:bCs/>
                <w:sz w:val="18"/>
                <w:szCs w:val="24"/>
                <w:lang w:eastAsia="en-GB"/>
              </w:rPr>
            </w:pPr>
            <w:r w:rsidRPr="00C356FB">
              <w:rPr>
                <w:bCs/>
                <w:sz w:val="18"/>
                <w:szCs w:val="24"/>
                <w:lang w:eastAsia="en-GB"/>
              </w:rPr>
              <w:t>H319: Causes serious eye irritation</w:t>
            </w:r>
          </w:p>
        </w:tc>
      </w:tr>
      <w:tr w:rsidR="000260E6" w:rsidRPr="000260E6" w14:paraId="179CAE60"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562588C5" w14:textId="77777777" w:rsidR="000260E6" w:rsidRDefault="000260E6" w:rsidP="000260E6">
            <w:pPr>
              <w:rPr>
                <w:lang w:eastAsia="fi-FI"/>
              </w:rPr>
            </w:pPr>
            <w:r>
              <w:t>Precautionary statements</w:t>
            </w:r>
          </w:p>
        </w:tc>
        <w:tc>
          <w:tcPr>
            <w:tcW w:w="6414" w:type="dxa"/>
            <w:tcBorders>
              <w:top w:val="single" w:sz="2" w:space="0" w:color="000000"/>
              <w:left w:val="single" w:sz="2" w:space="0" w:color="000000"/>
              <w:bottom w:val="single" w:sz="2" w:space="0" w:color="000000"/>
              <w:right w:val="single" w:sz="2" w:space="0" w:color="000000"/>
            </w:tcBorders>
          </w:tcPr>
          <w:p w14:paraId="7B701916" w14:textId="77777777" w:rsidR="000260E6" w:rsidRDefault="000260E6" w:rsidP="000260E6">
            <w:pPr>
              <w:pStyle w:val="Standaard-Tabellen"/>
            </w:pPr>
            <w:r>
              <w:t>P101 If medical advice is needed, have product container or label at hand</w:t>
            </w:r>
          </w:p>
          <w:p w14:paraId="167F6A30" w14:textId="77777777" w:rsidR="000260E6" w:rsidRDefault="000260E6" w:rsidP="000260E6">
            <w:pPr>
              <w:pStyle w:val="Standaard-Tabellen"/>
            </w:pPr>
            <w:r>
              <w:t>P102 Keep out of reach of children.</w:t>
            </w:r>
          </w:p>
          <w:p w14:paraId="31197D65" w14:textId="77777777" w:rsidR="000260E6" w:rsidRDefault="000260E6" w:rsidP="000260E6">
            <w:pPr>
              <w:pStyle w:val="Standaard-Tabellen"/>
            </w:pPr>
            <w:r>
              <w:t>P210 Keep away from heat, hot surfaces, sparks, open flames and other ignition sources. No smoking</w:t>
            </w:r>
          </w:p>
          <w:p w14:paraId="39EC49E2" w14:textId="77777777" w:rsidR="000260E6" w:rsidRDefault="000260E6" w:rsidP="000260E6">
            <w:pPr>
              <w:pStyle w:val="Standaard-Tabellen"/>
            </w:pPr>
            <w:r>
              <w:t>P264 Wash hands thoroughly after handling</w:t>
            </w:r>
          </w:p>
          <w:p w14:paraId="38DB33CD" w14:textId="77777777" w:rsidR="000260E6" w:rsidRDefault="000260E6" w:rsidP="000260E6">
            <w:pPr>
              <w:pStyle w:val="Standaard-Tabellen"/>
            </w:pPr>
            <w:r>
              <w:t>P305+P351+P338 IF IN EYES: Rinse cautiously with water for several minutes. Remove contact lenses, if present and easy to do. Continue rinsing.</w:t>
            </w:r>
          </w:p>
          <w:p w14:paraId="78FCDC4F" w14:textId="4C5F0B00" w:rsidR="000260E6" w:rsidRDefault="000260E6" w:rsidP="000260E6">
            <w:pPr>
              <w:snapToGrid w:val="0"/>
              <w:rPr>
                <w:lang w:eastAsia="fi-FI"/>
              </w:rPr>
            </w:pPr>
            <w:r w:rsidRPr="00C356FB">
              <w:rPr>
                <w:bCs/>
                <w:sz w:val="18"/>
                <w:szCs w:val="24"/>
                <w:lang w:eastAsia="en-GB"/>
              </w:rPr>
              <w:t>P501 Dispose of contents/container in accordance with local/regional/national/international regulations</w:t>
            </w:r>
          </w:p>
        </w:tc>
      </w:tr>
      <w:tr w:rsidR="00E92982" w:rsidRPr="000260E6" w14:paraId="01CCA914" w14:textId="77777777" w:rsidTr="00E92982">
        <w:trPr>
          <w:cantSplit/>
        </w:trPr>
        <w:tc>
          <w:tcPr>
            <w:tcW w:w="9020" w:type="dxa"/>
            <w:gridSpan w:val="2"/>
            <w:tcBorders>
              <w:top w:val="single" w:sz="2" w:space="0" w:color="000000"/>
              <w:left w:val="single" w:sz="2" w:space="0" w:color="000000"/>
              <w:bottom w:val="single" w:sz="2" w:space="0" w:color="000000"/>
              <w:right w:val="single" w:sz="2" w:space="0" w:color="000000"/>
            </w:tcBorders>
          </w:tcPr>
          <w:p w14:paraId="70DA4D19" w14:textId="77777777" w:rsidR="00E92982" w:rsidRDefault="00E92982">
            <w:pPr>
              <w:snapToGrid w:val="0"/>
              <w:rPr>
                <w:lang w:eastAsia="fi-FI"/>
              </w:rPr>
            </w:pPr>
          </w:p>
        </w:tc>
      </w:tr>
      <w:tr w:rsidR="00E92982" w14:paraId="01CD5ADF" w14:textId="77777777" w:rsidTr="00E92982">
        <w:trPr>
          <w:cantSplit/>
        </w:trPr>
        <w:tc>
          <w:tcPr>
            <w:tcW w:w="2606" w:type="dxa"/>
            <w:tcBorders>
              <w:top w:val="single" w:sz="2" w:space="0" w:color="000000"/>
              <w:left w:val="single" w:sz="2" w:space="0" w:color="000000"/>
              <w:bottom w:val="single" w:sz="2" w:space="0" w:color="000000"/>
              <w:right w:val="nil"/>
            </w:tcBorders>
            <w:hideMark/>
          </w:tcPr>
          <w:p w14:paraId="237F1472" w14:textId="77777777" w:rsidR="00E92982" w:rsidRDefault="00E92982">
            <w:pPr>
              <w:rPr>
                <w:b/>
                <w:lang w:eastAsia="fi-FI"/>
              </w:rPr>
            </w:pPr>
            <w:r>
              <w:t>Note</w:t>
            </w:r>
          </w:p>
        </w:tc>
        <w:tc>
          <w:tcPr>
            <w:tcW w:w="6414" w:type="dxa"/>
            <w:tcBorders>
              <w:top w:val="single" w:sz="2" w:space="0" w:color="000000"/>
              <w:left w:val="single" w:sz="2" w:space="0" w:color="000000"/>
              <w:bottom w:val="single" w:sz="2" w:space="0" w:color="000000"/>
              <w:right w:val="single" w:sz="2" w:space="0" w:color="000000"/>
            </w:tcBorders>
          </w:tcPr>
          <w:p w14:paraId="5D402B63" w14:textId="77777777" w:rsidR="00E92982" w:rsidRDefault="00E92982">
            <w:pPr>
              <w:snapToGrid w:val="0"/>
              <w:rPr>
                <w:b/>
                <w:lang w:eastAsia="fi-FI"/>
              </w:rPr>
            </w:pPr>
          </w:p>
        </w:tc>
      </w:tr>
    </w:tbl>
    <w:p w14:paraId="3E23D1B0" w14:textId="77777777" w:rsidR="00E92982" w:rsidRDefault="00E92982" w:rsidP="00E92982">
      <w:pPr>
        <w:tabs>
          <w:tab w:val="left" w:pos="500"/>
        </w:tabs>
        <w:ind w:left="500" w:hanging="500"/>
        <w:rPr>
          <w:rFonts w:cs="Verdana"/>
          <w:lang w:val="en-GB" w:eastAsia="zh-CN"/>
        </w:rPr>
      </w:pPr>
    </w:p>
    <w:p w14:paraId="7F301B03" w14:textId="77777777" w:rsidR="00E92982" w:rsidRDefault="00E92982" w:rsidP="00E92982"/>
    <w:p w14:paraId="73893D45" w14:textId="77777777" w:rsidR="00E92982" w:rsidRDefault="00E92982" w:rsidP="00534A29">
      <w:pPr>
        <w:pStyle w:val="Titre3"/>
        <w:numPr>
          <w:ilvl w:val="2"/>
          <w:numId w:val="42"/>
        </w:numPr>
        <w:tabs>
          <w:tab w:val="num" w:pos="0"/>
          <w:tab w:val="num" w:pos="284"/>
        </w:tabs>
        <w:suppressAutoHyphens/>
        <w:spacing w:before="0"/>
        <w:ind w:left="720"/>
      </w:pPr>
      <w:bookmarkStart w:id="50" w:name="_Toc2155635"/>
      <w:proofErr w:type="spellStart"/>
      <w:r>
        <w:rPr>
          <w:b w:val="0"/>
        </w:rPr>
        <w:t>Authorised</w:t>
      </w:r>
      <w:proofErr w:type="spellEnd"/>
      <w:r>
        <w:rPr>
          <w:b w:val="0"/>
        </w:rPr>
        <w:t xml:space="preserve"> use(s)</w:t>
      </w:r>
      <w:bookmarkEnd w:id="50"/>
    </w:p>
    <w:p w14:paraId="73007194" w14:textId="429DA44E" w:rsidR="00E92982" w:rsidRDefault="00E92982" w:rsidP="00534A29">
      <w:pPr>
        <w:pStyle w:val="Titre4"/>
        <w:numPr>
          <w:ilvl w:val="3"/>
          <w:numId w:val="42"/>
        </w:numPr>
        <w:tabs>
          <w:tab w:val="num" w:pos="0"/>
        </w:tabs>
        <w:suppressAutoHyphens/>
      </w:pPr>
      <w:bookmarkStart w:id="51" w:name="_Toc2155636"/>
      <w:r>
        <w:t>Use description</w:t>
      </w:r>
      <w:bookmarkEnd w:id="51"/>
    </w:p>
    <w:bookmarkEnd w:id="48"/>
    <w:p w14:paraId="73124229" w14:textId="1FD8274C" w:rsidR="00E92982" w:rsidRDefault="00E92982" w:rsidP="00E92982">
      <w:pPr>
        <w:pStyle w:val="Lgende"/>
        <w:spacing w:after="120"/>
        <w:rPr>
          <w:rFonts w:ascii="Verdana" w:hAnsi="Verdana"/>
          <w:b/>
          <w:bCs/>
          <w:szCs w:val="24"/>
          <w:lang w:eastAsia="en-GB"/>
        </w:rPr>
      </w:pPr>
      <w:r>
        <w:rPr>
          <w:rFonts w:ascii="Verdana" w:hAnsi="Verdana" w:cs="Verdana"/>
        </w:rPr>
        <w:t xml:space="preserve">Table </w:t>
      </w:r>
      <w:r>
        <w:rPr>
          <w:rFonts w:ascii="Verdana" w:hAnsi="Verdana" w:cs="Verdana"/>
        </w:rPr>
        <w:fldChar w:fldCharType="begin"/>
      </w:r>
      <w:r>
        <w:rPr>
          <w:rFonts w:ascii="Verdana" w:hAnsi="Verdana" w:cs="Verdana"/>
        </w:rPr>
        <w:instrText xml:space="preserve"> SEQ "Tableau" \* ARABIC </w:instrText>
      </w:r>
      <w:r>
        <w:rPr>
          <w:rFonts w:ascii="Verdana" w:hAnsi="Verdana" w:cs="Verdana"/>
        </w:rPr>
        <w:fldChar w:fldCharType="separate"/>
      </w:r>
      <w:r>
        <w:rPr>
          <w:rFonts w:ascii="Verdana" w:hAnsi="Verdana" w:cs="Verdana"/>
        </w:rPr>
        <w:t>1</w:t>
      </w:r>
      <w:r>
        <w:rPr>
          <w:rFonts w:ascii="Verdana" w:hAnsi="Verdana" w:cs="Verdana"/>
        </w:rPr>
        <w:fldChar w:fldCharType="end"/>
      </w:r>
      <w:r>
        <w:rPr>
          <w:rFonts w:ascii="Verdana" w:hAnsi="Verdana"/>
        </w:rPr>
        <w:t xml:space="preserve">. Use # 1 – </w:t>
      </w:r>
      <w:r w:rsidR="001045BE" w:rsidRPr="00C356FB">
        <w:rPr>
          <w:rFonts w:ascii="Verdana" w:hAnsi="Verdana"/>
        </w:rPr>
        <w:t>Skin application</w:t>
      </w:r>
    </w:p>
    <w:tbl>
      <w:tblPr>
        <w:tblW w:w="0" w:type="auto"/>
        <w:tblInd w:w="5" w:type="dxa"/>
        <w:tblLayout w:type="fixed"/>
        <w:tblCellMar>
          <w:left w:w="0" w:type="dxa"/>
          <w:right w:w="0" w:type="dxa"/>
        </w:tblCellMar>
        <w:tblLook w:val="04A0" w:firstRow="1" w:lastRow="0" w:firstColumn="1" w:lastColumn="0" w:noHBand="0" w:noVBand="1"/>
      </w:tblPr>
      <w:tblGrid>
        <w:gridCol w:w="2707"/>
        <w:gridCol w:w="6328"/>
      </w:tblGrid>
      <w:tr w:rsidR="001045BE" w14:paraId="38E97FAC" w14:textId="77777777" w:rsidTr="00E92982">
        <w:tc>
          <w:tcPr>
            <w:tcW w:w="2707" w:type="dxa"/>
            <w:tcBorders>
              <w:top w:val="single" w:sz="4" w:space="0" w:color="000000"/>
              <w:left w:val="single" w:sz="4" w:space="0" w:color="000000"/>
              <w:bottom w:val="single" w:sz="4" w:space="0" w:color="000000"/>
              <w:right w:val="nil"/>
            </w:tcBorders>
            <w:hideMark/>
          </w:tcPr>
          <w:p w14:paraId="1E81016D" w14:textId="77777777" w:rsidR="001045BE" w:rsidRDefault="001045BE" w:rsidP="001045BE">
            <w:pPr>
              <w:rPr>
                <w:b/>
                <w:lang w:eastAsia="zh-CN"/>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tcPr>
          <w:p w14:paraId="5620870A" w14:textId="57D52042" w:rsidR="001045BE" w:rsidRDefault="001045BE" w:rsidP="001045BE">
            <w:pPr>
              <w:snapToGrid w:val="0"/>
              <w:rPr>
                <w:b/>
              </w:rPr>
            </w:pPr>
            <w:r>
              <w:t>PT19 - Repellents and attractants (Pest control)</w:t>
            </w:r>
          </w:p>
        </w:tc>
      </w:tr>
      <w:tr w:rsidR="001045BE" w:rsidRPr="00E92982" w14:paraId="722B7391" w14:textId="77777777" w:rsidTr="00E92982">
        <w:tc>
          <w:tcPr>
            <w:tcW w:w="2707" w:type="dxa"/>
            <w:tcBorders>
              <w:top w:val="nil"/>
              <w:left w:val="single" w:sz="4" w:space="0" w:color="000000"/>
              <w:bottom w:val="single" w:sz="4" w:space="0" w:color="000000"/>
              <w:right w:val="nil"/>
            </w:tcBorders>
            <w:hideMark/>
          </w:tcPr>
          <w:p w14:paraId="70D3B8AE" w14:textId="77777777" w:rsidR="001045BE" w:rsidRDefault="001045BE" w:rsidP="001045BE">
            <w:pPr>
              <w:rPr>
                <w:b/>
              </w:rPr>
            </w:pPr>
            <w:r>
              <w:rPr>
                <w:b/>
                <w:bCs/>
                <w:szCs w:val="24"/>
                <w:lang w:eastAsia="en-GB"/>
              </w:rPr>
              <w:t xml:space="preserve">Where relevant, an exact description of the </w:t>
            </w:r>
            <w:proofErr w:type="spellStart"/>
            <w:r>
              <w:rPr>
                <w:b/>
                <w:bCs/>
                <w:szCs w:val="24"/>
                <w:lang w:eastAsia="en-GB"/>
              </w:rPr>
              <w:t>authorised</w:t>
            </w:r>
            <w:proofErr w:type="spellEnd"/>
            <w:r>
              <w:rPr>
                <w:b/>
                <w:bCs/>
                <w:szCs w:val="24"/>
                <w:lang w:eastAsia="en-GB"/>
              </w:rPr>
              <w:t xml:space="preserve"> use</w:t>
            </w:r>
          </w:p>
        </w:tc>
        <w:tc>
          <w:tcPr>
            <w:tcW w:w="6328" w:type="dxa"/>
            <w:tcBorders>
              <w:top w:val="nil"/>
              <w:left w:val="single" w:sz="4" w:space="0" w:color="000000"/>
              <w:bottom w:val="single" w:sz="4" w:space="0" w:color="000000"/>
              <w:right w:val="single" w:sz="4" w:space="0" w:color="000000"/>
            </w:tcBorders>
          </w:tcPr>
          <w:p w14:paraId="0560EB31" w14:textId="2643671C" w:rsidR="001045BE" w:rsidRDefault="001045BE" w:rsidP="001045BE">
            <w:pPr>
              <w:snapToGrid w:val="0"/>
              <w:rPr>
                <w:b/>
              </w:rPr>
            </w:pPr>
            <w:r>
              <w:rPr>
                <w:color w:val="000000"/>
              </w:rPr>
              <w:t>Repellent</w:t>
            </w:r>
          </w:p>
        </w:tc>
      </w:tr>
      <w:tr w:rsidR="001045BE" w:rsidRPr="00E92982" w14:paraId="018F5FE0" w14:textId="77777777" w:rsidTr="00E92982">
        <w:tc>
          <w:tcPr>
            <w:tcW w:w="2707" w:type="dxa"/>
            <w:tcBorders>
              <w:top w:val="nil"/>
              <w:left w:val="single" w:sz="4" w:space="0" w:color="000000"/>
              <w:bottom w:val="single" w:sz="4" w:space="0" w:color="000000"/>
              <w:right w:val="nil"/>
            </w:tcBorders>
            <w:hideMark/>
          </w:tcPr>
          <w:p w14:paraId="07FD676F" w14:textId="77777777" w:rsidR="001045BE" w:rsidRDefault="001045BE" w:rsidP="001045BE">
            <w:pPr>
              <w:rPr>
                <w:b/>
              </w:rPr>
            </w:pPr>
            <w:r>
              <w:rPr>
                <w:b/>
                <w:bCs/>
                <w:szCs w:val="24"/>
                <w:lang w:eastAsia="en-GB"/>
              </w:rPr>
              <w:t>Target organism (including development stage)</w:t>
            </w:r>
          </w:p>
        </w:tc>
        <w:tc>
          <w:tcPr>
            <w:tcW w:w="6328" w:type="dxa"/>
            <w:tcBorders>
              <w:top w:val="nil"/>
              <w:left w:val="single" w:sz="4" w:space="0" w:color="000000"/>
              <w:bottom w:val="single" w:sz="4" w:space="0" w:color="000000"/>
              <w:right w:val="single" w:sz="4" w:space="0" w:color="000000"/>
            </w:tcBorders>
          </w:tcPr>
          <w:p w14:paraId="1F75B437" w14:textId="00BBCA43" w:rsidR="001045BE" w:rsidRPr="00C356FB" w:rsidRDefault="001045BE" w:rsidP="00C356FB">
            <w:pPr>
              <w:snapToGrid w:val="0"/>
              <w:spacing w:before="200"/>
            </w:pPr>
            <w:proofErr w:type="spellStart"/>
            <w:r w:rsidRPr="009609F5">
              <w:rPr>
                <w:i/>
              </w:rPr>
              <w:t>Culex</w:t>
            </w:r>
            <w:proofErr w:type="spellEnd"/>
            <w:r w:rsidRPr="009609F5">
              <w:rPr>
                <w:i/>
              </w:rPr>
              <w:t xml:space="preserve"> spp.</w:t>
            </w:r>
            <w:r w:rsidR="00C356FB">
              <w:t xml:space="preserve"> - </w:t>
            </w:r>
            <w:r>
              <w:t xml:space="preserve">House </w:t>
            </w:r>
            <w:proofErr w:type="spellStart"/>
            <w:r>
              <w:t>mosquitoe</w:t>
            </w:r>
            <w:proofErr w:type="spellEnd"/>
            <w:r w:rsidR="00C356FB">
              <w:t xml:space="preserve"> – </w:t>
            </w:r>
            <w:r>
              <w:t>Adults</w:t>
            </w:r>
            <w:r>
              <w:br/>
            </w:r>
            <w:proofErr w:type="spellStart"/>
            <w:r w:rsidRPr="001A7525">
              <w:rPr>
                <w:i/>
              </w:rPr>
              <w:t>Aedes</w:t>
            </w:r>
            <w:proofErr w:type="spellEnd"/>
            <w:r w:rsidRPr="001A7525">
              <w:rPr>
                <w:i/>
              </w:rPr>
              <w:t xml:space="preserve"> </w:t>
            </w:r>
            <w:proofErr w:type="spellStart"/>
            <w:r w:rsidRPr="001A7525">
              <w:rPr>
                <w:i/>
              </w:rPr>
              <w:t>spp</w:t>
            </w:r>
            <w:proofErr w:type="spellEnd"/>
            <w:r w:rsidR="00C356FB" w:rsidRPr="001A7525">
              <w:rPr>
                <w:i/>
              </w:rPr>
              <w:t xml:space="preserve"> - </w:t>
            </w:r>
            <w:proofErr w:type="spellStart"/>
            <w:r w:rsidRPr="00D87ECE">
              <w:t>Aedes</w:t>
            </w:r>
            <w:proofErr w:type="spellEnd"/>
            <w:r w:rsidRPr="00D87ECE">
              <w:t xml:space="preserve"> mosquitoes</w:t>
            </w:r>
            <w:r w:rsidR="00C356FB" w:rsidRPr="00A20556">
              <w:t xml:space="preserve"> - </w:t>
            </w:r>
            <w:r w:rsidRPr="00A20556">
              <w:t>Adults</w:t>
            </w:r>
            <w:r w:rsidRPr="001A7525">
              <w:rPr>
                <w:i/>
              </w:rPr>
              <w:br/>
              <w:t xml:space="preserve">Anopheles </w:t>
            </w:r>
            <w:proofErr w:type="spellStart"/>
            <w:r w:rsidRPr="001A7525">
              <w:rPr>
                <w:i/>
              </w:rPr>
              <w:t>spp</w:t>
            </w:r>
            <w:proofErr w:type="spellEnd"/>
            <w:r w:rsidR="00C356FB" w:rsidRPr="001A7525">
              <w:rPr>
                <w:i/>
              </w:rPr>
              <w:t xml:space="preserve"> - </w:t>
            </w:r>
            <w:r w:rsidRPr="00D87ECE">
              <w:t>Anopheles mosquitoes</w:t>
            </w:r>
            <w:r w:rsidR="00C356FB" w:rsidRPr="00A20556">
              <w:t xml:space="preserve"> - </w:t>
            </w:r>
            <w:r w:rsidRPr="00A20556">
              <w:t>Adults</w:t>
            </w:r>
            <w:r w:rsidRPr="001A7525">
              <w:rPr>
                <w:i/>
              </w:rPr>
              <w:br/>
            </w:r>
            <w:proofErr w:type="spellStart"/>
            <w:r w:rsidRPr="001A7525">
              <w:rPr>
                <w:i/>
              </w:rPr>
              <w:t>Ixodes</w:t>
            </w:r>
            <w:proofErr w:type="spellEnd"/>
            <w:r w:rsidRPr="001A7525">
              <w:rPr>
                <w:i/>
              </w:rPr>
              <w:t xml:space="preserve"> </w:t>
            </w:r>
            <w:proofErr w:type="spellStart"/>
            <w:r w:rsidRPr="001A7525">
              <w:rPr>
                <w:i/>
              </w:rPr>
              <w:t>ricinus</w:t>
            </w:r>
            <w:proofErr w:type="spellEnd"/>
            <w:r w:rsidR="00C356FB" w:rsidRPr="001A7525">
              <w:rPr>
                <w:i/>
              </w:rPr>
              <w:t xml:space="preserve"> - </w:t>
            </w:r>
            <w:r w:rsidRPr="00D87ECE">
              <w:t>Hard ticks</w:t>
            </w:r>
            <w:r w:rsidR="00C356FB" w:rsidRPr="00A20556">
              <w:t xml:space="preserve"> - </w:t>
            </w:r>
            <w:r w:rsidRPr="00A20556">
              <w:t>Adults and nymphs</w:t>
            </w:r>
            <w:r w:rsidRPr="001A7525">
              <w:rPr>
                <w:i/>
              </w:rPr>
              <w:br/>
            </w:r>
            <w:proofErr w:type="spellStart"/>
            <w:r w:rsidRPr="001A7525">
              <w:rPr>
                <w:i/>
              </w:rPr>
              <w:t>Ixodes</w:t>
            </w:r>
            <w:proofErr w:type="spellEnd"/>
            <w:r w:rsidRPr="001A7525">
              <w:rPr>
                <w:i/>
              </w:rPr>
              <w:t xml:space="preserve"> </w:t>
            </w:r>
            <w:proofErr w:type="spellStart"/>
            <w:r w:rsidRPr="001A7525">
              <w:rPr>
                <w:i/>
              </w:rPr>
              <w:t>scapularis</w:t>
            </w:r>
            <w:proofErr w:type="spellEnd"/>
            <w:r w:rsidR="00C356FB">
              <w:t xml:space="preserve"> - </w:t>
            </w:r>
            <w:r>
              <w:t>Hard ticks</w:t>
            </w:r>
            <w:r w:rsidR="00C356FB">
              <w:t xml:space="preserve"> - </w:t>
            </w:r>
            <w:r>
              <w:t>Adults and nymphs</w:t>
            </w:r>
          </w:p>
        </w:tc>
      </w:tr>
      <w:tr w:rsidR="001045BE" w:rsidRPr="001045BE" w14:paraId="0E9BE69D" w14:textId="77777777" w:rsidTr="00E92982">
        <w:tc>
          <w:tcPr>
            <w:tcW w:w="2707" w:type="dxa"/>
            <w:tcBorders>
              <w:top w:val="nil"/>
              <w:left w:val="single" w:sz="4" w:space="0" w:color="000000"/>
              <w:bottom w:val="single" w:sz="4" w:space="0" w:color="000000"/>
              <w:right w:val="nil"/>
            </w:tcBorders>
            <w:hideMark/>
          </w:tcPr>
          <w:p w14:paraId="745DC932" w14:textId="77777777" w:rsidR="001045BE" w:rsidRDefault="001045BE" w:rsidP="001045BE">
            <w:pPr>
              <w:rPr>
                <w:b/>
              </w:rPr>
            </w:pPr>
            <w:r>
              <w:rPr>
                <w:b/>
                <w:bCs/>
                <w:szCs w:val="24"/>
                <w:lang w:eastAsia="en-GB"/>
              </w:rPr>
              <w:lastRenderedPageBreak/>
              <w:t>Field of use</w:t>
            </w:r>
          </w:p>
        </w:tc>
        <w:tc>
          <w:tcPr>
            <w:tcW w:w="6328" w:type="dxa"/>
            <w:tcBorders>
              <w:top w:val="nil"/>
              <w:left w:val="single" w:sz="4" w:space="0" w:color="000000"/>
              <w:bottom w:val="single" w:sz="4" w:space="0" w:color="000000"/>
              <w:right w:val="single" w:sz="4" w:space="0" w:color="000000"/>
            </w:tcBorders>
          </w:tcPr>
          <w:p w14:paraId="4CFC858A" w14:textId="1E4E3CCF" w:rsidR="001045BE" w:rsidRDefault="001045BE" w:rsidP="00534A29">
            <w:pPr>
              <w:snapToGrid w:val="0"/>
              <w:rPr>
                <w:b/>
              </w:rPr>
            </w:pPr>
            <w:r>
              <w:t>Indoor</w:t>
            </w:r>
            <w:r>
              <w:br/>
              <w:t>Outdoor</w:t>
            </w:r>
            <w:r>
              <w:br/>
            </w:r>
          </w:p>
        </w:tc>
      </w:tr>
      <w:tr w:rsidR="001045BE" w:rsidRPr="001045BE" w14:paraId="3A37055E" w14:textId="77777777" w:rsidTr="00E92982">
        <w:tc>
          <w:tcPr>
            <w:tcW w:w="2707" w:type="dxa"/>
            <w:tcBorders>
              <w:top w:val="nil"/>
              <w:left w:val="single" w:sz="4" w:space="0" w:color="000000"/>
              <w:bottom w:val="single" w:sz="4" w:space="0" w:color="000000"/>
              <w:right w:val="nil"/>
            </w:tcBorders>
            <w:hideMark/>
          </w:tcPr>
          <w:p w14:paraId="0DEAC298" w14:textId="77777777" w:rsidR="001045BE" w:rsidRDefault="001045BE" w:rsidP="001045BE">
            <w:pPr>
              <w:rPr>
                <w:b/>
              </w:rPr>
            </w:pPr>
            <w:r>
              <w:rPr>
                <w:b/>
                <w:bCs/>
                <w:szCs w:val="24"/>
                <w:lang w:eastAsia="en-GB"/>
              </w:rPr>
              <w:t>Application method(s)</w:t>
            </w:r>
          </w:p>
        </w:tc>
        <w:tc>
          <w:tcPr>
            <w:tcW w:w="6328" w:type="dxa"/>
            <w:tcBorders>
              <w:top w:val="nil"/>
              <w:left w:val="single" w:sz="4" w:space="0" w:color="000000"/>
              <w:bottom w:val="single" w:sz="4" w:space="0" w:color="000000"/>
              <w:right w:val="single" w:sz="4" w:space="0" w:color="000000"/>
            </w:tcBorders>
          </w:tcPr>
          <w:p w14:paraId="6F0331D3" w14:textId="77777777" w:rsidR="001045BE" w:rsidRDefault="001045BE" w:rsidP="001045BE">
            <w:r>
              <w:t>Spraying</w:t>
            </w:r>
          </w:p>
          <w:p w14:paraId="0238057C" w14:textId="689B6615" w:rsidR="001045BE" w:rsidRDefault="001045BE" w:rsidP="001045BE">
            <w:pPr>
              <w:snapToGrid w:val="0"/>
              <w:rPr>
                <w:b/>
              </w:rPr>
            </w:pPr>
            <w:r>
              <w:rPr>
                <w:color w:val="000000"/>
              </w:rPr>
              <w:t xml:space="preserve">Apply by spraying on exposed skin, and spread on the skin with the hand. </w:t>
            </w:r>
            <w:r>
              <w:br/>
            </w:r>
          </w:p>
        </w:tc>
      </w:tr>
      <w:tr w:rsidR="00E92982" w:rsidRPr="00E92982" w14:paraId="62E59D0B" w14:textId="77777777" w:rsidTr="00E92982">
        <w:tc>
          <w:tcPr>
            <w:tcW w:w="2707" w:type="dxa"/>
            <w:tcBorders>
              <w:top w:val="nil"/>
              <w:left w:val="single" w:sz="4" w:space="0" w:color="000000"/>
              <w:bottom w:val="single" w:sz="4" w:space="0" w:color="000000"/>
              <w:right w:val="nil"/>
            </w:tcBorders>
            <w:hideMark/>
          </w:tcPr>
          <w:p w14:paraId="6BD5BE24" w14:textId="77777777" w:rsidR="00E92982" w:rsidRDefault="00E92982">
            <w:pPr>
              <w:rPr>
                <w:b/>
              </w:rPr>
            </w:pPr>
            <w:r>
              <w:rPr>
                <w:b/>
                <w:bCs/>
                <w:szCs w:val="24"/>
                <w:lang w:eastAsia="en-GB"/>
              </w:rPr>
              <w:t>Application rate(s) and frequency</w:t>
            </w:r>
          </w:p>
        </w:tc>
        <w:tc>
          <w:tcPr>
            <w:tcW w:w="6328" w:type="dxa"/>
            <w:tcBorders>
              <w:top w:val="nil"/>
              <w:left w:val="single" w:sz="4" w:space="0" w:color="000000"/>
              <w:bottom w:val="single" w:sz="4" w:space="0" w:color="000000"/>
              <w:right w:val="single" w:sz="4" w:space="0" w:color="000000"/>
            </w:tcBorders>
          </w:tcPr>
          <w:p w14:paraId="01EC5781" w14:textId="5923CADF" w:rsidR="00E92982" w:rsidRDefault="001045BE" w:rsidP="001045BE">
            <w:pPr>
              <w:snapToGrid w:val="0"/>
              <w:rPr>
                <w:b/>
              </w:rPr>
            </w:pPr>
            <w:r>
              <w:rPr>
                <w:color w:val="000000"/>
              </w:rPr>
              <w:t>Mosquitoes : 0,00067 g/cm² of skin</w:t>
            </w:r>
            <w:r>
              <w:br/>
            </w:r>
            <w:r>
              <w:rPr>
                <w:color w:val="000000"/>
              </w:rPr>
              <w:t>Protection time : 8 hours</w:t>
            </w:r>
            <w:r>
              <w:br/>
            </w:r>
            <w:r>
              <w:br/>
            </w:r>
            <w:r>
              <w:rPr>
                <w:color w:val="000000"/>
              </w:rPr>
              <w:t>Ticks: 0,00067 g/cm² of skin</w:t>
            </w:r>
            <w:r>
              <w:br/>
            </w:r>
            <w:r>
              <w:rPr>
                <w:color w:val="000000"/>
              </w:rPr>
              <w:t>Protection time : 12 hours</w:t>
            </w:r>
          </w:p>
        </w:tc>
      </w:tr>
      <w:tr w:rsidR="00E92982" w14:paraId="4F628B90" w14:textId="77777777" w:rsidTr="00E92982">
        <w:tc>
          <w:tcPr>
            <w:tcW w:w="2707" w:type="dxa"/>
            <w:tcBorders>
              <w:top w:val="nil"/>
              <w:left w:val="single" w:sz="4" w:space="0" w:color="000000"/>
              <w:bottom w:val="single" w:sz="4" w:space="0" w:color="000000"/>
              <w:right w:val="nil"/>
            </w:tcBorders>
            <w:hideMark/>
          </w:tcPr>
          <w:p w14:paraId="1DC69D25" w14:textId="77777777" w:rsidR="00E92982" w:rsidRDefault="00E92982">
            <w:pPr>
              <w:rPr>
                <w:b/>
              </w:rPr>
            </w:pPr>
            <w:r>
              <w:rPr>
                <w:b/>
                <w:bCs/>
                <w:szCs w:val="24"/>
                <w:lang w:eastAsia="en-GB"/>
              </w:rPr>
              <w:t>Category(</w:t>
            </w:r>
            <w:proofErr w:type="spellStart"/>
            <w:r>
              <w:rPr>
                <w:b/>
                <w:bCs/>
                <w:szCs w:val="24"/>
                <w:lang w:eastAsia="en-GB"/>
              </w:rPr>
              <w:t>ies</w:t>
            </w:r>
            <w:proofErr w:type="spellEnd"/>
            <w:r>
              <w:rPr>
                <w:b/>
                <w:bCs/>
                <w:szCs w:val="24"/>
                <w:lang w:eastAsia="en-GB"/>
              </w:rPr>
              <w:t>) of users</w:t>
            </w:r>
          </w:p>
        </w:tc>
        <w:tc>
          <w:tcPr>
            <w:tcW w:w="6328" w:type="dxa"/>
            <w:tcBorders>
              <w:top w:val="nil"/>
              <w:left w:val="single" w:sz="4" w:space="0" w:color="000000"/>
              <w:bottom w:val="single" w:sz="4" w:space="0" w:color="000000"/>
              <w:right w:val="single" w:sz="4" w:space="0" w:color="000000"/>
            </w:tcBorders>
          </w:tcPr>
          <w:p w14:paraId="67875F5E" w14:textId="0079DC44" w:rsidR="00E92982" w:rsidRDefault="001045BE">
            <w:pPr>
              <w:snapToGrid w:val="0"/>
              <w:rPr>
                <w:b/>
              </w:rPr>
            </w:pPr>
            <w:r>
              <w:t>General public (non-professional)</w:t>
            </w:r>
          </w:p>
        </w:tc>
      </w:tr>
      <w:tr w:rsidR="00E92982" w:rsidRPr="00E92982" w14:paraId="293CE50D" w14:textId="77777777" w:rsidTr="00E92982">
        <w:tc>
          <w:tcPr>
            <w:tcW w:w="2707" w:type="dxa"/>
            <w:tcBorders>
              <w:top w:val="nil"/>
              <w:left w:val="single" w:sz="4" w:space="0" w:color="000000"/>
              <w:bottom w:val="single" w:sz="4" w:space="0" w:color="000000"/>
              <w:right w:val="nil"/>
            </w:tcBorders>
            <w:hideMark/>
          </w:tcPr>
          <w:p w14:paraId="1290FB2B" w14:textId="77777777" w:rsidR="00E92982" w:rsidRDefault="00E92982">
            <w:r>
              <w:rPr>
                <w:b/>
                <w:bCs/>
                <w:szCs w:val="24"/>
                <w:lang w:eastAsia="en-GB"/>
              </w:rPr>
              <w:t>Pack sizes and packaging material</w:t>
            </w:r>
          </w:p>
        </w:tc>
        <w:tc>
          <w:tcPr>
            <w:tcW w:w="6328" w:type="dxa"/>
            <w:tcBorders>
              <w:top w:val="nil"/>
              <w:left w:val="single" w:sz="4" w:space="0" w:color="000000"/>
              <w:bottom w:val="single" w:sz="4" w:space="0" w:color="000000"/>
              <w:right w:val="single" w:sz="4" w:space="0" w:color="000000"/>
            </w:tcBorders>
            <w:hideMark/>
          </w:tcPr>
          <w:p w14:paraId="5F004AA8" w14:textId="143EAC06" w:rsidR="00E92982" w:rsidRDefault="001045BE">
            <w:r w:rsidRPr="001045BE">
              <w:t>HDPE bottle, from 25 to 750 mL</w:t>
            </w:r>
          </w:p>
        </w:tc>
      </w:tr>
    </w:tbl>
    <w:p w14:paraId="202BEB48" w14:textId="77777777" w:rsidR="00E92982" w:rsidRDefault="00E92982" w:rsidP="00E92982">
      <w:pPr>
        <w:keepNext/>
        <w:widowControl w:val="0"/>
        <w:autoSpaceDE w:val="0"/>
        <w:spacing w:after="120"/>
        <w:rPr>
          <w:rFonts w:cs="Verdana"/>
          <w:b/>
          <w:bCs/>
          <w:i/>
          <w:iCs/>
          <w:lang w:val="en-GB" w:eastAsia="zh-CN"/>
        </w:rPr>
      </w:pPr>
    </w:p>
    <w:p w14:paraId="4FEDEE8A" w14:textId="02AEA93D" w:rsidR="00E92982" w:rsidRDefault="00E92982" w:rsidP="001E6213">
      <w:pPr>
        <w:pStyle w:val="Titre4"/>
        <w:numPr>
          <w:ilvl w:val="3"/>
          <w:numId w:val="42"/>
        </w:numPr>
        <w:tabs>
          <w:tab w:val="num" w:pos="0"/>
        </w:tabs>
        <w:suppressAutoHyphens/>
        <w:ind w:left="1276" w:hanging="1134"/>
        <w:rPr>
          <w:rFonts w:cs="Times"/>
          <w:bCs/>
          <w:i w:val="0"/>
          <w:szCs w:val="29"/>
        </w:rPr>
      </w:pPr>
      <w:bookmarkStart w:id="52" w:name="_Toc2155637"/>
      <w:r>
        <w:t>Use-specific instructions for use</w:t>
      </w:r>
      <w:bookmarkEnd w:id="5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6E153DEF"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75E5059D" w14:textId="710ACC5F" w:rsidR="00E92982" w:rsidRDefault="001045BE">
            <w:pPr>
              <w:widowControl w:val="0"/>
              <w:autoSpaceDE w:val="0"/>
              <w:snapToGrid w:val="0"/>
              <w:spacing w:before="80"/>
              <w:rPr>
                <w:rFonts w:cs="Times"/>
                <w:bCs/>
                <w:szCs w:val="29"/>
              </w:rPr>
            </w:pPr>
            <w:r>
              <w:rPr>
                <w:rFonts w:cs="Times"/>
                <w:bCs/>
                <w:szCs w:val="29"/>
              </w:rPr>
              <w:t>-</w:t>
            </w:r>
          </w:p>
        </w:tc>
      </w:tr>
    </w:tbl>
    <w:p w14:paraId="3FF5FB3A" w14:textId="77777777" w:rsidR="00E92982" w:rsidRDefault="00E92982" w:rsidP="00E92982">
      <w:pPr>
        <w:keepNext/>
        <w:widowControl w:val="0"/>
        <w:autoSpaceDE w:val="0"/>
        <w:spacing w:after="120"/>
        <w:rPr>
          <w:rFonts w:cs="Verdana"/>
          <w:b/>
          <w:i/>
          <w:caps/>
          <w:sz w:val="22"/>
          <w:szCs w:val="22"/>
          <w:lang w:val="de-DE"/>
        </w:rPr>
      </w:pPr>
    </w:p>
    <w:p w14:paraId="5AB3AE38" w14:textId="77777777" w:rsidR="00E92982" w:rsidRPr="001A7525" w:rsidRDefault="00E92982" w:rsidP="001A7525">
      <w:pPr>
        <w:pStyle w:val="Titre4"/>
        <w:numPr>
          <w:ilvl w:val="3"/>
          <w:numId w:val="42"/>
        </w:numPr>
        <w:tabs>
          <w:tab w:val="num" w:pos="0"/>
        </w:tabs>
        <w:suppressAutoHyphens/>
        <w:ind w:left="1276" w:hanging="1134"/>
      </w:pPr>
      <w:bookmarkStart w:id="53" w:name="_Toc2155638"/>
      <w:r>
        <w:t>Use-specific risk mitigation measures</w:t>
      </w:r>
      <w:bookmarkEnd w:id="53"/>
      <w:r>
        <w:t xml:space="preserve">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14:paraId="4C2102DF"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3A2F857E" w14:textId="03B6C7EC" w:rsidR="00E92982" w:rsidRDefault="001045BE">
            <w:pPr>
              <w:widowControl w:val="0"/>
              <w:autoSpaceDE w:val="0"/>
              <w:snapToGrid w:val="0"/>
              <w:spacing w:before="80"/>
              <w:rPr>
                <w:rFonts w:cs="Times"/>
                <w:bCs/>
                <w:szCs w:val="29"/>
              </w:rPr>
            </w:pPr>
            <w:r>
              <w:rPr>
                <w:rFonts w:cs="Times"/>
                <w:bCs/>
                <w:szCs w:val="29"/>
              </w:rPr>
              <w:t>-</w:t>
            </w:r>
          </w:p>
        </w:tc>
      </w:tr>
    </w:tbl>
    <w:p w14:paraId="29780585" w14:textId="77777777" w:rsidR="00E92982" w:rsidRDefault="00E92982" w:rsidP="00E92982">
      <w:pPr>
        <w:keepNext/>
        <w:widowControl w:val="0"/>
        <w:autoSpaceDE w:val="0"/>
        <w:spacing w:after="120"/>
        <w:rPr>
          <w:rFonts w:cs="Verdana"/>
          <w:b/>
          <w:i/>
          <w:caps/>
          <w:sz w:val="22"/>
          <w:szCs w:val="22"/>
          <w:lang w:val="de-DE"/>
        </w:rPr>
      </w:pPr>
    </w:p>
    <w:p w14:paraId="7C78975B" w14:textId="13D16AEC" w:rsidR="00E92982" w:rsidRPr="00534A29" w:rsidRDefault="00E92982" w:rsidP="001A7525">
      <w:pPr>
        <w:pStyle w:val="Titre4"/>
        <w:numPr>
          <w:ilvl w:val="3"/>
          <w:numId w:val="42"/>
        </w:numPr>
        <w:tabs>
          <w:tab w:val="num" w:pos="0"/>
        </w:tabs>
        <w:suppressAutoHyphens/>
        <w:ind w:left="1276" w:hanging="1134"/>
      </w:pPr>
      <w:bookmarkStart w:id="54" w:name="_Toc2155639"/>
      <w:r>
        <w:t>Where specific to the use, the particulars of likely direct or indirect effects, first aid instructions and emergency measures to protect the environment</w:t>
      </w:r>
      <w:bookmarkEnd w:id="54"/>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4FD5680E"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3953684F" w14:textId="4C6EDDDF" w:rsidR="00E92982" w:rsidRDefault="001045BE">
            <w:pPr>
              <w:widowControl w:val="0"/>
              <w:autoSpaceDE w:val="0"/>
              <w:snapToGrid w:val="0"/>
              <w:spacing w:before="80"/>
              <w:rPr>
                <w:rFonts w:cs="Times"/>
                <w:bCs/>
                <w:szCs w:val="29"/>
              </w:rPr>
            </w:pPr>
            <w:r>
              <w:rPr>
                <w:rFonts w:cs="Times"/>
                <w:bCs/>
                <w:szCs w:val="29"/>
              </w:rPr>
              <w:t>-</w:t>
            </w:r>
          </w:p>
        </w:tc>
      </w:tr>
    </w:tbl>
    <w:p w14:paraId="4905B442" w14:textId="77777777" w:rsidR="00E92982" w:rsidRPr="001A7525" w:rsidRDefault="00E92982" w:rsidP="001A7525">
      <w:pPr>
        <w:pStyle w:val="Titre4"/>
        <w:numPr>
          <w:ilvl w:val="3"/>
          <w:numId w:val="42"/>
        </w:numPr>
        <w:tabs>
          <w:tab w:val="num" w:pos="0"/>
        </w:tabs>
        <w:suppressAutoHyphens/>
        <w:ind w:left="1276" w:hanging="1134"/>
      </w:pPr>
      <w:bookmarkStart w:id="55" w:name="_Toc2155640"/>
      <w:r>
        <w:t>Where specific to the use, the instructions for safe disposal of the product and its packaging</w:t>
      </w:r>
      <w:bookmarkEnd w:id="55"/>
      <w:r>
        <w:t xml:space="preserve"> </w:t>
      </w:r>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27AD79B0"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7AE11347" w14:textId="301109D5" w:rsidR="00E92982" w:rsidRDefault="001045BE">
            <w:pPr>
              <w:widowControl w:val="0"/>
              <w:autoSpaceDE w:val="0"/>
              <w:snapToGrid w:val="0"/>
              <w:spacing w:before="80"/>
              <w:rPr>
                <w:rFonts w:cs="Times"/>
                <w:bCs/>
                <w:szCs w:val="29"/>
              </w:rPr>
            </w:pPr>
            <w:r>
              <w:rPr>
                <w:rFonts w:cs="Times"/>
                <w:bCs/>
                <w:szCs w:val="29"/>
              </w:rPr>
              <w:t>-</w:t>
            </w:r>
          </w:p>
        </w:tc>
      </w:tr>
    </w:tbl>
    <w:p w14:paraId="4522282F" w14:textId="77777777" w:rsidR="00E92982" w:rsidRDefault="00E92982" w:rsidP="00E92982">
      <w:pPr>
        <w:widowControl w:val="0"/>
        <w:autoSpaceDE w:val="0"/>
        <w:rPr>
          <w:rFonts w:cs="Times"/>
          <w:bCs/>
          <w:szCs w:val="29"/>
          <w:lang w:val="en-GB" w:eastAsia="zh-CN"/>
        </w:rPr>
      </w:pPr>
    </w:p>
    <w:p w14:paraId="4A6C6558" w14:textId="11ADD931" w:rsidR="00E92982" w:rsidRPr="001E6213" w:rsidRDefault="00E92982" w:rsidP="001A7525">
      <w:pPr>
        <w:pStyle w:val="Titre4"/>
        <w:numPr>
          <w:ilvl w:val="3"/>
          <w:numId w:val="42"/>
        </w:numPr>
        <w:tabs>
          <w:tab w:val="num" w:pos="0"/>
        </w:tabs>
        <w:suppressAutoHyphens/>
        <w:ind w:left="1276" w:hanging="1134"/>
      </w:pPr>
      <w:bookmarkStart w:id="56" w:name="_Toc2155641"/>
      <w:r>
        <w:t>Where specific to the use, the conditions of storage and shelf-life of the product under normal conditions of storage</w:t>
      </w:r>
      <w:bookmarkEnd w:id="56"/>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242D0BA5"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3B78CBBE" w14:textId="50092731" w:rsidR="00E92982" w:rsidRDefault="001045BE">
            <w:pPr>
              <w:widowControl w:val="0"/>
              <w:autoSpaceDE w:val="0"/>
              <w:snapToGrid w:val="0"/>
              <w:spacing w:before="80"/>
              <w:rPr>
                <w:rFonts w:cs="Times"/>
                <w:bCs/>
                <w:szCs w:val="29"/>
              </w:rPr>
            </w:pPr>
            <w:r>
              <w:rPr>
                <w:rFonts w:cs="Times"/>
                <w:bCs/>
                <w:szCs w:val="29"/>
              </w:rPr>
              <w:t>-</w:t>
            </w:r>
          </w:p>
        </w:tc>
      </w:tr>
    </w:tbl>
    <w:p w14:paraId="6F2487B0" w14:textId="77777777" w:rsidR="00E92982" w:rsidRDefault="00E92982" w:rsidP="00E92982">
      <w:pPr>
        <w:widowControl w:val="0"/>
        <w:autoSpaceDE w:val="0"/>
        <w:rPr>
          <w:rFonts w:cs="Times"/>
          <w:bCs/>
          <w:szCs w:val="29"/>
          <w:lang w:val="en-GB" w:eastAsia="zh-CN"/>
        </w:rPr>
      </w:pPr>
    </w:p>
    <w:p w14:paraId="67766777" w14:textId="77777777" w:rsidR="00E92982" w:rsidRDefault="00E92982" w:rsidP="00E92982">
      <w:pPr>
        <w:pageBreakBefore/>
        <w:widowControl w:val="0"/>
        <w:autoSpaceDE w:val="0"/>
        <w:rPr>
          <w:rFonts w:cs="Times"/>
          <w:bCs/>
          <w:szCs w:val="29"/>
        </w:rPr>
      </w:pPr>
    </w:p>
    <w:p w14:paraId="446C3C3D" w14:textId="1E49C153" w:rsidR="00E92982" w:rsidRDefault="00E92982" w:rsidP="00534A29">
      <w:pPr>
        <w:pStyle w:val="Titre3"/>
        <w:numPr>
          <w:ilvl w:val="2"/>
          <w:numId w:val="42"/>
        </w:numPr>
        <w:tabs>
          <w:tab w:val="num" w:pos="0"/>
          <w:tab w:val="num" w:pos="284"/>
        </w:tabs>
        <w:suppressAutoHyphens/>
        <w:spacing w:before="0"/>
        <w:ind w:left="720"/>
        <w:rPr>
          <w:rFonts w:cs="Verdana"/>
        </w:rPr>
      </w:pPr>
      <w:bookmarkStart w:id="57" w:name="_Toc2155642"/>
      <w:r>
        <w:rPr>
          <w:b w:val="0"/>
        </w:rPr>
        <w:t>General directions for use</w:t>
      </w:r>
      <w:bookmarkEnd w:id="57"/>
    </w:p>
    <w:p w14:paraId="074FBB3E" w14:textId="38813AF7" w:rsidR="00E92982" w:rsidRDefault="00E92982" w:rsidP="001A7525">
      <w:pPr>
        <w:pStyle w:val="Titre4"/>
        <w:numPr>
          <w:ilvl w:val="3"/>
          <w:numId w:val="42"/>
        </w:numPr>
        <w:tabs>
          <w:tab w:val="num" w:pos="0"/>
        </w:tabs>
        <w:suppressAutoHyphens/>
        <w:ind w:left="1276" w:hanging="1134"/>
      </w:pPr>
      <w:bookmarkStart w:id="58" w:name="_Toc2155643"/>
      <w:r>
        <w:t>Instructions for use</w:t>
      </w:r>
      <w:bookmarkEnd w:id="58"/>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1045BE" w14:paraId="556CAA6A"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379EBACA" w14:textId="1C54D2B5" w:rsidR="001D1185" w:rsidRPr="001D1185" w:rsidRDefault="00241246" w:rsidP="001D1185">
            <w:pPr>
              <w:pStyle w:val="Paragraphedeliste"/>
              <w:numPr>
                <w:ilvl w:val="0"/>
                <w:numId w:val="36"/>
              </w:numPr>
              <w:autoSpaceDE w:val="0"/>
              <w:autoSpaceDN w:val="0"/>
              <w:spacing w:before="40" w:after="40"/>
              <w:rPr>
                <w:color w:val="000000"/>
              </w:rPr>
            </w:pPr>
            <w:r w:rsidRPr="001D1185">
              <w:rPr>
                <w:color w:val="000000"/>
              </w:rPr>
              <w:t xml:space="preserve">Efficacy in tropical conditions has not been </w:t>
            </w:r>
            <w:r w:rsidR="008804A0" w:rsidRPr="001D1185">
              <w:rPr>
                <w:color w:val="000000"/>
              </w:rPr>
              <w:t>verified.</w:t>
            </w:r>
          </w:p>
          <w:p w14:paraId="0C4095B8" w14:textId="5F30087C" w:rsidR="001D1185" w:rsidRDefault="00241246" w:rsidP="001D1185">
            <w:pPr>
              <w:pStyle w:val="Paragraphedeliste"/>
              <w:numPr>
                <w:ilvl w:val="0"/>
                <w:numId w:val="36"/>
              </w:numPr>
              <w:autoSpaceDE w:val="0"/>
              <w:autoSpaceDN w:val="0"/>
              <w:spacing w:before="40" w:after="40"/>
              <w:rPr>
                <w:color w:val="000000"/>
              </w:rPr>
            </w:pPr>
            <w:r w:rsidRPr="00241246">
              <w:rPr>
                <w:color w:val="000000"/>
              </w:rPr>
              <w:t xml:space="preserve">Respect the recommended application doses. </w:t>
            </w:r>
          </w:p>
          <w:p w14:paraId="6418E505" w14:textId="77777777" w:rsidR="001D1185" w:rsidRDefault="00C727E7" w:rsidP="001D1185">
            <w:pPr>
              <w:pStyle w:val="Paragraphedeliste"/>
              <w:numPr>
                <w:ilvl w:val="0"/>
                <w:numId w:val="36"/>
              </w:numPr>
              <w:autoSpaceDE w:val="0"/>
              <w:autoSpaceDN w:val="0"/>
              <w:spacing w:before="40" w:after="40"/>
              <w:rPr>
                <w:color w:val="000000"/>
              </w:rPr>
            </w:pPr>
            <w:r w:rsidRPr="00241246">
              <w:rPr>
                <w:color w:val="000000"/>
              </w:rPr>
              <w:t xml:space="preserve">Always read the label or leaflet before use and follow all the instructions provided. </w:t>
            </w:r>
          </w:p>
          <w:p w14:paraId="5AAFC38C" w14:textId="77777777" w:rsidR="001D1185" w:rsidRDefault="00241246" w:rsidP="001D1185">
            <w:pPr>
              <w:pStyle w:val="Paragraphedeliste"/>
              <w:numPr>
                <w:ilvl w:val="0"/>
                <w:numId w:val="36"/>
              </w:numPr>
              <w:autoSpaceDE w:val="0"/>
              <w:autoSpaceDN w:val="0"/>
              <w:spacing w:before="40" w:after="40"/>
              <w:rPr>
                <w:color w:val="000000"/>
              </w:rPr>
            </w:pPr>
            <w:r w:rsidRPr="00241246">
              <w:rPr>
                <w:color w:val="000000"/>
              </w:rPr>
              <w:t xml:space="preserve">The user should inform the registration holder if the treatment is ineffective. </w:t>
            </w:r>
          </w:p>
          <w:p w14:paraId="55719C45" w14:textId="77777777" w:rsidR="001D1185" w:rsidRDefault="00241246" w:rsidP="001D1185">
            <w:pPr>
              <w:pStyle w:val="Paragraphedeliste"/>
              <w:numPr>
                <w:ilvl w:val="0"/>
                <w:numId w:val="36"/>
              </w:numPr>
              <w:autoSpaceDE w:val="0"/>
              <w:autoSpaceDN w:val="0"/>
              <w:spacing w:before="40" w:after="40"/>
              <w:rPr>
                <w:color w:val="000000"/>
              </w:rPr>
            </w:pPr>
            <w:r w:rsidRPr="00241246">
              <w:rPr>
                <w:color w:val="000000"/>
              </w:rPr>
              <w:t xml:space="preserve">The use of the product with other repellent products is not recommended. </w:t>
            </w:r>
          </w:p>
          <w:p w14:paraId="3B253054" w14:textId="77777777" w:rsidR="001D1185" w:rsidRDefault="00241246" w:rsidP="001D1185">
            <w:pPr>
              <w:pStyle w:val="Paragraphedeliste"/>
              <w:numPr>
                <w:ilvl w:val="0"/>
                <w:numId w:val="36"/>
              </w:numPr>
              <w:autoSpaceDE w:val="0"/>
              <w:autoSpaceDN w:val="0"/>
              <w:spacing w:before="40" w:after="40"/>
              <w:rPr>
                <w:color w:val="000000"/>
              </w:rPr>
            </w:pPr>
            <w:r w:rsidRPr="00241246">
              <w:rPr>
                <w:color w:val="000000"/>
              </w:rPr>
              <w:t xml:space="preserve">In case of a concomitant use of the product with sunscreen, first apply the sunscreen and wait 20 minutes before </w:t>
            </w:r>
            <w:r w:rsidR="001D1185">
              <w:rPr>
                <w:color w:val="000000"/>
              </w:rPr>
              <w:t>the application of the product.</w:t>
            </w:r>
          </w:p>
          <w:p w14:paraId="18CEED27" w14:textId="47FC5B88" w:rsidR="00E92982" w:rsidRPr="001D1185" w:rsidRDefault="00241246" w:rsidP="001D1185">
            <w:pPr>
              <w:pStyle w:val="Paragraphedeliste"/>
              <w:numPr>
                <w:ilvl w:val="0"/>
                <w:numId w:val="36"/>
              </w:numPr>
              <w:autoSpaceDE w:val="0"/>
              <w:autoSpaceDN w:val="0"/>
              <w:spacing w:before="40" w:after="40"/>
              <w:rPr>
                <w:color w:val="000000"/>
              </w:rPr>
            </w:pPr>
            <w:r w:rsidRPr="00241246">
              <w:rPr>
                <w:color w:val="000000"/>
              </w:rPr>
              <w:t xml:space="preserve">The protection time is only indicative. Environmental factors (e.g. high temperature, wind velocity) can lower it. </w:t>
            </w:r>
          </w:p>
        </w:tc>
      </w:tr>
    </w:tbl>
    <w:p w14:paraId="44D275A8" w14:textId="035B2F0F" w:rsidR="00E92982" w:rsidRPr="001A7525" w:rsidRDefault="00E92982" w:rsidP="001A7525">
      <w:pPr>
        <w:pStyle w:val="Titre4"/>
        <w:numPr>
          <w:ilvl w:val="3"/>
          <w:numId w:val="42"/>
        </w:numPr>
        <w:tabs>
          <w:tab w:val="num" w:pos="0"/>
        </w:tabs>
        <w:suppressAutoHyphens/>
        <w:ind w:left="1276" w:hanging="1134"/>
      </w:pPr>
      <w:bookmarkStart w:id="59" w:name="_Toc2155644"/>
      <w:r>
        <w:t>Risk mitigation measures</w:t>
      </w:r>
      <w:bookmarkEnd w:id="59"/>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1A7525" w:rsidRPr="001045BE" w14:paraId="4FE07A6F" w14:textId="1C069CCA" w:rsidTr="001D1185">
        <w:tc>
          <w:tcPr>
            <w:tcW w:w="9036" w:type="dxa"/>
            <w:tcBorders>
              <w:top w:val="single" w:sz="4" w:space="0" w:color="000000"/>
              <w:left w:val="single" w:sz="4" w:space="0" w:color="000000"/>
              <w:bottom w:val="single" w:sz="4" w:space="0" w:color="000000"/>
              <w:right w:val="single" w:sz="4" w:space="0" w:color="000000"/>
            </w:tcBorders>
          </w:tcPr>
          <w:p w14:paraId="57D54E4F" w14:textId="77777777" w:rsidR="001A7525" w:rsidRDefault="001A7525" w:rsidP="001D1185">
            <w:pPr>
              <w:pStyle w:val="Paragraphedeliste"/>
              <w:numPr>
                <w:ilvl w:val="0"/>
                <w:numId w:val="36"/>
              </w:numPr>
              <w:autoSpaceDE w:val="0"/>
              <w:autoSpaceDN w:val="0"/>
              <w:spacing w:before="40" w:after="40"/>
              <w:rPr>
                <w:color w:val="000000"/>
              </w:rPr>
            </w:pPr>
            <w:r>
              <w:rPr>
                <w:color w:val="000000"/>
              </w:rPr>
              <w:t>Keep out of reach of children</w:t>
            </w:r>
          </w:p>
          <w:p w14:paraId="009930B2" w14:textId="77777777" w:rsidR="001A7525" w:rsidRDefault="001A7525" w:rsidP="001D1185">
            <w:pPr>
              <w:pStyle w:val="Paragraphedeliste"/>
              <w:numPr>
                <w:ilvl w:val="0"/>
                <w:numId w:val="36"/>
              </w:numPr>
              <w:autoSpaceDE w:val="0"/>
              <w:autoSpaceDN w:val="0"/>
              <w:spacing w:before="40" w:after="40"/>
              <w:rPr>
                <w:color w:val="000000"/>
              </w:rPr>
            </w:pPr>
            <w:r>
              <w:rPr>
                <w:color w:val="000000"/>
              </w:rPr>
              <w:t>Avoid breathing vapors/aerosols</w:t>
            </w:r>
          </w:p>
          <w:p w14:paraId="6244D93F" w14:textId="77777777" w:rsidR="001A7525" w:rsidRDefault="001A7525" w:rsidP="001D1185">
            <w:pPr>
              <w:pStyle w:val="Paragraphedeliste"/>
              <w:numPr>
                <w:ilvl w:val="0"/>
                <w:numId w:val="36"/>
              </w:numPr>
              <w:autoSpaceDE w:val="0"/>
              <w:autoSpaceDN w:val="0"/>
              <w:spacing w:before="40" w:after="40"/>
              <w:rPr>
                <w:color w:val="000000"/>
              </w:rPr>
            </w:pPr>
            <w:r>
              <w:rPr>
                <w:color w:val="000000"/>
              </w:rPr>
              <w:t>Only use outdoor or in a well ventilated area</w:t>
            </w:r>
          </w:p>
          <w:p w14:paraId="7C8F1FD8" w14:textId="77777777" w:rsidR="001A7525" w:rsidRDefault="001A7525" w:rsidP="001D1185">
            <w:pPr>
              <w:pStyle w:val="Paragraphedeliste"/>
              <w:numPr>
                <w:ilvl w:val="0"/>
                <w:numId w:val="36"/>
              </w:numPr>
              <w:autoSpaceDE w:val="0"/>
              <w:autoSpaceDN w:val="0"/>
              <w:spacing w:before="40" w:after="40"/>
              <w:rPr>
                <w:color w:val="000000"/>
              </w:rPr>
            </w:pPr>
            <w:r>
              <w:rPr>
                <w:color w:val="000000"/>
              </w:rPr>
              <w:t>Apply only on exposed skin, not protected by clothes</w:t>
            </w:r>
          </w:p>
          <w:p w14:paraId="24D38291" w14:textId="5B1CD7C9" w:rsidR="001A7525" w:rsidRDefault="001A7525" w:rsidP="001D1185">
            <w:pPr>
              <w:pStyle w:val="Paragraphedeliste"/>
              <w:numPr>
                <w:ilvl w:val="0"/>
                <w:numId w:val="36"/>
              </w:numPr>
              <w:autoSpaceDE w:val="0"/>
              <w:autoSpaceDN w:val="0"/>
              <w:spacing w:before="40" w:after="40"/>
              <w:rPr>
                <w:color w:val="000000"/>
              </w:rPr>
            </w:pPr>
            <w:r w:rsidRPr="00662AAD">
              <w:rPr>
                <w:color w:val="000000"/>
              </w:rPr>
              <w:t>Do not apply directly on the face, spray the product in the hand and then spread it onto the face.</w:t>
            </w:r>
          </w:p>
          <w:p w14:paraId="2C36B793" w14:textId="72CFB158" w:rsidR="001A7525" w:rsidRPr="001D1185" w:rsidRDefault="001A7525" w:rsidP="001D1185">
            <w:pPr>
              <w:pStyle w:val="Paragraphedeliste"/>
              <w:numPr>
                <w:ilvl w:val="0"/>
                <w:numId w:val="36"/>
              </w:numPr>
              <w:autoSpaceDE w:val="0"/>
              <w:autoSpaceDN w:val="0"/>
              <w:spacing w:before="40" w:after="40"/>
              <w:rPr>
                <w:color w:val="000000"/>
              </w:rPr>
            </w:pPr>
            <w:r>
              <w:rPr>
                <w:color w:val="000000"/>
              </w:rPr>
              <w:t>For adults and children from 6 years old: maximum 2 applications per day</w:t>
            </w:r>
          </w:p>
          <w:p w14:paraId="08388C77" w14:textId="77777777" w:rsidR="001A7525" w:rsidRPr="001D1185" w:rsidRDefault="001A7525" w:rsidP="001D1185">
            <w:pPr>
              <w:pStyle w:val="Paragraphedeliste"/>
              <w:numPr>
                <w:ilvl w:val="0"/>
                <w:numId w:val="36"/>
              </w:numPr>
              <w:autoSpaceDE w:val="0"/>
              <w:autoSpaceDN w:val="0"/>
              <w:spacing w:before="40" w:after="40"/>
            </w:pPr>
            <w:r>
              <w:rPr>
                <w:color w:val="000000"/>
              </w:rPr>
              <w:t xml:space="preserve">For children between 1 and 5 years old : maximum 1 application per day </w:t>
            </w:r>
          </w:p>
          <w:p w14:paraId="191B1AE2" w14:textId="77777777" w:rsidR="001A7525" w:rsidRPr="001D1185" w:rsidRDefault="001A7525" w:rsidP="001D1185">
            <w:pPr>
              <w:pStyle w:val="Paragraphedeliste"/>
              <w:numPr>
                <w:ilvl w:val="0"/>
                <w:numId w:val="36"/>
              </w:numPr>
              <w:autoSpaceDE w:val="0"/>
              <w:autoSpaceDN w:val="0"/>
              <w:spacing w:before="40" w:after="40"/>
            </w:pPr>
            <w:r>
              <w:rPr>
                <w:color w:val="000000"/>
              </w:rPr>
              <w:t>Do not apply the product on the hands of children</w:t>
            </w:r>
          </w:p>
          <w:p w14:paraId="01BB41CF" w14:textId="77777777" w:rsidR="001A7525" w:rsidRPr="001D1185" w:rsidRDefault="001A7525" w:rsidP="001D1185">
            <w:pPr>
              <w:pStyle w:val="Paragraphedeliste"/>
              <w:numPr>
                <w:ilvl w:val="0"/>
                <w:numId w:val="36"/>
              </w:numPr>
              <w:autoSpaceDE w:val="0"/>
              <w:autoSpaceDN w:val="0"/>
              <w:spacing w:before="40" w:after="40"/>
            </w:pPr>
            <w:r>
              <w:rPr>
                <w:color w:val="000000"/>
              </w:rPr>
              <w:t>For children, the product must be applied by an adult</w:t>
            </w:r>
          </w:p>
          <w:p w14:paraId="08C9F242" w14:textId="77777777" w:rsidR="001A7525" w:rsidRPr="001D1185" w:rsidRDefault="001A7525" w:rsidP="001D1185">
            <w:pPr>
              <w:pStyle w:val="Paragraphedeliste"/>
              <w:numPr>
                <w:ilvl w:val="0"/>
                <w:numId w:val="36"/>
              </w:numPr>
              <w:autoSpaceDE w:val="0"/>
              <w:autoSpaceDN w:val="0"/>
              <w:spacing w:before="40" w:after="40"/>
            </w:pPr>
            <w:r>
              <w:rPr>
                <w:color w:val="000000"/>
              </w:rPr>
              <w:t>Wash hands before handling food.</w:t>
            </w:r>
          </w:p>
          <w:p w14:paraId="58F87D01" w14:textId="564DFC03" w:rsidR="001A7525" w:rsidRDefault="001A7525" w:rsidP="001D1185">
            <w:pPr>
              <w:pStyle w:val="Paragraphedeliste"/>
              <w:numPr>
                <w:ilvl w:val="0"/>
                <w:numId w:val="36"/>
              </w:numPr>
              <w:autoSpaceDE w:val="0"/>
              <w:autoSpaceDN w:val="0"/>
              <w:spacing w:before="40" w:after="40"/>
            </w:pPr>
            <w:r w:rsidRPr="001D1185">
              <w:rPr>
                <w:color w:val="000000"/>
              </w:rPr>
              <w:t>Do not use the product near food and surfaces that may come into contact with food and feed or drinks for human consumption</w:t>
            </w:r>
          </w:p>
        </w:tc>
      </w:tr>
    </w:tbl>
    <w:p w14:paraId="71C5E3D1" w14:textId="755BB90B" w:rsidR="00E92982" w:rsidRPr="001A7525" w:rsidRDefault="00E92982" w:rsidP="001A7525">
      <w:pPr>
        <w:pStyle w:val="Titre4"/>
        <w:numPr>
          <w:ilvl w:val="3"/>
          <w:numId w:val="42"/>
        </w:numPr>
        <w:tabs>
          <w:tab w:val="num" w:pos="0"/>
        </w:tabs>
        <w:suppressAutoHyphens/>
        <w:ind w:left="1276" w:hanging="1134"/>
      </w:pPr>
      <w:bookmarkStart w:id="60" w:name="_Toc2155645"/>
      <w:r>
        <w:t>Particulars of likely direct or indirect effects, first aid instructions and emergency measures to protect the environment</w:t>
      </w:r>
      <w:bookmarkEnd w:id="60"/>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542BF853"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0D09F558" w14:textId="77777777" w:rsidR="00241246" w:rsidRPr="00241246" w:rsidRDefault="00241246" w:rsidP="001D1185">
            <w:pPr>
              <w:pStyle w:val="Paragraphedeliste"/>
              <w:numPr>
                <w:ilvl w:val="0"/>
                <w:numId w:val="36"/>
              </w:numPr>
              <w:autoSpaceDE w:val="0"/>
              <w:autoSpaceDN w:val="0"/>
              <w:spacing w:before="40" w:after="40"/>
              <w:rPr>
                <w:color w:val="000000"/>
              </w:rPr>
            </w:pPr>
            <w:r w:rsidRPr="00241246">
              <w:rPr>
                <w:color w:val="000000"/>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5215E7E4" w14:textId="77777777" w:rsidR="00241246" w:rsidRPr="00241246" w:rsidRDefault="00241246" w:rsidP="001D1185">
            <w:pPr>
              <w:pStyle w:val="Paragraphedeliste"/>
              <w:numPr>
                <w:ilvl w:val="0"/>
                <w:numId w:val="36"/>
              </w:numPr>
              <w:autoSpaceDE w:val="0"/>
              <w:autoSpaceDN w:val="0"/>
              <w:spacing w:before="40" w:after="40"/>
              <w:rPr>
                <w:color w:val="000000"/>
              </w:rPr>
            </w:pPr>
            <w:r w:rsidRPr="00241246">
              <w:rPr>
                <w:color w:val="000000"/>
              </w:rPr>
              <w:t>Skin contact: In case of skin lesions, redness or persistent pain after application, consult a doctor.</w:t>
            </w:r>
          </w:p>
          <w:p w14:paraId="2D6DF523" w14:textId="77777777" w:rsidR="00241246" w:rsidRPr="00241246" w:rsidRDefault="00241246" w:rsidP="001D1185">
            <w:pPr>
              <w:pStyle w:val="Paragraphedeliste"/>
              <w:numPr>
                <w:ilvl w:val="0"/>
                <w:numId w:val="36"/>
              </w:numPr>
              <w:autoSpaceDE w:val="0"/>
              <w:autoSpaceDN w:val="0"/>
              <w:spacing w:before="40" w:after="40"/>
              <w:rPr>
                <w:color w:val="000000"/>
              </w:rPr>
            </w:pPr>
            <w:r w:rsidRPr="00241246">
              <w:rPr>
                <w:color w:val="000000"/>
              </w:rPr>
              <w:t>Inhalation of large quantities: keep at rest in a half-sitting position. Seek medical advice immediately if symptoms occur.</w:t>
            </w:r>
          </w:p>
          <w:p w14:paraId="6E621B5A" w14:textId="77777777" w:rsidR="00241246" w:rsidRPr="00241246" w:rsidRDefault="00241246" w:rsidP="001D1185">
            <w:pPr>
              <w:pStyle w:val="Paragraphedeliste"/>
              <w:numPr>
                <w:ilvl w:val="0"/>
                <w:numId w:val="36"/>
              </w:numPr>
              <w:autoSpaceDE w:val="0"/>
              <w:autoSpaceDN w:val="0"/>
              <w:spacing w:before="40" w:after="40"/>
              <w:rPr>
                <w:color w:val="000000"/>
              </w:rPr>
            </w:pPr>
            <w:r w:rsidRPr="00241246">
              <w:rPr>
                <w:color w:val="000000"/>
              </w:rPr>
              <w:t xml:space="preserve">Mouth contact: Wash out mouth with water. Contact poison treatment specialist immediately if symptoms occur and/or in case of mouth contact with large quantities. </w:t>
            </w:r>
          </w:p>
          <w:p w14:paraId="4FC1AD8E" w14:textId="797B5A29" w:rsidR="00E92982" w:rsidRDefault="00241246" w:rsidP="001D1185">
            <w:pPr>
              <w:pStyle w:val="Paragraphedeliste"/>
              <w:numPr>
                <w:ilvl w:val="0"/>
                <w:numId w:val="36"/>
              </w:numPr>
              <w:autoSpaceDE w:val="0"/>
              <w:autoSpaceDN w:val="0"/>
              <w:spacing w:before="40" w:after="40"/>
            </w:pPr>
            <w:r w:rsidRPr="00241246">
              <w:rPr>
                <w:color w:val="000000"/>
              </w:rPr>
              <w:t>Do not give fluids or induce vomiting in case of impaired consciousness; place in recovery position and seek medical advice immediately.</w:t>
            </w:r>
          </w:p>
        </w:tc>
      </w:tr>
    </w:tbl>
    <w:p w14:paraId="35E27CE4" w14:textId="052A6D75" w:rsidR="00E92982" w:rsidRPr="001A7525" w:rsidRDefault="00E92982" w:rsidP="001A7525">
      <w:pPr>
        <w:pStyle w:val="Titre4"/>
        <w:numPr>
          <w:ilvl w:val="3"/>
          <w:numId w:val="42"/>
        </w:numPr>
        <w:tabs>
          <w:tab w:val="num" w:pos="0"/>
        </w:tabs>
        <w:suppressAutoHyphens/>
        <w:ind w:left="1276" w:hanging="1134"/>
      </w:pPr>
      <w:bookmarkStart w:id="61" w:name="_Toc2155646"/>
      <w:r>
        <w:t>Instructions for safe disposal of the product and its packaging</w:t>
      </w:r>
      <w:bookmarkEnd w:id="61"/>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7E2C820C"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6288ECFD" w14:textId="77777777" w:rsidR="00450F2D" w:rsidRPr="00450F2D" w:rsidRDefault="00450F2D" w:rsidP="00450F2D">
            <w:pPr>
              <w:rPr>
                <w:color w:val="000000"/>
              </w:rPr>
            </w:pPr>
            <w:r w:rsidRPr="00450F2D">
              <w:rPr>
                <w:color w:val="000000"/>
              </w:rPr>
              <w:t>-</w:t>
            </w:r>
            <w:r w:rsidRPr="00450F2D">
              <w:rPr>
                <w:color w:val="000000"/>
              </w:rPr>
              <w:tab/>
              <w:t>Do not discharge unused product on the ground, into water courses, into pipes (sink, toilets…) nor down the drains.</w:t>
            </w:r>
          </w:p>
          <w:p w14:paraId="4CDE1084" w14:textId="21C7C40A" w:rsidR="00E92982" w:rsidRPr="00450F2D" w:rsidRDefault="00450F2D">
            <w:pPr>
              <w:snapToGrid w:val="0"/>
              <w:rPr>
                <w:lang w:val="de-DE"/>
              </w:rPr>
            </w:pPr>
            <w:r w:rsidRPr="00450F2D">
              <w:rPr>
                <w:color w:val="000000"/>
              </w:rPr>
              <w:t>-</w:t>
            </w:r>
            <w:r w:rsidRPr="00450F2D">
              <w:rPr>
                <w:color w:val="000000"/>
              </w:rPr>
              <w:tab/>
              <w:t>Dispose of unused product, its packaging and all other waste, in accordance with local regulations.</w:t>
            </w:r>
          </w:p>
        </w:tc>
      </w:tr>
    </w:tbl>
    <w:p w14:paraId="0C860E5C" w14:textId="797DFDA6" w:rsidR="00E92982" w:rsidRPr="001A7525" w:rsidRDefault="00E92982" w:rsidP="001A7525">
      <w:pPr>
        <w:pStyle w:val="Titre4"/>
        <w:numPr>
          <w:ilvl w:val="3"/>
          <w:numId w:val="42"/>
        </w:numPr>
        <w:tabs>
          <w:tab w:val="num" w:pos="0"/>
        </w:tabs>
        <w:suppressAutoHyphens/>
        <w:ind w:left="1276" w:hanging="1134"/>
      </w:pPr>
      <w:bookmarkStart w:id="62" w:name="_Toc2155647"/>
      <w:r>
        <w:lastRenderedPageBreak/>
        <w:t>Conditions of storage and shelf-life of the product under normal conditions of storage</w:t>
      </w:r>
      <w:bookmarkEnd w:id="62"/>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E92982" w14:paraId="1FF5E870" w14:textId="77777777" w:rsidTr="00E92982">
        <w:tc>
          <w:tcPr>
            <w:tcW w:w="9036" w:type="dxa"/>
            <w:tcBorders>
              <w:top w:val="single" w:sz="4" w:space="0" w:color="000000"/>
              <w:left w:val="single" w:sz="4" w:space="0" w:color="000000"/>
              <w:bottom w:val="single" w:sz="4" w:space="0" w:color="000000"/>
              <w:right w:val="single" w:sz="4" w:space="0" w:color="000000"/>
            </w:tcBorders>
          </w:tcPr>
          <w:p w14:paraId="68D6E27D" w14:textId="48C2E73F" w:rsidR="001045BE" w:rsidRPr="001D1185" w:rsidRDefault="001045BE" w:rsidP="001D1185">
            <w:pPr>
              <w:pStyle w:val="Paragraphedeliste"/>
              <w:numPr>
                <w:ilvl w:val="0"/>
                <w:numId w:val="36"/>
              </w:numPr>
              <w:rPr>
                <w:color w:val="000000"/>
              </w:rPr>
            </w:pPr>
            <w:r w:rsidRPr="001D1185">
              <w:rPr>
                <w:color w:val="000000"/>
              </w:rPr>
              <w:t>Keep container tightly closed</w:t>
            </w:r>
          </w:p>
          <w:p w14:paraId="2D4976D0" w14:textId="77777777" w:rsidR="001D1185" w:rsidRDefault="001045BE" w:rsidP="001D1185">
            <w:pPr>
              <w:pStyle w:val="Paragraphedeliste"/>
              <w:numPr>
                <w:ilvl w:val="0"/>
                <w:numId w:val="36"/>
              </w:numPr>
              <w:rPr>
                <w:color w:val="000000"/>
              </w:rPr>
            </w:pPr>
            <w:r>
              <w:rPr>
                <w:color w:val="000000"/>
              </w:rPr>
              <w:t>Store in a dry and well-ventilated place</w:t>
            </w:r>
          </w:p>
          <w:p w14:paraId="3C415943" w14:textId="69BA5B32" w:rsidR="001045BE" w:rsidRPr="001D1185" w:rsidRDefault="001045BE" w:rsidP="001D1185">
            <w:pPr>
              <w:pStyle w:val="Paragraphedeliste"/>
              <w:numPr>
                <w:ilvl w:val="0"/>
                <w:numId w:val="36"/>
              </w:numPr>
              <w:rPr>
                <w:color w:val="000000"/>
              </w:rPr>
            </w:pPr>
            <w:r>
              <w:rPr>
                <w:color w:val="000000"/>
              </w:rPr>
              <w:t>Store at a temperature below 40°C</w:t>
            </w:r>
          </w:p>
          <w:p w14:paraId="0DE1869D" w14:textId="7F792FD8" w:rsidR="00E92982" w:rsidRDefault="001045BE" w:rsidP="001D1185">
            <w:pPr>
              <w:pStyle w:val="Paragraphedeliste"/>
              <w:numPr>
                <w:ilvl w:val="0"/>
                <w:numId w:val="36"/>
              </w:numPr>
            </w:pPr>
            <w:r>
              <w:rPr>
                <w:color w:val="000000"/>
              </w:rPr>
              <w:t>Shelf-life : 24 months</w:t>
            </w:r>
          </w:p>
        </w:tc>
      </w:tr>
    </w:tbl>
    <w:p w14:paraId="37E2DB64" w14:textId="77777777" w:rsidR="00E92982" w:rsidRDefault="00E92982" w:rsidP="00E92982">
      <w:pPr>
        <w:pStyle w:val="Absatz"/>
        <w:rPr>
          <w:lang w:val="en-GB"/>
        </w:rPr>
      </w:pPr>
    </w:p>
    <w:p w14:paraId="150768D7" w14:textId="77777777" w:rsidR="00E92982" w:rsidRDefault="00E92982" w:rsidP="00E92982">
      <w:pPr>
        <w:pStyle w:val="Absatz"/>
      </w:pPr>
    </w:p>
    <w:p w14:paraId="584DCDF4" w14:textId="199BFA84" w:rsidR="00E92982" w:rsidRDefault="00E92982" w:rsidP="00534A29">
      <w:pPr>
        <w:pStyle w:val="Titre3"/>
        <w:numPr>
          <w:ilvl w:val="2"/>
          <w:numId w:val="42"/>
        </w:numPr>
        <w:tabs>
          <w:tab w:val="num" w:pos="0"/>
          <w:tab w:val="num" w:pos="284"/>
        </w:tabs>
        <w:suppressAutoHyphens/>
        <w:spacing w:before="0"/>
        <w:ind w:left="720"/>
        <w:rPr>
          <w:lang w:eastAsia="zh-CN"/>
        </w:rPr>
      </w:pPr>
      <w:bookmarkStart w:id="63" w:name="_Toc2155648"/>
      <w:r>
        <w:rPr>
          <w:b w:val="0"/>
        </w:rPr>
        <w:t>Other information</w:t>
      </w:r>
      <w:bookmarkEnd w:id="63"/>
    </w:p>
    <w:tbl>
      <w:tblPr>
        <w:tblW w:w="0" w:type="auto"/>
        <w:tblInd w:w="40" w:type="dxa"/>
        <w:tblLayout w:type="fixed"/>
        <w:tblCellMar>
          <w:top w:w="40" w:type="dxa"/>
          <w:left w:w="40" w:type="dxa"/>
          <w:bottom w:w="40" w:type="dxa"/>
          <w:right w:w="40" w:type="dxa"/>
        </w:tblCellMar>
        <w:tblLook w:val="04A0" w:firstRow="1" w:lastRow="0" w:firstColumn="1" w:lastColumn="0" w:noHBand="0" w:noVBand="1"/>
      </w:tblPr>
      <w:tblGrid>
        <w:gridCol w:w="9036"/>
      </w:tblGrid>
      <w:tr w:rsidR="00E92982" w:rsidRPr="001045BE" w14:paraId="0E682761" w14:textId="77777777" w:rsidTr="009609F5">
        <w:trPr>
          <w:trHeight w:val="18"/>
        </w:trPr>
        <w:tc>
          <w:tcPr>
            <w:tcW w:w="9036" w:type="dxa"/>
            <w:tcBorders>
              <w:top w:val="single" w:sz="4" w:space="0" w:color="000000"/>
              <w:left w:val="single" w:sz="4" w:space="0" w:color="000000"/>
              <w:bottom w:val="single" w:sz="4" w:space="0" w:color="000000"/>
              <w:right w:val="single" w:sz="4" w:space="0" w:color="000000"/>
            </w:tcBorders>
            <w:hideMark/>
          </w:tcPr>
          <w:p w14:paraId="3BE2FF47" w14:textId="061CD0A5" w:rsidR="00E92982" w:rsidRPr="00450F2D" w:rsidRDefault="001045BE" w:rsidP="009609F5">
            <w:pPr>
              <w:rPr>
                <w:lang w:val="de-DE"/>
              </w:rPr>
            </w:pPr>
            <w:r>
              <w:rPr>
                <w:color w:val="000000"/>
              </w:rPr>
              <w:t xml:space="preserve">-   In case of inefficacy, the </w:t>
            </w:r>
            <w:proofErr w:type="spellStart"/>
            <w:r>
              <w:rPr>
                <w:color w:val="000000"/>
              </w:rPr>
              <w:t>authorisation</w:t>
            </w:r>
            <w:proofErr w:type="spellEnd"/>
            <w:r>
              <w:rPr>
                <w:color w:val="000000"/>
              </w:rPr>
              <w:t xml:space="preserve"> holder should inform the competent authority.</w:t>
            </w:r>
          </w:p>
        </w:tc>
      </w:tr>
      <w:bookmarkEnd w:id="24"/>
      <w:bookmarkEnd w:id="25"/>
    </w:tbl>
    <w:p w14:paraId="372B5A2A" w14:textId="2F3B3DB6" w:rsidR="00C47639" w:rsidRPr="00BD2EF1" w:rsidRDefault="00C47639" w:rsidP="00C47639">
      <w:pPr>
        <w:sectPr w:rsidR="00C47639" w:rsidRPr="00BD2EF1" w:rsidSect="006456DE">
          <w:pgSz w:w="11906" w:h="16838"/>
          <w:pgMar w:top="1247" w:right="1247" w:bottom="1247" w:left="1247" w:header="709" w:footer="709" w:gutter="0"/>
          <w:cols w:space="708"/>
          <w:docGrid w:linePitch="360"/>
        </w:sectPr>
      </w:pPr>
    </w:p>
    <w:bookmarkEnd w:id="17"/>
    <w:p w14:paraId="7101CF53" w14:textId="77777777" w:rsidR="008E2686" w:rsidRPr="00BD2EF1" w:rsidRDefault="008E2686" w:rsidP="00496A65"/>
    <w:p w14:paraId="6D7BA094" w14:textId="61CE1CAE" w:rsidR="008E2686" w:rsidRPr="00BD2EF1" w:rsidRDefault="008E2686" w:rsidP="00496A65">
      <w:pPr>
        <w:pStyle w:val="Titre3"/>
      </w:pPr>
      <w:bookmarkStart w:id="64" w:name="_Toc403566549"/>
      <w:bookmarkStart w:id="65" w:name="_Toc425344090"/>
      <w:bookmarkStart w:id="66" w:name="_Toc8296477"/>
      <w:r w:rsidRPr="00BD2EF1">
        <w:t>Packaging of the biocidal product</w:t>
      </w:r>
      <w:bookmarkEnd w:id="64"/>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606"/>
        <w:gridCol w:w="1346"/>
        <w:gridCol w:w="1388"/>
        <w:gridCol w:w="1798"/>
        <w:gridCol w:w="1963"/>
      </w:tblGrid>
      <w:tr w:rsidR="008E2686" w:rsidRPr="00C47639" w14:paraId="22496DEF" w14:textId="77777777" w:rsidTr="00607A80">
        <w:tc>
          <w:tcPr>
            <w:tcW w:w="692" w:type="pct"/>
            <w:shd w:val="clear" w:color="auto" w:fill="BFBFBF" w:themeFill="background1" w:themeFillShade="BF"/>
          </w:tcPr>
          <w:p w14:paraId="3ACC50AA" w14:textId="77777777" w:rsidR="008E2686" w:rsidRPr="00C47639" w:rsidRDefault="008E2686" w:rsidP="00496A65">
            <w:pPr>
              <w:pStyle w:val="Standaard-Tabellen"/>
              <w:rPr>
                <w:b/>
              </w:rPr>
            </w:pPr>
            <w:r w:rsidRPr="00C47639">
              <w:rPr>
                <w:b/>
              </w:rPr>
              <w:t>Type of packaging</w:t>
            </w:r>
            <w:r w:rsidRPr="00C47639" w:rsidDel="00F33E33">
              <w:rPr>
                <w:b/>
              </w:rPr>
              <w:t xml:space="preserve"> </w:t>
            </w:r>
          </w:p>
        </w:tc>
        <w:tc>
          <w:tcPr>
            <w:tcW w:w="854" w:type="pct"/>
            <w:shd w:val="clear" w:color="auto" w:fill="BFBFBF" w:themeFill="background1" w:themeFillShade="BF"/>
          </w:tcPr>
          <w:p w14:paraId="4B3F702F" w14:textId="77777777" w:rsidR="008E2686" w:rsidRPr="00C47639" w:rsidRDefault="008E2686" w:rsidP="00496A65">
            <w:pPr>
              <w:pStyle w:val="Standaard-Tabellen"/>
              <w:rPr>
                <w:b/>
              </w:rPr>
            </w:pPr>
            <w:r w:rsidRPr="00C47639">
              <w:rPr>
                <w:b/>
              </w:rPr>
              <w:t>Size/volume</w:t>
            </w:r>
            <w:r w:rsidRPr="00C47639" w:rsidDel="00F33E33">
              <w:rPr>
                <w:b/>
              </w:rPr>
              <w:t xml:space="preserve"> </w:t>
            </w:r>
            <w:r w:rsidRPr="00C47639">
              <w:rPr>
                <w:b/>
              </w:rPr>
              <w:t>of the packaging</w:t>
            </w:r>
          </w:p>
        </w:tc>
        <w:tc>
          <w:tcPr>
            <w:tcW w:w="716" w:type="pct"/>
            <w:shd w:val="clear" w:color="auto" w:fill="BFBFBF" w:themeFill="background1" w:themeFillShade="BF"/>
          </w:tcPr>
          <w:p w14:paraId="5BBFA087" w14:textId="77777777" w:rsidR="008E2686" w:rsidRPr="00C47639" w:rsidRDefault="008E2686" w:rsidP="00496A65">
            <w:pPr>
              <w:pStyle w:val="Standaard-Tabellen"/>
              <w:rPr>
                <w:b/>
              </w:rPr>
            </w:pPr>
            <w:r w:rsidRPr="00C47639">
              <w:rPr>
                <w:b/>
              </w:rPr>
              <w:t>Material of the packaging</w:t>
            </w:r>
          </w:p>
        </w:tc>
        <w:tc>
          <w:tcPr>
            <w:tcW w:w="738" w:type="pct"/>
            <w:shd w:val="clear" w:color="auto" w:fill="BFBFBF" w:themeFill="background1" w:themeFillShade="BF"/>
          </w:tcPr>
          <w:p w14:paraId="617E32A2" w14:textId="77777777" w:rsidR="008E2686" w:rsidRPr="00C47639" w:rsidRDefault="008E2686" w:rsidP="00496A65">
            <w:pPr>
              <w:pStyle w:val="Standaard-Tabellen"/>
              <w:rPr>
                <w:b/>
              </w:rPr>
            </w:pPr>
            <w:r w:rsidRPr="00C47639">
              <w:rPr>
                <w:b/>
              </w:rPr>
              <w:t>Type and material of closure(s)</w:t>
            </w:r>
          </w:p>
        </w:tc>
        <w:tc>
          <w:tcPr>
            <w:tcW w:w="956" w:type="pct"/>
            <w:shd w:val="clear" w:color="auto" w:fill="BFBFBF" w:themeFill="background1" w:themeFillShade="BF"/>
          </w:tcPr>
          <w:p w14:paraId="416957A7" w14:textId="77777777" w:rsidR="008E2686" w:rsidRPr="00C47639" w:rsidRDefault="008E2686" w:rsidP="00496A65">
            <w:pPr>
              <w:pStyle w:val="Standaard-Tabellen"/>
              <w:rPr>
                <w:b/>
                <w:lang w:val="fr-BE"/>
              </w:rPr>
            </w:pPr>
            <w:proofErr w:type="spellStart"/>
            <w:r w:rsidRPr="00C47639">
              <w:rPr>
                <w:b/>
                <w:lang w:val="fr-BE"/>
              </w:rPr>
              <w:t>Intended</w:t>
            </w:r>
            <w:proofErr w:type="spellEnd"/>
            <w:r w:rsidRPr="00C47639">
              <w:rPr>
                <w:b/>
                <w:lang w:val="fr-BE"/>
              </w:rPr>
              <w:t xml:space="preserve"> user (</w:t>
            </w:r>
            <w:proofErr w:type="spellStart"/>
            <w:r w:rsidRPr="00C47639">
              <w:rPr>
                <w:b/>
                <w:lang w:val="fr-BE"/>
              </w:rPr>
              <w:t>e.g</w:t>
            </w:r>
            <w:proofErr w:type="spellEnd"/>
            <w:r w:rsidRPr="00C47639">
              <w:rPr>
                <w:b/>
                <w:lang w:val="fr-BE"/>
              </w:rPr>
              <w:t xml:space="preserve">. </w:t>
            </w:r>
            <w:proofErr w:type="spellStart"/>
            <w:r w:rsidRPr="00C47639">
              <w:rPr>
                <w:b/>
                <w:lang w:val="fr-BE"/>
              </w:rPr>
              <w:t>professional</w:t>
            </w:r>
            <w:proofErr w:type="spellEnd"/>
            <w:r w:rsidRPr="00C47639">
              <w:rPr>
                <w:b/>
                <w:lang w:val="fr-BE"/>
              </w:rPr>
              <w:t>, non-</w:t>
            </w:r>
            <w:proofErr w:type="spellStart"/>
            <w:r w:rsidRPr="00C47639">
              <w:rPr>
                <w:b/>
                <w:lang w:val="fr-BE"/>
              </w:rPr>
              <w:t>professional</w:t>
            </w:r>
            <w:proofErr w:type="spellEnd"/>
            <w:r w:rsidRPr="00C47639">
              <w:rPr>
                <w:b/>
                <w:lang w:val="fr-BE"/>
              </w:rPr>
              <w:t>)</w:t>
            </w:r>
          </w:p>
        </w:tc>
        <w:tc>
          <w:tcPr>
            <w:tcW w:w="1045" w:type="pct"/>
            <w:shd w:val="clear" w:color="auto" w:fill="BFBFBF" w:themeFill="background1" w:themeFillShade="BF"/>
          </w:tcPr>
          <w:p w14:paraId="0154839A" w14:textId="77777777" w:rsidR="008E2686" w:rsidRPr="00C47639" w:rsidRDefault="008E2686" w:rsidP="00496A65">
            <w:pPr>
              <w:pStyle w:val="Standaard-Tabellen"/>
              <w:rPr>
                <w:b/>
              </w:rPr>
            </w:pPr>
            <w:r w:rsidRPr="00C47639">
              <w:rPr>
                <w:b/>
              </w:rPr>
              <w:t>Compatibility of the product with the proposed packaging materials (Yes/No)</w:t>
            </w:r>
          </w:p>
        </w:tc>
      </w:tr>
      <w:tr w:rsidR="008E2686" w:rsidRPr="00BD2EF1" w14:paraId="6E669D2B" w14:textId="77777777" w:rsidTr="00607A80">
        <w:tc>
          <w:tcPr>
            <w:tcW w:w="692" w:type="pct"/>
            <w:shd w:val="clear" w:color="auto" w:fill="auto"/>
          </w:tcPr>
          <w:p w14:paraId="760B2C22" w14:textId="77777777" w:rsidR="008E2686" w:rsidRPr="00BD2EF1" w:rsidRDefault="007247B0" w:rsidP="00496A65">
            <w:pPr>
              <w:pStyle w:val="Standaard-Tabellen"/>
            </w:pPr>
            <w:r>
              <w:t>Bottle</w:t>
            </w:r>
          </w:p>
        </w:tc>
        <w:tc>
          <w:tcPr>
            <w:tcW w:w="854" w:type="pct"/>
            <w:shd w:val="clear" w:color="auto" w:fill="auto"/>
          </w:tcPr>
          <w:p w14:paraId="25A9168B" w14:textId="77777777" w:rsidR="008E2686" w:rsidRPr="00BD2EF1" w:rsidRDefault="004760E8" w:rsidP="00496A65">
            <w:pPr>
              <w:pStyle w:val="Standaard-Tabellen"/>
            </w:pPr>
            <w:r>
              <w:t>≥</w:t>
            </w:r>
            <w:r w:rsidR="00607A80">
              <w:t xml:space="preserve">25 - </w:t>
            </w:r>
            <w:r>
              <w:t>≤</w:t>
            </w:r>
            <w:r w:rsidR="00607A80">
              <w:t>750 mL</w:t>
            </w:r>
          </w:p>
        </w:tc>
        <w:tc>
          <w:tcPr>
            <w:tcW w:w="716" w:type="pct"/>
            <w:shd w:val="clear" w:color="auto" w:fill="auto"/>
          </w:tcPr>
          <w:p w14:paraId="62D289DE" w14:textId="77777777" w:rsidR="008E2686" w:rsidRPr="00BD2EF1" w:rsidRDefault="00607A80" w:rsidP="00496A65">
            <w:pPr>
              <w:pStyle w:val="Standaard-Tabellen"/>
            </w:pPr>
            <w:r>
              <w:t>plastic: HDPE</w:t>
            </w:r>
          </w:p>
        </w:tc>
        <w:tc>
          <w:tcPr>
            <w:tcW w:w="738" w:type="pct"/>
            <w:shd w:val="clear" w:color="auto" w:fill="auto"/>
          </w:tcPr>
          <w:p w14:paraId="41FFEC67" w14:textId="77777777" w:rsidR="008E2686" w:rsidRPr="00BD2EF1" w:rsidRDefault="00607A80" w:rsidP="00496A65">
            <w:pPr>
              <w:pStyle w:val="Standaard-Tabellen"/>
            </w:pPr>
            <w:r>
              <w:t>pump head covered by a cap</w:t>
            </w:r>
          </w:p>
        </w:tc>
        <w:tc>
          <w:tcPr>
            <w:tcW w:w="956" w:type="pct"/>
            <w:shd w:val="clear" w:color="auto" w:fill="auto"/>
          </w:tcPr>
          <w:p w14:paraId="121D14B2" w14:textId="77777777" w:rsidR="008E2686" w:rsidRPr="00BD2EF1" w:rsidRDefault="00607A80" w:rsidP="00496A65">
            <w:pPr>
              <w:pStyle w:val="Standaard-Tabellen"/>
            </w:pPr>
            <w:r>
              <w:t>non-professional</w:t>
            </w:r>
          </w:p>
        </w:tc>
        <w:tc>
          <w:tcPr>
            <w:tcW w:w="1045" w:type="pct"/>
          </w:tcPr>
          <w:p w14:paraId="00AFAC03" w14:textId="77777777" w:rsidR="008E2686" w:rsidRPr="00BD2EF1" w:rsidRDefault="00607A80" w:rsidP="00496A65">
            <w:pPr>
              <w:pStyle w:val="Standaard-Tabellen"/>
            </w:pPr>
            <w:r>
              <w:t>Yes</w:t>
            </w:r>
          </w:p>
        </w:tc>
      </w:tr>
    </w:tbl>
    <w:p w14:paraId="71A86FA8" w14:textId="77777777" w:rsidR="008E2686" w:rsidRPr="00BD2EF1" w:rsidRDefault="008E2686" w:rsidP="00496A65"/>
    <w:p w14:paraId="65D08121" w14:textId="77777777" w:rsidR="008E2686" w:rsidRPr="00BD2EF1" w:rsidRDefault="008E2686" w:rsidP="00496A65">
      <w:r w:rsidRPr="00BD2EF1">
        <w:br w:type="page"/>
      </w:r>
    </w:p>
    <w:p w14:paraId="0AF6CDFF" w14:textId="77777777" w:rsidR="008E2686" w:rsidRPr="00BD2EF1" w:rsidRDefault="008E2686" w:rsidP="00496A65">
      <w:pPr>
        <w:pStyle w:val="Titre3"/>
      </w:pPr>
      <w:bookmarkStart w:id="67" w:name="_Toc425344097"/>
      <w:bookmarkStart w:id="68" w:name="_Toc8296478"/>
      <w:r w:rsidRPr="00BD2EF1">
        <w:lastRenderedPageBreak/>
        <w:t>Documentation</w:t>
      </w:r>
      <w:bookmarkEnd w:id="67"/>
      <w:bookmarkEnd w:id="68"/>
    </w:p>
    <w:p w14:paraId="39495E8B" w14:textId="77777777" w:rsidR="008E2686" w:rsidRPr="00BD2EF1" w:rsidRDefault="008E2686" w:rsidP="00496A65">
      <w:pPr>
        <w:pStyle w:val="Titre4"/>
      </w:pPr>
      <w:bookmarkStart w:id="69" w:name="_Toc425344098"/>
      <w:bookmarkStart w:id="70" w:name="_Toc8296479"/>
      <w:r w:rsidRPr="00BD2EF1">
        <w:t>Data submitted in relation to product application</w:t>
      </w:r>
      <w:bookmarkEnd w:id="69"/>
      <w:bookmarkEnd w:id="70"/>
    </w:p>
    <w:p w14:paraId="4EBCC918" w14:textId="77777777" w:rsidR="000449DF" w:rsidRPr="00BD2EF1" w:rsidRDefault="009C6AE3" w:rsidP="00496A65">
      <w:r>
        <w:t>Please see §3.1 list of studies for the biocidal product.</w:t>
      </w:r>
    </w:p>
    <w:p w14:paraId="3B7B8C50" w14:textId="77777777" w:rsidR="008E2686" w:rsidRPr="00BD2EF1" w:rsidRDefault="008E2686" w:rsidP="00496A65">
      <w:pPr>
        <w:pStyle w:val="Titre4"/>
      </w:pPr>
      <w:bookmarkStart w:id="71" w:name="_Toc425344099"/>
      <w:bookmarkStart w:id="72" w:name="_Toc8296480"/>
      <w:r w:rsidRPr="00BD2EF1">
        <w:t>Access to documentation</w:t>
      </w:r>
      <w:bookmarkEnd w:id="71"/>
      <w:bookmarkEnd w:id="72"/>
    </w:p>
    <w:p w14:paraId="0DC2B6CD" w14:textId="77777777" w:rsidR="00983E3D" w:rsidRDefault="00983E3D" w:rsidP="00496A65">
      <w:r>
        <w:t xml:space="preserve">The applicant of this product is the same as the review </w:t>
      </w:r>
      <w:proofErr w:type="spellStart"/>
      <w:r>
        <w:t>programme</w:t>
      </w:r>
      <w:proofErr w:type="spellEnd"/>
      <w:r>
        <w:t xml:space="preserve"> participant for the active substance and is thus the owner of all data on the active substance.</w:t>
      </w:r>
    </w:p>
    <w:p w14:paraId="01EB92DE" w14:textId="77777777" w:rsidR="00983E3D" w:rsidRDefault="00983E3D" w:rsidP="00496A65"/>
    <w:p w14:paraId="456E118F" w14:textId="77777777" w:rsidR="008E2686" w:rsidRPr="00BD2EF1" w:rsidRDefault="008E2686" w:rsidP="00496A65"/>
    <w:p w14:paraId="2AA47CA9" w14:textId="77777777" w:rsidR="00370417" w:rsidRPr="00BD2EF1" w:rsidRDefault="00370417" w:rsidP="00496A65"/>
    <w:p w14:paraId="034F247C" w14:textId="77777777" w:rsidR="00604E84" w:rsidRPr="00BD2EF1" w:rsidRDefault="00604E84" w:rsidP="00496A65">
      <w:pPr>
        <w:sectPr w:rsidR="00604E84" w:rsidRPr="00BD2EF1" w:rsidSect="006456DE">
          <w:headerReference w:type="default" r:id="rId12"/>
          <w:footerReference w:type="default" r:id="rId13"/>
          <w:pgSz w:w="11906" w:h="16838"/>
          <w:pgMar w:top="1247" w:right="1247" w:bottom="1247" w:left="1247" w:header="709" w:footer="709" w:gutter="0"/>
          <w:cols w:space="708"/>
          <w:docGrid w:linePitch="360"/>
        </w:sectPr>
      </w:pPr>
    </w:p>
    <w:p w14:paraId="0E37484C" w14:textId="77777777" w:rsidR="008737BD" w:rsidRPr="00BD2EF1" w:rsidRDefault="0028480A" w:rsidP="00496A65">
      <w:pPr>
        <w:pStyle w:val="Titre2"/>
      </w:pPr>
      <w:bookmarkStart w:id="73" w:name="_Toc8296481"/>
      <w:r w:rsidRPr="00BD2EF1">
        <w:lastRenderedPageBreak/>
        <w:t>Assessment of the biocidal product</w:t>
      </w:r>
      <w:bookmarkEnd w:id="73"/>
    </w:p>
    <w:p w14:paraId="79DD3545" w14:textId="77777777" w:rsidR="0028480A" w:rsidRPr="00DE4DFB" w:rsidRDefault="0028480A" w:rsidP="00496A65">
      <w:pPr>
        <w:pStyle w:val="Titre3"/>
      </w:pPr>
      <w:bookmarkStart w:id="74" w:name="_Toc8296482"/>
      <w:r w:rsidRPr="00DE4DFB">
        <w:t>Intended use(s) as applied for by the applicant</w:t>
      </w:r>
      <w:bookmarkEnd w:id="74"/>
    </w:p>
    <w:tbl>
      <w:tblPr>
        <w:tblW w:w="5000" w:type="pct"/>
        <w:tblCellMar>
          <w:left w:w="0" w:type="dxa"/>
          <w:right w:w="0" w:type="dxa"/>
        </w:tblCellMar>
        <w:tblLook w:val="0000" w:firstRow="0" w:lastRow="0" w:firstColumn="0" w:lastColumn="0" w:noHBand="0" w:noVBand="0"/>
      </w:tblPr>
      <w:tblGrid>
        <w:gridCol w:w="4300"/>
        <w:gridCol w:w="10034"/>
      </w:tblGrid>
      <w:tr w:rsidR="009823CF" w:rsidRPr="00C47639" w14:paraId="70F29BEA" w14:textId="77777777" w:rsidTr="00B52A6E">
        <w:tc>
          <w:tcPr>
            <w:tcW w:w="5000"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40" w:type="dxa"/>
              <w:left w:w="40" w:type="dxa"/>
              <w:bottom w:w="40" w:type="dxa"/>
              <w:right w:w="40" w:type="dxa"/>
            </w:tcMar>
          </w:tcPr>
          <w:p w14:paraId="3651889C" w14:textId="1CD91FD0" w:rsidR="009823CF" w:rsidRPr="00C47639" w:rsidRDefault="009823CF" w:rsidP="00496A65">
            <w:pPr>
              <w:pStyle w:val="Standaard-Tabellen"/>
              <w:rPr>
                <w:b/>
              </w:rPr>
            </w:pPr>
            <w:r w:rsidRPr="00C47639">
              <w:rPr>
                <w:b/>
              </w:rPr>
              <w:t xml:space="preserve">Table </w:t>
            </w:r>
            <w:r w:rsidR="008D16AA" w:rsidRPr="00C47639">
              <w:rPr>
                <w:b/>
              </w:rPr>
              <w:fldChar w:fldCharType="begin"/>
            </w:r>
            <w:r w:rsidRPr="00C47639">
              <w:rPr>
                <w:b/>
              </w:rPr>
              <w:instrText xml:space="preserve"> SEQ Table \* ARABIC </w:instrText>
            </w:r>
            <w:r w:rsidR="008D16AA" w:rsidRPr="00C47639">
              <w:rPr>
                <w:b/>
              </w:rPr>
              <w:fldChar w:fldCharType="separate"/>
            </w:r>
            <w:r w:rsidR="00213659">
              <w:rPr>
                <w:b/>
                <w:noProof/>
              </w:rPr>
              <w:t>2</w:t>
            </w:r>
            <w:r w:rsidR="008D16AA" w:rsidRPr="00C47639">
              <w:rPr>
                <w:b/>
              </w:rPr>
              <w:fldChar w:fldCharType="end"/>
            </w:r>
            <w:r w:rsidRPr="00C47639">
              <w:rPr>
                <w:b/>
              </w:rPr>
              <w:t xml:space="preserve">. Use # 1 – </w:t>
            </w:r>
            <w:r w:rsidR="00983E3D" w:rsidRPr="00C47639">
              <w:rPr>
                <w:b/>
              </w:rPr>
              <w:t>Application to skin</w:t>
            </w:r>
          </w:p>
        </w:tc>
      </w:tr>
      <w:tr w:rsidR="00983E3D" w:rsidRPr="00BD2EF1" w14:paraId="0DA3EE0F" w14:textId="77777777" w:rsidTr="00B52A6E">
        <w:tc>
          <w:tcPr>
            <w:tcW w:w="150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458A5" w14:textId="77777777" w:rsidR="00983E3D" w:rsidRPr="00C47639" w:rsidRDefault="00983E3D" w:rsidP="00496A65">
            <w:pPr>
              <w:pStyle w:val="Standaard-Tabellen"/>
              <w:rPr>
                <w:b/>
              </w:rPr>
            </w:pPr>
            <w:r w:rsidRPr="00C47639">
              <w:rPr>
                <w:b/>
              </w:rPr>
              <w:t>Product Type</w:t>
            </w:r>
          </w:p>
        </w:tc>
        <w:tc>
          <w:tcPr>
            <w:tcW w:w="3500"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CD97681" w14:textId="77777777" w:rsidR="00983E3D" w:rsidRPr="00BD2EF1" w:rsidRDefault="00983E3D" w:rsidP="00496A65">
            <w:pPr>
              <w:pStyle w:val="Standaard-Tabellen"/>
            </w:pPr>
            <w:r>
              <w:t>PT19 – Repellents and attractants (Pest control)</w:t>
            </w:r>
          </w:p>
        </w:tc>
      </w:tr>
      <w:tr w:rsidR="00983E3D" w:rsidRPr="00BD2EF1" w14:paraId="7DE703CE"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F07BF4" w14:textId="77777777" w:rsidR="00983E3D" w:rsidRPr="00C47639" w:rsidRDefault="00983E3D" w:rsidP="00496A65">
            <w:pPr>
              <w:pStyle w:val="Standaard-Tabellen"/>
              <w:rPr>
                <w:b/>
              </w:rPr>
            </w:pPr>
            <w:r w:rsidRPr="00C47639">
              <w:rPr>
                <w:b/>
              </w:rPr>
              <w:t xml:space="preserve">Where relevant, an exact description of the </w:t>
            </w:r>
            <w:proofErr w:type="spellStart"/>
            <w:r w:rsidRPr="00C47639">
              <w:rPr>
                <w:b/>
              </w:rPr>
              <w:t>authorised</w:t>
            </w:r>
            <w:proofErr w:type="spellEnd"/>
            <w:r w:rsidRPr="00C47639">
              <w:rPr>
                <w:b/>
              </w:rPr>
              <w:t xml:space="preserve">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78D03CEB" w14:textId="694C0345" w:rsidR="00983E3D" w:rsidRDefault="00983E3D" w:rsidP="00496A65">
            <w:pPr>
              <w:pStyle w:val="Standaard-Tabellen"/>
            </w:pPr>
            <w:r>
              <w:t>Insect repellent pump spray IR3535</w:t>
            </w:r>
            <w:r w:rsidRPr="00983E3D">
              <w:rPr>
                <w:vertAlign w:val="superscript"/>
              </w:rPr>
              <w:t>®</w:t>
            </w:r>
            <w:r>
              <w:t xml:space="preserve"> 20% is a ready to use product. The repellent is sprayed onto the skin. 3g product is sufficient for the application to approximately 50% of the body surface (face, hands, arms and legs as assessed in the CAR for IR3535</w:t>
            </w:r>
            <w:r w:rsidR="0004367B" w:rsidRPr="0004367B">
              <w:rPr>
                <w:vertAlign w:val="superscript"/>
                <w:lang w:eastAsia="fr-FR"/>
              </w:rPr>
              <w:t>®</w:t>
            </w:r>
            <w:r>
              <w:t>). For treatment of the face, spray the repellent solution onto the palm of the hand and distribute the solution over the skin of the face thereby taking care to protect the eyes.</w:t>
            </w:r>
          </w:p>
          <w:p w14:paraId="67BDF82F" w14:textId="77777777" w:rsidR="00983E3D" w:rsidRPr="00BD2EF1" w:rsidRDefault="00983E3D" w:rsidP="00496A65">
            <w:pPr>
              <w:pStyle w:val="Standaard-Tabellen"/>
            </w:pPr>
            <w:r>
              <w:t>Relevant codes: VI.1.1 and VI.9 (manual distribution over skin)</w:t>
            </w:r>
          </w:p>
        </w:tc>
      </w:tr>
      <w:tr w:rsidR="00983E3D" w:rsidRPr="00BD2EF1" w14:paraId="3E0C83C2"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89E2C9" w14:textId="77777777" w:rsidR="00983E3D" w:rsidRPr="00C47639" w:rsidRDefault="00983E3D" w:rsidP="00496A65">
            <w:pPr>
              <w:pStyle w:val="Standaard-Tabellen"/>
              <w:rPr>
                <w:b/>
              </w:rPr>
            </w:pPr>
            <w:r w:rsidRPr="00C47639">
              <w:rPr>
                <w:b/>
              </w:rPr>
              <w:t>Target organism (including development stage)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tbl>
            <w:tblPr>
              <w:tblStyle w:val="Grilledutableau"/>
              <w:tblW w:w="0" w:type="auto"/>
              <w:tblLook w:val="04A0" w:firstRow="1" w:lastRow="0" w:firstColumn="1" w:lastColumn="0" w:noHBand="0" w:noVBand="1"/>
            </w:tblPr>
            <w:tblGrid>
              <w:gridCol w:w="1767"/>
              <w:gridCol w:w="1723"/>
              <w:gridCol w:w="2169"/>
            </w:tblGrid>
            <w:tr w:rsidR="00895C06" w14:paraId="6A549D6F" w14:textId="77777777" w:rsidTr="00F835F6">
              <w:tc>
                <w:tcPr>
                  <w:tcW w:w="0" w:type="auto"/>
                </w:tcPr>
                <w:p w14:paraId="1ECDF0B2" w14:textId="77777777" w:rsidR="00895C06" w:rsidRPr="00C47639" w:rsidRDefault="00895C06" w:rsidP="00496A65">
                  <w:pPr>
                    <w:pStyle w:val="Standaard-Tabellen"/>
                    <w:rPr>
                      <w:b/>
                    </w:rPr>
                  </w:pPr>
                  <w:r w:rsidRPr="00C47639">
                    <w:rPr>
                      <w:b/>
                    </w:rPr>
                    <w:t>Scientific name</w:t>
                  </w:r>
                </w:p>
              </w:tc>
              <w:tc>
                <w:tcPr>
                  <w:tcW w:w="0" w:type="auto"/>
                </w:tcPr>
                <w:p w14:paraId="5D978E91" w14:textId="77777777" w:rsidR="00895C06" w:rsidRPr="00C47639" w:rsidRDefault="00895C06" w:rsidP="00496A65">
                  <w:pPr>
                    <w:pStyle w:val="Standaard-Tabellen"/>
                    <w:rPr>
                      <w:b/>
                    </w:rPr>
                  </w:pPr>
                  <w:r w:rsidRPr="00C47639">
                    <w:rPr>
                      <w:b/>
                    </w:rPr>
                    <w:t>Common name</w:t>
                  </w:r>
                </w:p>
              </w:tc>
              <w:tc>
                <w:tcPr>
                  <w:tcW w:w="0" w:type="auto"/>
                </w:tcPr>
                <w:p w14:paraId="1A452978" w14:textId="77777777" w:rsidR="00895C06" w:rsidRPr="00C47639" w:rsidRDefault="00895C06" w:rsidP="00496A65">
                  <w:pPr>
                    <w:pStyle w:val="Standaard-Tabellen"/>
                    <w:rPr>
                      <w:b/>
                    </w:rPr>
                  </w:pPr>
                  <w:r w:rsidRPr="00C47639">
                    <w:rPr>
                      <w:b/>
                    </w:rPr>
                    <w:t>Development stage</w:t>
                  </w:r>
                </w:p>
              </w:tc>
            </w:tr>
            <w:tr w:rsidR="00895C06" w14:paraId="6EBD9897" w14:textId="77777777" w:rsidTr="00F835F6">
              <w:tc>
                <w:tcPr>
                  <w:tcW w:w="0" w:type="auto"/>
                </w:tcPr>
                <w:p w14:paraId="4B28980B" w14:textId="77777777" w:rsidR="00895C06" w:rsidRPr="00895C06" w:rsidRDefault="00895C06" w:rsidP="00496A65">
                  <w:pPr>
                    <w:pStyle w:val="Standaard-Tabellen"/>
                  </w:pPr>
                  <w:proofErr w:type="spellStart"/>
                  <w:r>
                    <w:t>Culicidae</w:t>
                  </w:r>
                  <w:proofErr w:type="spellEnd"/>
                </w:p>
              </w:tc>
              <w:tc>
                <w:tcPr>
                  <w:tcW w:w="0" w:type="auto"/>
                </w:tcPr>
                <w:p w14:paraId="6F5DCD56" w14:textId="77777777" w:rsidR="00895C06" w:rsidRPr="00895C06" w:rsidRDefault="00895C06" w:rsidP="00496A65">
                  <w:pPr>
                    <w:pStyle w:val="Standaard-Tabellen"/>
                  </w:pPr>
                  <w:r>
                    <w:t>Mosquitoes</w:t>
                  </w:r>
                </w:p>
              </w:tc>
              <w:tc>
                <w:tcPr>
                  <w:tcW w:w="0" w:type="auto"/>
                </w:tcPr>
                <w:p w14:paraId="7C9B594B" w14:textId="77777777" w:rsidR="00895C06" w:rsidRPr="00895C06" w:rsidRDefault="00895C06" w:rsidP="00496A65">
                  <w:pPr>
                    <w:pStyle w:val="Standaard-Tabellen"/>
                  </w:pPr>
                  <w:r>
                    <w:t>Adults</w:t>
                  </w:r>
                </w:p>
              </w:tc>
            </w:tr>
            <w:tr w:rsidR="00895C06" w14:paraId="2FFFB9CF" w14:textId="77777777" w:rsidTr="00F835F6">
              <w:tc>
                <w:tcPr>
                  <w:tcW w:w="0" w:type="auto"/>
                </w:tcPr>
                <w:p w14:paraId="7A93CCEB" w14:textId="77777777" w:rsidR="00895C06" w:rsidRDefault="00895C06" w:rsidP="00496A65">
                  <w:pPr>
                    <w:pStyle w:val="Standaard-Tabellen"/>
                  </w:pPr>
                  <w:proofErr w:type="spellStart"/>
                  <w:r>
                    <w:t>Ixodidae</w:t>
                  </w:r>
                  <w:proofErr w:type="spellEnd"/>
                </w:p>
              </w:tc>
              <w:tc>
                <w:tcPr>
                  <w:tcW w:w="0" w:type="auto"/>
                </w:tcPr>
                <w:p w14:paraId="13293B26" w14:textId="77777777" w:rsidR="00895C06" w:rsidRDefault="00895C06" w:rsidP="00496A65">
                  <w:pPr>
                    <w:pStyle w:val="Standaard-Tabellen"/>
                  </w:pPr>
                  <w:r>
                    <w:t>Ticks</w:t>
                  </w:r>
                </w:p>
              </w:tc>
              <w:tc>
                <w:tcPr>
                  <w:tcW w:w="0" w:type="auto"/>
                </w:tcPr>
                <w:p w14:paraId="2FCEEA50" w14:textId="77777777" w:rsidR="00895C06" w:rsidRDefault="00895C06" w:rsidP="00496A65">
                  <w:pPr>
                    <w:pStyle w:val="Standaard-Tabellen"/>
                  </w:pPr>
                  <w:r>
                    <w:t>Nymphs</w:t>
                  </w:r>
                </w:p>
              </w:tc>
            </w:tr>
            <w:tr w:rsidR="00895C06" w14:paraId="3A1C3DC5" w14:textId="77777777" w:rsidTr="00F835F6">
              <w:tc>
                <w:tcPr>
                  <w:tcW w:w="0" w:type="auto"/>
                </w:tcPr>
                <w:p w14:paraId="0087FD44" w14:textId="77777777" w:rsidR="00895C06" w:rsidRDefault="00895C06" w:rsidP="00496A65">
                  <w:pPr>
                    <w:pStyle w:val="Standaard-Tabellen"/>
                  </w:pPr>
                  <w:proofErr w:type="spellStart"/>
                  <w:r>
                    <w:t>Ixodidae</w:t>
                  </w:r>
                  <w:proofErr w:type="spellEnd"/>
                </w:p>
              </w:tc>
              <w:tc>
                <w:tcPr>
                  <w:tcW w:w="0" w:type="auto"/>
                </w:tcPr>
                <w:p w14:paraId="7C0BBC9E" w14:textId="77777777" w:rsidR="00895C06" w:rsidRDefault="00895C06" w:rsidP="00496A65">
                  <w:pPr>
                    <w:pStyle w:val="Standaard-Tabellen"/>
                  </w:pPr>
                  <w:r>
                    <w:t>Ticks</w:t>
                  </w:r>
                </w:p>
              </w:tc>
              <w:tc>
                <w:tcPr>
                  <w:tcW w:w="0" w:type="auto"/>
                </w:tcPr>
                <w:p w14:paraId="694FEBF6" w14:textId="77777777" w:rsidR="00895C06" w:rsidRDefault="00895C06" w:rsidP="00496A65">
                  <w:pPr>
                    <w:pStyle w:val="Standaard-Tabellen"/>
                  </w:pPr>
                  <w:r>
                    <w:t>Adults</w:t>
                  </w:r>
                </w:p>
              </w:tc>
            </w:tr>
          </w:tbl>
          <w:p w14:paraId="687A7CA4" w14:textId="77777777" w:rsidR="00983E3D" w:rsidRPr="00BD2EF1" w:rsidRDefault="00983E3D" w:rsidP="00496A65">
            <w:pPr>
              <w:pStyle w:val="Standaard-Tabellen"/>
            </w:pPr>
          </w:p>
        </w:tc>
      </w:tr>
      <w:tr w:rsidR="00983E3D" w:rsidRPr="00BD2EF1" w14:paraId="4AF1A070"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277DB3" w14:textId="77777777" w:rsidR="00983E3D" w:rsidRPr="00C47639" w:rsidRDefault="00983E3D" w:rsidP="00496A65">
            <w:pPr>
              <w:pStyle w:val="Standaard-Tabellen"/>
              <w:rPr>
                <w:b/>
              </w:rPr>
            </w:pPr>
            <w:r w:rsidRPr="00C47639">
              <w:rPr>
                <w:b/>
              </w:rPr>
              <w:t>Field of use</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630DF5CC" w14:textId="77777777" w:rsidR="00983E3D" w:rsidRDefault="00983E3D" w:rsidP="00496A65">
            <w:pPr>
              <w:pStyle w:val="Standaard-Tabellen"/>
            </w:pPr>
            <w:r>
              <w:t>Other</w:t>
            </w:r>
          </w:p>
          <w:p w14:paraId="299B6EAD" w14:textId="77777777" w:rsidR="00983E3D" w:rsidRPr="00BD2EF1" w:rsidRDefault="00983E3D" w:rsidP="00496A65">
            <w:pPr>
              <w:pStyle w:val="Standaard-Tabellen"/>
            </w:pPr>
            <w:r>
              <w:t>use in well ventilated areas</w:t>
            </w:r>
          </w:p>
        </w:tc>
      </w:tr>
      <w:tr w:rsidR="00983E3D" w:rsidRPr="00BD2EF1" w14:paraId="11FD4E99"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A4CE5E" w14:textId="77777777" w:rsidR="00983E3D" w:rsidRPr="00C47639" w:rsidRDefault="00983E3D" w:rsidP="00496A65">
            <w:pPr>
              <w:pStyle w:val="Standaard-Tabellen"/>
              <w:rPr>
                <w:b/>
              </w:rPr>
            </w:pPr>
            <w:r w:rsidRPr="00C47639">
              <w:rPr>
                <w:b/>
              </w:rPr>
              <w:t>Application method(s)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778DB247" w14:textId="77777777" w:rsidR="00F835F6" w:rsidRPr="00BD2EF1" w:rsidRDefault="00F835F6" w:rsidP="00496A65">
            <w:pPr>
              <w:pStyle w:val="Standaard-Tabellen"/>
            </w:pPr>
            <w:r>
              <w:t>S</w:t>
            </w:r>
            <w:r w:rsidR="00983E3D">
              <w:t>praying</w:t>
            </w:r>
            <w:r>
              <w:t>: The ready to use product is a pump spray which is sprayed directly onto the exposed skin</w:t>
            </w:r>
          </w:p>
        </w:tc>
      </w:tr>
      <w:tr w:rsidR="00983E3D" w:rsidRPr="00BD2EF1" w14:paraId="1A35A00A"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BD0059" w14:textId="77777777" w:rsidR="00983E3D" w:rsidRPr="00C47639" w:rsidRDefault="00983E3D" w:rsidP="00496A65">
            <w:pPr>
              <w:pStyle w:val="Standaard-Tabellen"/>
              <w:rPr>
                <w:b/>
              </w:rPr>
            </w:pPr>
            <w:r w:rsidRPr="00C47639">
              <w:rPr>
                <w:b/>
              </w:rPr>
              <w:t>Application rate(s) and frequency</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16C33C16" w14:textId="77777777" w:rsidR="00983E3D" w:rsidRDefault="00983E3D" w:rsidP="00496A65">
            <w:pPr>
              <w:pStyle w:val="Standaard-Tabellen"/>
            </w:pPr>
            <w:r>
              <w:t>Dose: 3.0 g</w:t>
            </w:r>
          </w:p>
          <w:p w14:paraId="5AE4E518" w14:textId="77777777" w:rsidR="00983E3D" w:rsidRPr="00BD2EF1" w:rsidRDefault="00983E3D" w:rsidP="00496A65">
            <w:pPr>
              <w:pStyle w:val="Standaard-Tabellen"/>
            </w:pPr>
            <w:r>
              <w:t>Insect Repellent Pump Spray IR3535</w:t>
            </w:r>
            <w:r w:rsidR="00AC0EA0" w:rsidRPr="00AC0EA0">
              <w:rPr>
                <w:vertAlign w:val="superscript"/>
              </w:rPr>
              <w:t>®</w:t>
            </w:r>
            <w:r>
              <w:t xml:space="preserve"> 20% is intended to be used in </w:t>
            </w:r>
            <w:r w:rsidR="00F835F6">
              <w:t>summer</w:t>
            </w:r>
            <w:r>
              <w:t xml:space="preserve"> when insects are frequent. It is usually applied once a day depending on outdoor </w:t>
            </w:r>
            <w:r w:rsidR="00F835F6">
              <w:t>activities</w:t>
            </w:r>
            <w:r>
              <w:t>, weather and presence of insects. The application can be repeated when necessary (noticeable reduction in repellence). The pump spray can be applied up to 3 times per day for adults, up to 2 times for children between the age of 3 and 10 years and maximally 1 time per day for children below 3 years.</w:t>
            </w:r>
          </w:p>
        </w:tc>
      </w:tr>
      <w:tr w:rsidR="00983E3D" w:rsidRPr="00BD2EF1" w14:paraId="28DB6BDD"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495CB4" w14:textId="77777777" w:rsidR="00983E3D" w:rsidRPr="00C47639" w:rsidRDefault="00983E3D" w:rsidP="00496A65">
            <w:pPr>
              <w:pStyle w:val="Standaard-Tabellen"/>
              <w:rPr>
                <w:b/>
              </w:rPr>
            </w:pPr>
            <w:r w:rsidRPr="00C47639">
              <w:rPr>
                <w:b/>
              </w:rPr>
              <w:t>Category(</w:t>
            </w:r>
            <w:proofErr w:type="spellStart"/>
            <w:r w:rsidRPr="00C47639">
              <w:rPr>
                <w:b/>
              </w:rPr>
              <w:t>ies</w:t>
            </w:r>
            <w:proofErr w:type="spellEnd"/>
            <w:r w:rsidRPr="00C47639">
              <w:rPr>
                <w:b/>
              </w:rPr>
              <w:t>) of users</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p w14:paraId="17761A4B" w14:textId="77777777" w:rsidR="00983E3D" w:rsidRPr="00BD2EF1" w:rsidRDefault="00983E3D" w:rsidP="00496A65">
            <w:pPr>
              <w:pStyle w:val="Standaard-Tabellen"/>
            </w:pPr>
            <w:r>
              <w:t>General public</w:t>
            </w:r>
          </w:p>
        </w:tc>
      </w:tr>
      <w:tr w:rsidR="00983E3D" w:rsidRPr="00BD2EF1" w14:paraId="0A7CD749" w14:textId="77777777" w:rsidTr="00B52A6E">
        <w:tc>
          <w:tcPr>
            <w:tcW w:w="150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C5D51B" w14:textId="77777777" w:rsidR="00983E3D" w:rsidRPr="00C47639" w:rsidRDefault="00983E3D" w:rsidP="00496A65">
            <w:pPr>
              <w:pStyle w:val="Standaard-Tabellen"/>
              <w:rPr>
                <w:b/>
              </w:rPr>
            </w:pPr>
            <w:r w:rsidRPr="00C47639">
              <w:rPr>
                <w:b/>
              </w:rPr>
              <w:t>Pack sizes and packaging material</w:t>
            </w:r>
          </w:p>
        </w:tc>
        <w:tc>
          <w:tcPr>
            <w:tcW w:w="3500" w:type="pct"/>
            <w:tcBorders>
              <w:top w:val="nil"/>
              <w:left w:val="nil"/>
              <w:bottom w:val="single" w:sz="4" w:space="0" w:color="000000"/>
              <w:right w:val="single" w:sz="4" w:space="0" w:color="000000"/>
            </w:tcBorders>
            <w:tcMar>
              <w:top w:w="40" w:type="dxa"/>
              <w:left w:w="40" w:type="dxa"/>
              <w:bottom w:w="40" w:type="dxa"/>
              <w:right w:w="40" w:type="dxa"/>
            </w:tcMar>
          </w:tcPr>
          <w:tbl>
            <w:tblPr>
              <w:tblStyle w:val="Grilledutableau"/>
              <w:tblW w:w="0" w:type="auto"/>
              <w:tblLook w:val="04A0" w:firstRow="1" w:lastRow="0" w:firstColumn="1" w:lastColumn="0" w:noHBand="0" w:noVBand="1"/>
            </w:tblPr>
            <w:tblGrid>
              <w:gridCol w:w="748"/>
              <w:gridCol w:w="1432"/>
              <w:gridCol w:w="2053"/>
            </w:tblGrid>
            <w:tr w:rsidR="00065F3D" w14:paraId="607018DC" w14:textId="77777777" w:rsidTr="00065F3D">
              <w:tc>
                <w:tcPr>
                  <w:tcW w:w="0" w:type="auto"/>
                </w:tcPr>
                <w:p w14:paraId="348D1BCA" w14:textId="77777777" w:rsidR="00065F3D" w:rsidRPr="00C47639" w:rsidRDefault="00065F3D" w:rsidP="00496A65">
                  <w:pPr>
                    <w:pStyle w:val="Standaard-Tabellen"/>
                    <w:rPr>
                      <w:b/>
                    </w:rPr>
                  </w:pPr>
                  <w:r w:rsidRPr="00C47639">
                    <w:rPr>
                      <w:b/>
                    </w:rPr>
                    <w:t>Type</w:t>
                  </w:r>
                </w:p>
              </w:tc>
              <w:tc>
                <w:tcPr>
                  <w:tcW w:w="0" w:type="auto"/>
                </w:tcPr>
                <w:p w14:paraId="246FE9F4" w14:textId="77777777" w:rsidR="00065F3D" w:rsidRPr="00C47639" w:rsidRDefault="00065F3D" w:rsidP="00496A65">
                  <w:pPr>
                    <w:pStyle w:val="Standaard-Tabellen"/>
                    <w:rPr>
                      <w:b/>
                    </w:rPr>
                  </w:pPr>
                  <w:r w:rsidRPr="00C47639">
                    <w:rPr>
                      <w:b/>
                    </w:rPr>
                    <w:t>Material</w:t>
                  </w:r>
                </w:p>
              </w:tc>
              <w:tc>
                <w:tcPr>
                  <w:tcW w:w="0" w:type="auto"/>
                </w:tcPr>
                <w:p w14:paraId="746EF9BF" w14:textId="77777777" w:rsidR="00065F3D" w:rsidRPr="00C47639" w:rsidRDefault="00065F3D" w:rsidP="00496A65">
                  <w:pPr>
                    <w:pStyle w:val="Standaard-Tabellen"/>
                    <w:rPr>
                      <w:b/>
                    </w:rPr>
                  </w:pPr>
                  <w:r w:rsidRPr="00C47639">
                    <w:rPr>
                      <w:b/>
                    </w:rPr>
                    <w:t>Size</w:t>
                  </w:r>
                </w:p>
              </w:tc>
            </w:tr>
            <w:tr w:rsidR="00065F3D" w14:paraId="744DD301" w14:textId="77777777" w:rsidTr="00065F3D">
              <w:tc>
                <w:tcPr>
                  <w:tcW w:w="0" w:type="auto"/>
                </w:tcPr>
                <w:p w14:paraId="47768F28" w14:textId="77777777" w:rsidR="00065F3D" w:rsidRPr="00F835F6" w:rsidRDefault="00065F3D" w:rsidP="00496A65">
                  <w:pPr>
                    <w:pStyle w:val="Standaard-Tabellen"/>
                  </w:pPr>
                  <w:r>
                    <w:t>Bottle</w:t>
                  </w:r>
                </w:p>
              </w:tc>
              <w:tc>
                <w:tcPr>
                  <w:tcW w:w="0" w:type="auto"/>
                </w:tcPr>
                <w:p w14:paraId="2A5EC634" w14:textId="77777777" w:rsidR="00065F3D" w:rsidRPr="00F835F6" w:rsidRDefault="00065F3D" w:rsidP="00496A65">
                  <w:pPr>
                    <w:pStyle w:val="Standaard-Tabellen"/>
                  </w:pPr>
                  <w:r>
                    <w:t>Plastic: HDPE</w:t>
                  </w:r>
                </w:p>
              </w:tc>
              <w:tc>
                <w:tcPr>
                  <w:tcW w:w="0" w:type="auto"/>
                </w:tcPr>
                <w:p w14:paraId="10E6761C" w14:textId="77777777" w:rsidR="00065F3D" w:rsidRPr="00F835F6" w:rsidRDefault="00065F3D" w:rsidP="00496A65">
                  <w:pPr>
                    <w:pStyle w:val="Standaard-Tabellen"/>
                  </w:pPr>
                  <w:r>
                    <w:t>&gt;25.0 - &lt; 750.0 mL</w:t>
                  </w:r>
                </w:p>
              </w:tc>
            </w:tr>
          </w:tbl>
          <w:p w14:paraId="68A4CE76" w14:textId="77777777" w:rsidR="00983E3D" w:rsidRDefault="00983E3D" w:rsidP="00496A65">
            <w:pPr>
              <w:pStyle w:val="Standaard-Tabellen"/>
            </w:pPr>
          </w:p>
          <w:p w14:paraId="159183E0" w14:textId="77777777" w:rsidR="00065F3D" w:rsidRPr="00BD2EF1" w:rsidRDefault="00065F3D" w:rsidP="00496A65">
            <w:pPr>
              <w:pStyle w:val="Standaard-Tabellen"/>
            </w:pPr>
            <w:r>
              <w:t xml:space="preserve">Due to a technical issue with SPC-editor and IUCLID, the applicant wasn’t able to include the ≥ and </w:t>
            </w:r>
            <w:proofErr w:type="gramStart"/>
            <w:r>
              <w:t>≤  symbols</w:t>
            </w:r>
            <w:proofErr w:type="gramEnd"/>
            <w:r>
              <w:t>. The applied packaging should have been ‘larger or equal to 25 mL to smaller or equal to 750 mL’.</w:t>
            </w:r>
          </w:p>
        </w:tc>
      </w:tr>
    </w:tbl>
    <w:p w14:paraId="725BB3C1" w14:textId="77777777" w:rsidR="0028480A" w:rsidRDefault="0028480A" w:rsidP="00496A65"/>
    <w:p w14:paraId="430BE1B5" w14:textId="77777777" w:rsidR="001418AC" w:rsidRDefault="001418AC" w:rsidP="00496A65"/>
    <w:p w14:paraId="39DEBA7D" w14:textId="77777777" w:rsidR="001418AC" w:rsidRDefault="001418AC" w:rsidP="00496A65"/>
    <w:p w14:paraId="43C479C5" w14:textId="77777777" w:rsidR="00C47639" w:rsidRDefault="00C47639" w:rsidP="00C47639">
      <w:pPr>
        <w:pStyle w:val="Titre3"/>
      </w:pPr>
      <w:bookmarkStart w:id="75" w:name="_Toc532391069"/>
      <w:bookmarkStart w:id="76" w:name="_Toc8296483"/>
      <w:r>
        <w:lastRenderedPageBreak/>
        <w:t>Clarification on product composition and compositions tested</w:t>
      </w:r>
      <w:bookmarkEnd w:id="75"/>
      <w:bookmarkEnd w:id="76"/>
    </w:p>
    <w:p w14:paraId="63805501" w14:textId="77777777" w:rsidR="00C47639" w:rsidRPr="00606AB8" w:rsidRDefault="00C47639" w:rsidP="00C47639">
      <w:pPr>
        <w:spacing w:before="0" w:after="0"/>
      </w:pPr>
      <w:r w:rsidRPr="00606AB8">
        <w:t>In the studies submitted several test materials were used. Below, the differences to the product Insect Repellent Pump Spray IR3535</w:t>
      </w:r>
      <w:r w:rsidRPr="00606AB8">
        <w:rPr>
          <w:vertAlign w:val="superscript"/>
        </w:rPr>
        <w:t>®</w:t>
      </w:r>
      <w:r w:rsidRPr="00606AB8">
        <w:t xml:space="preserve"> 20% are described, whereas the full composition of the test materials is provided in the confidential part of the PAR.</w:t>
      </w:r>
    </w:p>
    <w:p w14:paraId="4D49EA6B" w14:textId="77777777" w:rsidR="00C47639" w:rsidRPr="009022C0" w:rsidRDefault="00C47639" w:rsidP="00C47639">
      <w:pPr>
        <w:pStyle w:val="Paragraphedeliste"/>
        <w:numPr>
          <w:ilvl w:val="0"/>
          <w:numId w:val="19"/>
        </w:numPr>
        <w:spacing w:before="0" w:after="0"/>
        <w:contextualSpacing w:val="0"/>
        <w:rPr>
          <w:b/>
        </w:rPr>
      </w:pPr>
      <w:r w:rsidRPr="00606AB8">
        <w:rPr>
          <w:b/>
        </w:rPr>
        <w:t xml:space="preserve">Insect Repellent </w:t>
      </w:r>
      <w:r w:rsidRPr="009022C0">
        <w:rPr>
          <w:b/>
        </w:rPr>
        <w:t>Pump Spray IR3535</w:t>
      </w:r>
      <w:r w:rsidRPr="009022C0">
        <w:rPr>
          <w:b/>
          <w:vertAlign w:val="superscript"/>
        </w:rPr>
        <w:t>®</w:t>
      </w:r>
      <w:r w:rsidRPr="009022C0">
        <w:rPr>
          <w:b/>
        </w:rPr>
        <w:t xml:space="preserve"> 20%</w:t>
      </w:r>
    </w:p>
    <w:p w14:paraId="27B2E9A8" w14:textId="77777777" w:rsidR="00C47639" w:rsidRPr="00606AB8" w:rsidRDefault="00C47639" w:rsidP="00C47639">
      <w:pPr>
        <w:pStyle w:val="Paragraphedeliste"/>
        <w:numPr>
          <w:ilvl w:val="0"/>
          <w:numId w:val="19"/>
        </w:numPr>
        <w:spacing w:before="0" w:after="0"/>
        <w:contextualSpacing w:val="0"/>
        <w:rPr>
          <w:b/>
        </w:rPr>
      </w:pPr>
      <w:r w:rsidRPr="009022C0">
        <w:rPr>
          <w:b/>
        </w:rPr>
        <w:t>Insect Repellent Pump Spray IR3535</w:t>
      </w:r>
      <w:r w:rsidRPr="009022C0">
        <w:rPr>
          <w:b/>
          <w:vertAlign w:val="superscript"/>
        </w:rPr>
        <w:t>®</w:t>
      </w:r>
      <w:r w:rsidRPr="009022C0">
        <w:rPr>
          <w:b/>
        </w:rPr>
        <w:t xml:space="preserve"> 20% without</w:t>
      </w:r>
      <w:r w:rsidRPr="00606AB8">
        <w:rPr>
          <w:b/>
        </w:rPr>
        <w:t xml:space="preserve"> </w:t>
      </w:r>
      <w:proofErr w:type="spellStart"/>
      <w:r w:rsidRPr="00606AB8">
        <w:rPr>
          <w:b/>
        </w:rPr>
        <w:t>Bitrex</w:t>
      </w:r>
      <w:proofErr w:type="spellEnd"/>
    </w:p>
    <w:p w14:paraId="15BAA342" w14:textId="77777777" w:rsidR="00C47639" w:rsidRDefault="00C47639" w:rsidP="00C47639">
      <w:pPr>
        <w:pStyle w:val="Paragraphedeliste"/>
        <w:numPr>
          <w:ilvl w:val="0"/>
          <w:numId w:val="19"/>
        </w:numPr>
        <w:spacing w:before="0" w:after="0"/>
        <w:contextualSpacing w:val="0"/>
      </w:pPr>
      <w:r w:rsidRPr="00606AB8">
        <w:rPr>
          <w:b/>
        </w:rPr>
        <w:t>US Pump Spray Formulation:</w:t>
      </w:r>
      <w:r w:rsidRPr="00606AB8">
        <w:t xml:space="preserve"> </w:t>
      </w:r>
      <w:r>
        <w:t xml:space="preserve">In the US EPA formulation, ethanol denatured with </w:t>
      </w:r>
      <w:proofErr w:type="spellStart"/>
      <w:r>
        <w:t>Bitrex</w:t>
      </w:r>
      <w:proofErr w:type="spellEnd"/>
      <w:r>
        <w:t xml:space="preserve"> and </w:t>
      </w:r>
      <w:proofErr w:type="spellStart"/>
      <w:r>
        <w:t>tertbutanol</w:t>
      </w:r>
      <w:proofErr w:type="spellEnd"/>
      <w:r>
        <w:t xml:space="preserve"> (final concentrations 0.0002% and 0.042 %, respectively) is used, whereas in the EU formulation (Insect Repellent Pump Spray IR3535</w:t>
      </w:r>
      <w:r w:rsidRPr="00606AB8">
        <w:rPr>
          <w:vertAlign w:val="superscript"/>
        </w:rPr>
        <w:t>®</w:t>
      </w:r>
      <w:r>
        <w:t xml:space="preserve"> 20%) a final concentration of 0.0011% </w:t>
      </w:r>
      <w:proofErr w:type="spellStart"/>
      <w:r>
        <w:t>Bitrex</w:t>
      </w:r>
      <w:proofErr w:type="spellEnd"/>
      <w:r>
        <w:t xml:space="preserve"> is present. Other components are identical in both formulations and only the water content was adjusted to compensate for the slight differences in composition.</w:t>
      </w:r>
    </w:p>
    <w:p w14:paraId="3415CA8F" w14:textId="77777777" w:rsidR="00C47639" w:rsidRPr="009022C0" w:rsidRDefault="00C47639" w:rsidP="00C47639">
      <w:pPr>
        <w:pStyle w:val="Paragraphedeliste"/>
        <w:numPr>
          <w:ilvl w:val="0"/>
          <w:numId w:val="20"/>
        </w:numPr>
        <w:spacing w:before="0" w:after="0"/>
        <w:contextualSpacing w:val="0"/>
        <w:rPr>
          <w:sz w:val="18"/>
          <w:szCs w:val="18"/>
        </w:rPr>
      </w:pPr>
      <w:r>
        <w:rPr>
          <w:b/>
        </w:rPr>
        <w:t>Insect Repellent Pump Spray Lice IR3535</w:t>
      </w:r>
      <w:r w:rsidRPr="009022C0">
        <w:rPr>
          <w:b/>
          <w:vertAlign w:val="superscript"/>
        </w:rPr>
        <w:t>®</w:t>
      </w:r>
      <w:r>
        <w:rPr>
          <w:b/>
        </w:rPr>
        <w:t xml:space="preserve"> 20% without </w:t>
      </w:r>
      <w:proofErr w:type="spellStart"/>
      <w:r>
        <w:rPr>
          <w:b/>
        </w:rPr>
        <w:t>Bitrex</w:t>
      </w:r>
      <w:proofErr w:type="spellEnd"/>
      <w:r>
        <w:rPr>
          <w:b/>
        </w:rPr>
        <w:t xml:space="preserve">: </w:t>
      </w:r>
      <w:r>
        <w:t xml:space="preserve">Slightly higher concentration emollient, no film forming substance present, and no </w:t>
      </w:r>
      <w:proofErr w:type="spellStart"/>
      <w:r>
        <w:t>Bitrex</w:t>
      </w:r>
      <w:proofErr w:type="spellEnd"/>
      <w:r>
        <w:t xml:space="preserve"> present.</w:t>
      </w:r>
    </w:p>
    <w:p w14:paraId="4308908A" w14:textId="77777777" w:rsidR="00C47639" w:rsidRPr="00606AB8" w:rsidRDefault="00C47639" w:rsidP="00C47639">
      <w:pPr>
        <w:pStyle w:val="Paragraphedeliste"/>
        <w:numPr>
          <w:ilvl w:val="0"/>
          <w:numId w:val="19"/>
        </w:numPr>
        <w:autoSpaceDE w:val="0"/>
        <w:autoSpaceDN w:val="0"/>
        <w:spacing w:before="0" w:after="0"/>
        <w:contextualSpacing w:val="0"/>
      </w:pPr>
      <w:r w:rsidRPr="00606AB8">
        <w:rPr>
          <w:b/>
        </w:rPr>
        <w:t>TMT-003</w:t>
      </w:r>
      <w:r w:rsidRPr="00606AB8">
        <w:t xml:space="preserve"> (</w:t>
      </w:r>
      <w:r>
        <w:t xml:space="preserve">efficacy </w:t>
      </w:r>
      <w:r w:rsidRPr="00606AB8">
        <w:t xml:space="preserve">test against </w:t>
      </w:r>
      <w:proofErr w:type="spellStart"/>
      <w:r w:rsidRPr="00606AB8">
        <w:rPr>
          <w:i/>
        </w:rPr>
        <w:t>Aedes</w:t>
      </w:r>
      <w:proofErr w:type="spellEnd"/>
      <w:r w:rsidRPr="00606AB8">
        <w:rPr>
          <w:i/>
        </w:rPr>
        <w:t xml:space="preserve"> </w:t>
      </w:r>
      <w:proofErr w:type="spellStart"/>
      <w:r w:rsidRPr="00606AB8">
        <w:rPr>
          <w:i/>
        </w:rPr>
        <w:t>albopictus</w:t>
      </w:r>
      <w:proofErr w:type="spellEnd"/>
      <w:r w:rsidRPr="00606AB8">
        <w:t xml:space="preserve">): </w:t>
      </w:r>
      <w:r>
        <w:t>Similar to the Insect Repellent Pump Spray IR3535</w:t>
      </w:r>
      <w:r w:rsidRPr="00606AB8">
        <w:rPr>
          <w:vertAlign w:val="superscript"/>
        </w:rPr>
        <w:t>®</w:t>
      </w:r>
      <w:r>
        <w:t xml:space="preserve"> 20% once dried on the skin. The 2-propanol and water will have evaporated and the remaining substances are present in the same concentration as the pump spray. The main difference is that TMT-003 also contains butylene glycol.</w:t>
      </w:r>
    </w:p>
    <w:p w14:paraId="3A9DC7A3" w14:textId="77777777" w:rsidR="00C47639" w:rsidRPr="00464A29" w:rsidRDefault="00C47639" w:rsidP="00C47639">
      <w:pPr>
        <w:rPr>
          <w:i/>
        </w:rPr>
      </w:pPr>
    </w:p>
    <w:p w14:paraId="3FE4D643" w14:textId="7D6C01B2" w:rsidR="00C47639" w:rsidRDefault="00C47639" w:rsidP="00C47639">
      <w:pPr>
        <w:pStyle w:val="Titre3"/>
      </w:pPr>
      <w:bookmarkStart w:id="77" w:name="_Toc532391070"/>
      <w:bookmarkStart w:id="78" w:name="_Toc8296484"/>
      <w:r w:rsidRPr="00BD2EF1">
        <w:t>Physical, chemical and technical properties</w:t>
      </w:r>
      <w:bookmarkEnd w:id="77"/>
      <w:bookmarkEnd w:id="78"/>
    </w:p>
    <w:p w14:paraId="3A92213A" w14:textId="088C5676" w:rsidR="000260E6" w:rsidRPr="00642B6C" w:rsidRDefault="000260E6" w:rsidP="000260E6">
      <w:pPr>
        <w:pStyle w:val="Paragraphedeliste"/>
        <w:numPr>
          <w:ilvl w:val="0"/>
          <w:numId w:val="39"/>
        </w:numPr>
        <w:rPr>
          <w:b/>
        </w:rPr>
      </w:pPr>
      <w:r w:rsidRPr="00642B6C">
        <w:rPr>
          <w:b/>
        </w:rPr>
        <w:t>Initial Assessment of the reference product Insect Repellent Pump Spray IR3535</w:t>
      </w:r>
      <w:r w:rsidRPr="00642B6C">
        <w:rPr>
          <w:b/>
          <w:vertAlign w:val="superscript"/>
        </w:rPr>
        <w:t xml:space="preserve">®  </w:t>
      </w:r>
      <w:r w:rsidRPr="00642B6C">
        <w:rPr>
          <w:b/>
        </w:rPr>
        <w:t>20%- 2019</w:t>
      </w:r>
      <w:r w:rsidR="009609F5">
        <w:rPr>
          <w:b/>
        </w:rPr>
        <w:t xml:space="preserve"> (BE CA)</w:t>
      </w:r>
    </w:p>
    <w:p w14:paraId="6198A6EF" w14:textId="77777777" w:rsidR="00701863" w:rsidRPr="00701863" w:rsidRDefault="00701863" w:rsidP="007018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2076"/>
        <w:gridCol w:w="1832"/>
        <w:gridCol w:w="3019"/>
        <w:gridCol w:w="2993"/>
      </w:tblGrid>
      <w:tr w:rsidR="00C47639" w:rsidRPr="00C25499" w14:paraId="05F4F89D" w14:textId="77777777" w:rsidTr="00C47639">
        <w:trPr>
          <w:tblHeader/>
        </w:trPr>
        <w:tc>
          <w:tcPr>
            <w:tcW w:w="1540" w:type="pct"/>
            <w:shd w:val="clear" w:color="auto" w:fill="BFBFBF" w:themeFill="background1" w:themeFillShade="BF"/>
            <w:vAlign w:val="center"/>
          </w:tcPr>
          <w:p w14:paraId="48FCA95F" w14:textId="77777777" w:rsidR="00C47639" w:rsidRPr="00C25499" w:rsidRDefault="00C47639" w:rsidP="00C47639">
            <w:pPr>
              <w:pStyle w:val="Standaard-Tabellen"/>
              <w:rPr>
                <w:b/>
              </w:rPr>
            </w:pPr>
            <w:r w:rsidRPr="00C25499">
              <w:rPr>
                <w:b/>
              </w:rPr>
              <w:t>Property</w:t>
            </w:r>
          </w:p>
        </w:tc>
        <w:tc>
          <w:tcPr>
            <w:tcW w:w="724" w:type="pct"/>
            <w:shd w:val="clear" w:color="auto" w:fill="BFBFBF" w:themeFill="background1" w:themeFillShade="BF"/>
            <w:vAlign w:val="center"/>
          </w:tcPr>
          <w:p w14:paraId="1FFA83F8" w14:textId="77777777" w:rsidR="00C47639" w:rsidRPr="00C25499" w:rsidRDefault="00C47639" w:rsidP="00C47639">
            <w:pPr>
              <w:pStyle w:val="Standaard-Tabellen"/>
              <w:rPr>
                <w:b/>
              </w:rPr>
            </w:pPr>
            <w:r w:rsidRPr="00C25499">
              <w:rPr>
                <w:b/>
              </w:rPr>
              <w:t>Guideline  and Method</w:t>
            </w:r>
          </w:p>
        </w:tc>
        <w:tc>
          <w:tcPr>
            <w:tcW w:w="639" w:type="pct"/>
            <w:shd w:val="clear" w:color="auto" w:fill="BFBFBF" w:themeFill="background1" w:themeFillShade="BF"/>
            <w:vAlign w:val="center"/>
          </w:tcPr>
          <w:p w14:paraId="68A58E7E" w14:textId="77777777" w:rsidR="00C47639" w:rsidRPr="00C25499" w:rsidRDefault="00C47639" w:rsidP="00C47639">
            <w:pPr>
              <w:pStyle w:val="Standaard-Tabellen"/>
              <w:rPr>
                <w:b/>
              </w:rPr>
            </w:pPr>
            <w:r w:rsidRPr="00C25499">
              <w:rPr>
                <w:b/>
              </w:rPr>
              <w:t>Purity of the test substance (% (w/w)</w:t>
            </w:r>
          </w:p>
        </w:tc>
        <w:tc>
          <w:tcPr>
            <w:tcW w:w="1053" w:type="pct"/>
            <w:shd w:val="clear" w:color="auto" w:fill="BFBFBF" w:themeFill="background1" w:themeFillShade="BF"/>
            <w:vAlign w:val="center"/>
          </w:tcPr>
          <w:p w14:paraId="325869F7" w14:textId="77777777" w:rsidR="00C47639" w:rsidRPr="00C25499" w:rsidRDefault="00C47639" w:rsidP="00C47639">
            <w:pPr>
              <w:pStyle w:val="Standaard-Tabellen"/>
              <w:rPr>
                <w:b/>
              </w:rPr>
            </w:pPr>
            <w:r w:rsidRPr="00C25499">
              <w:rPr>
                <w:b/>
              </w:rPr>
              <w:t>Results</w:t>
            </w:r>
          </w:p>
        </w:tc>
        <w:tc>
          <w:tcPr>
            <w:tcW w:w="1044" w:type="pct"/>
            <w:shd w:val="clear" w:color="auto" w:fill="BFBFBF" w:themeFill="background1" w:themeFillShade="BF"/>
            <w:vAlign w:val="center"/>
          </w:tcPr>
          <w:p w14:paraId="04E5FBAE" w14:textId="77777777" w:rsidR="00C47639" w:rsidRPr="00C25499" w:rsidRDefault="00C47639" w:rsidP="00C47639">
            <w:pPr>
              <w:pStyle w:val="Standaard-Tabellen"/>
              <w:rPr>
                <w:b/>
              </w:rPr>
            </w:pPr>
            <w:r w:rsidRPr="00C25499">
              <w:rPr>
                <w:b/>
              </w:rPr>
              <w:t>Reference</w:t>
            </w:r>
          </w:p>
        </w:tc>
      </w:tr>
      <w:tr w:rsidR="00C47639" w:rsidRPr="00C25499" w14:paraId="6CF74C74" w14:textId="77777777" w:rsidTr="00C47639">
        <w:tc>
          <w:tcPr>
            <w:tcW w:w="1540" w:type="pct"/>
          </w:tcPr>
          <w:p w14:paraId="21F24D91" w14:textId="77777777" w:rsidR="00C47639" w:rsidRPr="00C25499" w:rsidRDefault="00C47639" w:rsidP="00C47639">
            <w:pPr>
              <w:pStyle w:val="Standaard-Tabellen"/>
            </w:pPr>
            <w:r w:rsidRPr="00C25499">
              <w:t xml:space="preserve">Physical state at 25 °C and 101.3 </w:t>
            </w:r>
            <w:proofErr w:type="spellStart"/>
            <w:r w:rsidRPr="00C25499">
              <w:t>kPa</w:t>
            </w:r>
            <w:proofErr w:type="spellEnd"/>
          </w:p>
        </w:tc>
        <w:tc>
          <w:tcPr>
            <w:tcW w:w="724" w:type="pct"/>
          </w:tcPr>
          <w:p w14:paraId="679685CC" w14:textId="77777777" w:rsidR="00C47639" w:rsidRPr="00C25499" w:rsidRDefault="00C47639" w:rsidP="00C47639">
            <w:pPr>
              <w:pStyle w:val="Standaard-Tabellen"/>
            </w:pPr>
            <w:r w:rsidRPr="00C25499">
              <w:t>OPPTS 830.6317 Storage Stability</w:t>
            </w:r>
          </w:p>
        </w:tc>
        <w:tc>
          <w:tcPr>
            <w:tcW w:w="639" w:type="pct"/>
          </w:tcPr>
          <w:p w14:paraId="1497BFF3" w14:textId="77777777" w:rsidR="00C47639" w:rsidRPr="00C25499" w:rsidRDefault="00C47639" w:rsidP="00C47639">
            <w:pPr>
              <w:pStyle w:val="Standaard-Tabellen"/>
            </w:pPr>
            <w:r>
              <w:t xml:space="preserve"> US Pump Spray Formulation</w:t>
            </w:r>
          </w:p>
        </w:tc>
        <w:tc>
          <w:tcPr>
            <w:tcW w:w="1053" w:type="pct"/>
          </w:tcPr>
          <w:p w14:paraId="1CAB82C7" w14:textId="77777777" w:rsidR="00C47639" w:rsidRPr="00C25499" w:rsidRDefault="00C47639" w:rsidP="00C47639">
            <w:pPr>
              <w:pStyle w:val="Standaard-Tabellen"/>
            </w:pPr>
            <w:r w:rsidRPr="00C25499">
              <w:t>Liquid</w:t>
            </w:r>
          </w:p>
        </w:tc>
        <w:tc>
          <w:tcPr>
            <w:tcW w:w="1044" w:type="pct"/>
          </w:tcPr>
          <w:p w14:paraId="7AC4DA4A"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26A94ABE" w14:textId="77777777" w:rsidTr="00C47639">
        <w:tc>
          <w:tcPr>
            <w:tcW w:w="1540" w:type="pct"/>
          </w:tcPr>
          <w:p w14:paraId="663CFCD8" w14:textId="77777777" w:rsidR="00C47639" w:rsidRPr="00C25499" w:rsidRDefault="00C47639" w:rsidP="00C47639">
            <w:pPr>
              <w:pStyle w:val="Standaard-Tabellen"/>
            </w:pPr>
            <w:proofErr w:type="spellStart"/>
            <w:r w:rsidRPr="00C25499">
              <w:t>Colour</w:t>
            </w:r>
            <w:proofErr w:type="spellEnd"/>
            <w:r w:rsidRPr="00C25499">
              <w:t xml:space="preserve"> at 25 °C and 101.3 </w:t>
            </w:r>
            <w:proofErr w:type="spellStart"/>
            <w:r w:rsidRPr="00C25499">
              <w:t>kPa</w:t>
            </w:r>
            <w:proofErr w:type="spellEnd"/>
          </w:p>
        </w:tc>
        <w:tc>
          <w:tcPr>
            <w:tcW w:w="724" w:type="pct"/>
          </w:tcPr>
          <w:p w14:paraId="4CBCCA4D" w14:textId="77777777" w:rsidR="00C47639" w:rsidRPr="00C25499" w:rsidRDefault="00C47639" w:rsidP="00C47639">
            <w:pPr>
              <w:pStyle w:val="Standaard-Tabellen"/>
            </w:pPr>
            <w:r w:rsidRPr="00C25499">
              <w:t>OPPTS 830.6317 Storage Stability / Organoleptic</w:t>
            </w:r>
          </w:p>
        </w:tc>
        <w:tc>
          <w:tcPr>
            <w:tcW w:w="639" w:type="pct"/>
          </w:tcPr>
          <w:p w14:paraId="01A9D207" w14:textId="77777777" w:rsidR="00C47639" w:rsidRPr="00C25499" w:rsidRDefault="00C47639" w:rsidP="00C47639">
            <w:pPr>
              <w:pStyle w:val="Standaard-Tabellen"/>
            </w:pPr>
            <w:r>
              <w:t>US Pump Spray Formulation</w:t>
            </w:r>
          </w:p>
        </w:tc>
        <w:tc>
          <w:tcPr>
            <w:tcW w:w="1053" w:type="pct"/>
          </w:tcPr>
          <w:p w14:paraId="6AEB1927" w14:textId="77777777" w:rsidR="00C47639" w:rsidRPr="00C25499" w:rsidRDefault="00C47639" w:rsidP="00C47639">
            <w:pPr>
              <w:pStyle w:val="Standaard-Tabellen"/>
            </w:pPr>
            <w:r w:rsidRPr="00C25499">
              <w:t xml:space="preserve">Slightly yellowish to </w:t>
            </w:r>
            <w:proofErr w:type="spellStart"/>
            <w:r w:rsidRPr="00C25499">
              <w:t>colourless</w:t>
            </w:r>
            <w:proofErr w:type="spellEnd"/>
          </w:p>
          <w:p w14:paraId="5830D95D" w14:textId="77777777" w:rsidR="00C47639" w:rsidRPr="00C25499" w:rsidRDefault="00C47639" w:rsidP="00C47639">
            <w:pPr>
              <w:pStyle w:val="Standaard-Tabellen"/>
            </w:pPr>
          </w:p>
        </w:tc>
        <w:tc>
          <w:tcPr>
            <w:tcW w:w="1044" w:type="pct"/>
          </w:tcPr>
          <w:p w14:paraId="650FB540"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6DEB9DFE" w14:textId="77777777" w:rsidTr="00C47639">
        <w:tc>
          <w:tcPr>
            <w:tcW w:w="1540" w:type="pct"/>
          </w:tcPr>
          <w:p w14:paraId="47A5237B" w14:textId="77777777" w:rsidR="00C47639" w:rsidRPr="00C25499" w:rsidRDefault="00C47639" w:rsidP="00C47639">
            <w:pPr>
              <w:pStyle w:val="Standaard-Tabellen"/>
            </w:pPr>
            <w:proofErr w:type="spellStart"/>
            <w:r w:rsidRPr="00C25499">
              <w:t>Odour</w:t>
            </w:r>
            <w:proofErr w:type="spellEnd"/>
            <w:r w:rsidRPr="00C25499">
              <w:t xml:space="preserve"> at 25 °C and 101.3 </w:t>
            </w:r>
            <w:proofErr w:type="spellStart"/>
            <w:r w:rsidRPr="00C25499">
              <w:t>kPa</w:t>
            </w:r>
            <w:proofErr w:type="spellEnd"/>
          </w:p>
        </w:tc>
        <w:tc>
          <w:tcPr>
            <w:tcW w:w="724" w:type="pct"/>
          </w:tcPr>
          <w:p w14:paraId="254EF1F6" w14:textId="77777777" w:rsidR="00C47639" w:rsidRPr="00C25499" w:rsidRDefault="00C47639" w:rsidP="00C47639">
            <w:pPr>
              <w:pStyle w:val="Standaard-Tabellen"/>
            </w:pPr>
            <w:r w:rsidRPr="00C25499">
              <w:t xml:space="preserve">OPPTS 830.6317 Storage Stability / Organoleptic </w:t>
            </w:r>
          </w:p>
        </w:tc>
        <w:tc>
          <w:tcPr>
            <w:tcW w:w="639" w:type="pct"/>
          </w:tcPr>
          <w:p w14:paraId="60A540C2" w14:textId="77777777" w:rsidR="00C47639" w:rsidRPr="00C25499" w:rsidRDefault="00C47639" w:rsidP="00C47639">
            <w:pPr>
              <w:pStyle w:val="Standaard-Tabellen"/>
            </w:pPr>
            <w:r>
              <w:t>US Pump Spray Formulation</w:t>
            </w:r>
          </w:p>
        </w:tc>
        <w:tc>
          <w:tcPr>
            <w:tcW w:w="1053" w:type="pct"/>
          </w:tcPr>
          <w:p w14:paraId="3EB23CE0" w14:textId="77777777" w:rsidR="00C47639" w:rsidRPr="00C25499" w:rsidRDefault="00C47639" w:rsidP="00C47639">
            <w:pPr>
              <w:pStyle w:val="Standaard-Tabellen"/>
            </w:pPr>
            <w:r w:rsidRPr="00C25499">
              <w:t>Mild, slightly alcoholic</w:t>
            </w:r>
          </w:p>
          <w:p w14:paraId="56D63484" w14:textId="77777777" w:rsidR="00C47639" w:rsidRPr="00C25499" w:rsidRDefault="00C47639" w:rsidP="00C47639">
            <w:pPr>
              <w:pStyle w:val="Standaard-Tabellen"/>
            </w:pPr>
          </w:p>
        </w:tc>
        <w:tc>
          <w:tcPr>
            <w:tcW w:w="1044" w:type="pct"/>
          </w:tcPr>
          <w:p w14:paraId="72A98F4E"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5E19D408" w14:textId="77777777" w:rsidTr="00C47639">
        <w:tc>
          <w:tcPr>
            <w:tcW w:w="1540" w:type="pct"/>
          </w:tcPr>
          <w:p w14:paraId="03190074" w14:textId="77777777" w:rsidR="00C47639" w:rsidRPr="00C25499" w:rsidRDefault="00C47639" w:rsidP="00C47639">
            <w:pPr>
              <w:pStyle w:val="Standaard-Tabellen"/>
            </w:pPr>
            <w:r w:rsidRPr="00C25499">
              <w:t>Acidity / alkalinity</w:t>
            </w:r>
          </w:p>
        </w:tc>
        <w:tc>
          <w:tcPr>
            <w:tcW w:w="724" w:type="pct"/>
          </w:tcPr>
          <w:p w14:paraId="71331A42" w14:textId="77777777" w:rsidR="00C47639" w:rsidRDefault="00C47639" w:rsidP="00C47639">
            <w:pPr>
              <w:pStyle w:val="Standaard-Tabellen"/>
            </w:pPr>
            <w:r w:rsidRPr="00C25499">
              <w:t xml:space="preserve">CIPAC MT75 </w:t>
            </w:r>
          </w:p>
          <w:p w14:paraId="5083580E" w14:textId="77777777" w:rsidR="00C47639" w:rsidRDefault="00C47639" w:rsidP="00C47639">
            <w:pPr>
              <w:pStyle w:val="Standaard-Tabellen"/>
            </w:pPr>
          </w:p>
          <w:p w14:paraId="59D5E83A" w14:textId="77777777" w:rsidR="00C47639" w:rsidRPr="00C25499" w:rsidRDefault="00C47639" w:rsidP="00C47639">
            <w:pPr>
              <w:pStyle w:val="Standaard-Tabellen"/>
            </w:pPr>
            <w:r>
              <w:t>At 20°C</w:t>
            </w:r>
          </w:p>
        </w:tc>
        <w:tc>
          <w:tcPr>
            <w:tcW w:w="639" w:type="pct"/>
          </w:tcPr>
          <w:p w14:paraId="7E3ADC6C" w14:textId="77777777" w:rsidR="00C47639" w:rsidRPr="00C25499" w:rsidRDefault="00C47639" w:rsidP="00C47639">
            <w:pPr>
              <w:pStyle w:val="Standaard-Tabellen"/>
            </w:pPr>
            <w:r>
              <w:t>US Pump Spray Formulation</w:t>
            </w:r>
          </w:p>
        </w:tc>
        <w:tc>
          <w:tcPr>
            <w:tcW w:w="1053" w:type="pct"/>
          </w:tcPr>
          <w:p w14:paraId="332715E5" w14:textId="77777777" w:rsidR="00C47639" w:rsidRPr="00C25499" w:rsidRDefault="00C47639" w:rsidP="00C47639">
            <w:pPr>
              <w:pStyle w:val="Standaard-Tabellen"/>
            </w:pPr>
            <w:r w:rsidRPr="00C25499">
              <w:t>Undiluted: between 4.4 and 5</w:t>
            </w:r>
          </w:p>
          <w:p w14:paraId="7D7FB300" w14:textId="77777777" w:rsidR="00C47639" w:rsidRPr="00C25499" w:rsidRDefault="00C47639" w:rsidP="00C47639">
            <w:pPr>
              <w:pStyle w:val="Standaard-Tabellen"/>
            </w:pPr>
          </w:p>
          <w:p w14:paraId="27030BC6" w14:textId="77777777" w:rsidR="00C47639" w:rsidRPr="00C25499" w:rsidRDefault="00C47639" w:rsidP="00C47639">
            <w:pPr>
              <w:pStyle w:val="Standaard-Tabellen"/>
            </w:pPr>
            <w:r w:rsidRPr="00C25499">
              <w:t>At 1% : between 3.8 and 4.6</w:t>
            </w:r>
          </w:p>
        </w:tc>
        <w:tc>
          <w:tcPr>
            <w:tcW w:w="1044" w:type="pct"/>
          </w:tcPr>
          <w:p w14:paraId="3AE77FAD"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203CEDDF" w14:textId="77777777" w:rsidTr="00C47639">
        <w:tc>
          <w:tcPr>
            <w:tcW w:w="1540" w:type="pct"/>
            <w:tcBorders>
              <w:top w:val="single" w:sz="4" w:space="0" w:color="auto"/>
              <w:left w:val="single" w:sz="4" w:space="0" w:color="auto"/>
              <w:bottom w:val="single" w:sz="4" w:space="0" w:color="auto"/>
              <w:right w:val="single" w:sz="4" w:space="0" w:color="auto"/>
            </w:tcBorders>
          </w:tcPr>
          <w:p w14:paraId="1FE81BFD" w14:textId="77777777" w:rsidR="00C47639" w:rsidRPr="00C25499" w:rsidRDefault="00C47639" w:rsidP="00C47639">
            <w:pPr>
              <w:pStyle w:val="Standaard-Tabellen"/>
            </w:pPr>
            <w:bookmarkStart w:id="79" w:name="_Toc244336298"/>
            <w:r w:rsidRPr="00C25499">
              <w:t>Relative density / bulk density</w:t>
            </w:r>
            <w:bookmarkEnd w:id="79"/>
          </w:p>
        </w:tc>
        <w:tc>
          <w:tcPr>
            <w:tcW w:w="724" w:type="pct"/>
            <w:tcBorders>
              <w:top w:val="single" w:sz="4" w:space="0" w:color="auto"/>
              <w:left w:val="single" w:sz="4" w:space="0" w:color="auto"/>
              <w:bottom w:val="single" w:sz="4" w:space="0" w:color="auto"/>
              <w:right w:val="single" w:sz="4" w:space="0" w:color="auto"/>
            </w:tcBorders>
          </w:tcPr>
          <w:p w14:paraId="26866DA9" w14:textId="77777777" w:rsidR="00C47639" w:rsidRPr="00C25499" w:rsidRDefault="00C47639" w:rsidP="00C47639">
            <w:pPr>
              <w:pStyle w:val="Standaard-Tabellen"/>
            </w:pPr>
            <w:r w:rsidRPr="00C25499">
              <w:t xml:space="preserve">OECD Guideline 109 </w:t>
            </w:r>
          </w:p>
        </w:tc>
        <w:tc>
          <w:tcPr>
            <w:tcW w:w="639" w:type="pct"/>
            <w:tcBorders>
              <w:top w:val="single" w:sz="4" w:space="0" w:color="auto"/>
              <w:left w:val="single" w:sz="4" w:space="0" w:color="auto"/>
              <w:bottom w:val="single" w:sz="4" w:space="0" w:color="auto"/>
              <w:right w:val="single" w:sz="4" w:space="0" w:color="auto"/>
            </w:tcBorders>
          </w:tcPr>
          <w:p w14:paraId="0E29C171" w14:textId="77777777" w:rsidR="00C47639" w:rsidRPr="00C25499" w:rsidRDefault="00C47639" w:rsidP="00C47639">
            <w:pPr>
              <w:pStyle w:val="Standaard-Tabellen"/>
            </w:pPr>
            <w:r>
              <w:t>US Pump Spray Formulation</w:t>
            </w:r>
          </w:p>
        </w:tc>
        <w:tc>
          <w:tcPr>
            <w:tcW w:w="1053" w:type="pct"/>
            <w:tcBorders>
              <w:top w:val="single" w:sz="4" w:space="0" w:color="auto"/>
              <w:left w:val="single" w:sz="4" w:space="0" w:color="auto"/>
              <w:bottom w:val="single" w:sz="4" w:space="0" w:color="auto"/>
              <w:right w:val="single" w:sz="4" w:space="0" w:color="auto"/>
            </w:tcBorders>
          </w:tcPr>
          <w:p w14:paraId="72EEC5BE" w14:textId="77777777" w:rsidR="00C47639" w:rsidRPr="00C25499" w:rsidRDefault="00C47639" w:rsidP="00C47639">
            <w:pPr>
              <w:pStyle w:val="Standaard-Tabellen"/>
            </w:pPr>
            <w:r w:rsidRPr="00C25499">
              <w:t>Relative density D420 = 0.955</w:t>
            </w:r>
          </w:p>
        </w:tc>
        <w:tc>
          <w:tcPr>
            <w:tcW w:w="1044" w:type="pct"/>
            <w:tcBorders>
              <w:top w:val="single" w:sz="4" w:space="0" w:color="auto"/>
              <w:left w:val="single" w:sz="4" w:space="0" w:color="auto"/>
              <w:bottom w:val="single" w:sz="4" w:space="0" w:color="auto"/>
              <w:right w:val="single" w:sz="4" w:space="0" w:color="auto"/>
            </w:tcBorders>
          </w:tcPr>
          <w:p w14:paraId="4D2504FB" w14:textId="77777777" w:rsidR="00C47639" w:rsidRPr="00C25499" w:rsidRDefault="00C47639" w:rsidP="00C47639">
            <w:pPr>
              <w:pStyle w:val="Standaard-Tabellen"/>
            </w:pPr>
            <w:r w:rsidRPr="00C25499">
              <w:t xml:space="preserve">Study no 213-002, </w:t>
            </w:r>
            <w:proofErr w:type="spellStart"/>
            <w:r w:rsidRPr="00C25499">
              <w:t>Fieseler</w:t>
            </w:r>
            <w:proofErr w:type="spellEnd"/>
            <w:r w:rsidRPr="00C25499">
              <w:t xml:space="preserve"> A., 2011</w:t>
            </w:r>
          </w:p>
        </w:tc>
      </w:tr>
      <w:tr w:rsidR="00C47639" w:rsidRPr="00FA4493" w14:paraId="7E094BF7" w14:textId="77777777" w:rsidTr="00C47639">
        <w:tc>
          <w:tcPr>
            <w:tcW w:w="1540" w:type="pct"/>
          </w:tcPr>
          <w:p w14:paraId="5C7E51F0" w14:textId="77777777" w:rsidR="00C47639" w:rsidRPr="00C25499" w:rsidRDefault="00C47639" w:rsidP="00C47639">
            <w:pPr>
              <w:pStyle w:val="Standaard-Tabellen"/>
            </w:pPr>
            <w:r w:rsidRPr="00C25499">
              <w:lastRenderedPageBreak/>
              <w:t>Storage stability test – accelerated storage</w:t>
            </w:r>
          </w:p>
        </w:tc>
        <w:tc>
          <w:tcPr>
            <w:tcW w:w="724" w:type="pct"/>
          </w:tcPr>
          <w:p w14:paraId="751A3A6D" w14:textId="77777777" w:rsidR="00C47639" w:rsidRPr="00C25499" w:rsidRDefault="00C47639" w:rsidP="00C47639">
            <w:pPr>
              <w:pStyle w:val="Standaard-Tabellen"/>
            </w:pPr>
            <w:r w:rsidRPr="00C25499">
              <w:t>CIPAC MT 46.3, under GLP regulation – HPLC method and Organoleptic</w:t>
            </w:r>
          </w:p>
        </w:tc>
        <w:tc>
          <w:tcPr>
            <w:tcW w:w="639" w:type="pct"/>
          </w:tcPr>
          <w:p w14:paraId="0A406A6D" w14:textId="77777777" w:rsidR="00C47639" w:rsidRDefault="00C47639" w:rsidP="00C47639">
            <w:pPr>
              <w:pStyle w:val="Standaard-Tabellen"/>
            </w:pPr>
            <w:r w:rsidRPr="00C25499">
              <w:t xml:space="preserve">READ ACROSS </w:t>
            </w:r>
          </w:p>
          <w:p w14:paraId="643F90C4" w14:textId="77777777" w:rsidR="00C47639" w:rsidRPr="00033493" w:rsidRDefault="00C47639" w:rsidP="00C47639">
            <w:pPr>
              <w:pStyle w:val="Standaard-Tabellen"/>
            </w:pPr>
            <w:r w:rsidRPr="006D3F6A">
              <w:t>Insect Repellent Pump Spray Lice IR3535</w:t>
            </w:r>
            <w:r w:rsidRPr="006D3F6A">
              <w:rPr>
                <w:vertAlign w:val="superscript"/>
              </w:rPr>
              <w:t>®</w:t>
            </w:r>
            <w:r w:rsidRPr="006D3F6A">
              <w:t xml:space="preserve"> 20% without </w:t>
            </w:r>
            <w:proofErr w:type="spellStart"/>
            <w:r w:rsidRPr="006D3F6A">
              <w:t>Bitrex</w:t>
            </w:r>
            <w:proofErr w:type="spellEnd"/>
          </w:p>
        </w:tc>
        <w:tc>
          <w:tcPr>
            <w:tcW w:w="1053" w:type="pct"/>
          </w:tcPr>
          <w:p w14:paraId="75A19FBE" w14:textId="77777777" w:rsidR="00C47639" w:rsidRPr="00C25499" w:rsidRDefault="00C47639" w:rsidP="00C47639">
            <w:pPr>
              <w:pStyle w:val="Standaard-Tabellen"/>
            </w:pPr>
            <w:r w:rsidRPr="00C25499">
              <w:t>8 weeks at 40±2°C. Humidity 30-65%.</w:t>
            </w:r>
          </w:p>
          <w:p w14:paraId="547A357B" w14:textId="77777777" w:rsidR="00C47639" w:rsidRPr="00C25499" w:rsidRDefault="00C47639" w:rsidP="00C47639">
            <w:pPr>
              <w:pStyle w:val="Standaard-Tabellen"/>
            </w:pPr>
            <w:r w:rsidRPr="00C25499">
              <w:t>Packaging: HDPE pump spray bottle – 150 mL</w:t>
            </w:r>
          </w:p>
          <w:p w14:paraId="6F629A74" w14:textId="77777777" w:rsidR="00C47639" w:rsidRPr="00C25499" w:rsidRDefault="00C47639" w:rsidP="00C47639">
            <w:pPr>
              <w:pStyle w:val="Standaard-Tabellen"/>
            </w:pPr>
          </w:p>
          <w:p w14:paraId="34CC4E20" w14:textId="77777777" w:rsidR="00C47639" w:rsidRPr="00C25499" w:rsidRDefault="00C47639" w:rsidP="00C47639">
            <w:pPr>
              <w:pStyle w:val="Standaard-Tabellen"/>
            </w:pPr>
            <w:r w:rsidRPr="00C25499">
              <w:t xml:space="preserve">- No change in </w:t>
            </w:r>
            <w:proofErr w:type="spellStart"/>
            <w:r w:rsidRPr="00C25499">
              <w:t>colour</w:t>
            </w:r>
            <w:proofErr w:type="spellEnd"/>
            <w:r w:rsidRPr="00C25499">
              <w:t xml:space="preserve">, </w:t>
            </w:r>
            <w:proofErr w:type="spellStart"/>
            <w:r w:rsidRPr="00C25499">
              <w:t>odour</w:t>
            </w:r>
            <w:proofErr w:type="spellEnd"/>
            <w:r w:rsidRPr="00C25499">
              <w:t>, or clarity.</w:t>
            </w:r>
          </w:p>
          <w:p w14:paraId="1CDDF061" w14:textId="77777777" w:rsidR="00C47639" w:rsidRPr="00C25499" w:rsidRDefault="00C47639" w:rsidP="00C47639">
            <w:pPr>
              <w:pStyle w:val="Standaard-Tabellen"/>
            </w:pPr>
          </w:p>
          <w:p w14:paraId="095B690C" w14:textId="77777777" w:rsidR="00C47639" w:rsidRPr="00C25499" w:rsidRDefault="00C47639" w:rsidP="00C47639">
            <w:pPr>
              <w:pStyle w:val="Standaard-Tabellen"/>
            </w:pPr>
            <w:r w:rsidRPr="00C25499">
              <w:t>- No change in packaging appearance.</w:t>
            </w:r>
          </w:p>
          <w:p w14:paraId="12D9A07E" w14:textId="77777777" w:rsidR="00C47639" w:rsidRPr="00C25499" w:rsidRDefault="00C47639" w:rsidP="00C47639">
            <w:pPr>
              <w:pStyle w:val="Standaard-Tabellen"/>
            </w:pPr>
          </w:p>
          <w:p w14:paraId="41EEBEEA" w14:textId="77777777" w:rsidR="00C47639" w:rsidRPr="00C25499" w:rsidRDefault="00C47639" w:rsidP="00C47639">
            <w:pPr>
              <w:pStyle w:val="Standaard-Tabellen"/>
            </w:pPr>
            <w:r w:rsidRPr="00C25499">
              <w:t xml:space="preserve">-19.3% to 18.8%: this corresponds to a variation of 2.59% of active substance content </w:t>
            </w:r>
          </w:p>
          <w:p w14:paraId="7F1EF93C" w14:textId="77777777" w:rsidR="00C47639" w:rsidRPr="00C25499" w:rsidRDefault="00C47639" w:rsidP="00C47639">
            <w:pPr>
              <w:pStyle w:val="Standaard-Tabellen"/>
            </w:pPr>
          </w:p>
          <w:p w14:paraId="624C7805" w14:textId="77777777" w:rsidR="00C47639" w:rsidRPr="00C25499" w:rsidRDefault="00C47639" w:rsidP="00C47639">
            <w:pPr>
              <w:pStyle w:val="Standaard-Tabellen"/>
            </w:pPr>
            <w:r w:rsidRPr="00C25499">
              <w:t>- Free acid content: &lt;0.5 % w/w before and after storage</w:t>
            </w:r>
          </w:p>
          <w:p w14:paraId="2AA53029" w14:textId="77777777" w:rsidR="00C47639" w:rsidRPr="00C25499" w:rsidRDefault="00C47639" w:rsidP="00C47639">
            <w:pPr>
              <w:pStyle w:val="Standaard-Tabellen"/>
            </w:pPr>
          </w:p>
        </w:tc>
        <w:tc>
          <w:tcPr>
            <w:tcW w:w="1044" w:type="pct"/>
          </w:tcPr>
          <w:p w14:paraId="1E354E4B" w14:textId="77777777" w:rsidR="00C47639" w:rsidRPr="00E05AF4" w:rsidRDefault="00C47639" w:rsidP="00C47639">
            <w:pPr>
              <w:pStyle w:val="Standaard-Tabellen"/>
              <w:rPr>
                <w:lang w:val="de-DE"/>
              </w:rPr>
            </w:pPr>
            <w:r w:rsidRPr="00E05AF4">
              <w:rPr>
                <w:lang w:val="de-DE"/>
              </w:rPr>
              <w:t xml:space="preserve">31232204, </w:t>
            </w:r>
            <w:proofErr w:type="spellStart"/>
            <w:r w:rsidRPr="00E05AF4">
              <w:rPr>
                <w:lang w:val="de-DE"/>
              </w:rPr>
              <w:t>Meinerling</w:t>
            </w:r>
            <w:proofErr w:type="spellEnd"/>
            <w:r w:rsidRPr="00E05AF4">
              <w:rPr>
                <w:lang w:val="de-DE"/>
              </w:rPr>
              <w:t>, M., 2009. Institut für Biologische Analytik und Consulting IBACON GmbH</w:t>
            </w:r>
          </w:p>
        </w:tc>
      </w:tr>
      <w:tr w:rsidR="00C47639" w:rsidRPr="00C25499" w14:paraId="080A261F" w14:textId="77777777" w:rsidTr="00C47639">
        <w:tc>
          <w:tcPr>
            <w:tcW w:w="1540" w:type="pct"/>
          </w:tcPr>
          <w:p w14:paraId="45B42FD3" w14:textId="77777777" w:rsidR="00C47639" w:rsidRPr="00C25499" w:rsidRDefault="00C47639" w:rsidP="00C47639">
            <w:pPr>
              <w:pStyle w:val="Standaard-Tabellen"/>
            </w:pPr>
            <w:r w:rsidRPr="00C25499">
              <w:t>Storage stability test – long term storage at ambient temperature</w:t>
            </w:r>
          </w:p>
        </w:tc>
        <w:tc>
          <w:tcPr>
            <w:tcW w:w="724" w:type="pct"/>
          </w:tcPr>
          <w:p w14:paraId="2C9B9D7A" w14:textId="77777777" w:rsidR="00C47639" w:rsidRPr="00C25499" w:rsidRDefault="00C47639" w:rsidP="00C47639">
            <w:pPr>
              <w:pStyle w:val="Standaard-Tabellen"/>
            </w:pPr>
            <w:r w:rsidRPr="00C25499">
              <w:t>OPPTS 830.6317 Storage Stability</w:t>
            </w:r>
          </w:p>
        </w:tc>
        <w:tc>
          <w:tcPr>
            <w:tcW w:w="639" w:type="pct"/>
          </w:tcPr>
          <w:p w14:paraId="68F51368" w14:textId="77777777" w:rsidR="00C47639" w:rsidRPr="00C25499" w:rsidRDefault="00C47639" w:rsidP="00C47639">
            <w:pPr>
              <w:pStyle w:val="Standaard-Tabellen"/>
            </w:pPr>
            <w:r>
              <w:t>US Pump Spray Formulation</w:t>
            </w:r>
          </w:p>
        </w:tc>
        <w:tc>
          <w:tcPr>
            <w:tcW w:w="1053" w:type="pct"/>
          </w:tcPr>
          <w:p w14:paraId="1CF65E91" w14:textId="77777777" w:rsidR="00C47639" w:rsidRPr="00C25499" w:rsidRDefault="00C47639" w:rsidP="00C47639">
            <w:pPr>
              <w:pStyle w:val="Standaard-Tabellen"/>
            </w:pPr>
            <w:r w:rsidRPr="00C25499">
              <w:t xml:space="preserve">Packaging: </w:t>
            </w:r>
            <w:r>
              <w:t xml:space="preserve">commercial packaging: white </w:t>
            </w:r>
            <w:r w:rsidRPr="00C25499">
              <w:t xml:space="preserve">HDPE </w:t>
            </w:r>
            <w:r>
              <w:t xml:space="preserve">flask with white </w:t>
            </w:r>
            <w:r w:rsidRPr="00C25499">
              <w:t xml:space="preserve">pump </w:t>
            </w:r>
            <w:r>
              <w:t>stopper and clear cap</w:t>
            </w:r>
          </w:p>
          <w:p w14:paraId="329695BA" w14:textId="77777777" w:rsidR="00C47639" w:rsidRDefault="00C47639" w:rsidP="00C47639">
            <w:pPr>
              <w:pStyle w:val="Standaard-Tabellen"/>
            </w:pPr>
          </w:p>
          <w:p w14:paraId="55FACB1F" w14:textId="77777777" w:rsidR="00C47639" w:rsidRPr="00C25499" w:rsidRDefault="00C47639" w:rsidP="00C47639">
            <w:pPr>
              <w:pStyle w:val="Standaard-Tabellen"/>
            </w:pPr>
            <w:r w:rsidRPr="00C25499">
              <w:t xml:space="preserve">- No change in </w:t>
            </w:r>
            <w:proofErr w:type="spellStart"/>
            <w:r w:rsidRPr="00C25499">
              <w:t>colour</w:t>
            </w:r>
            <w:proofErr w:type="spellEnd"/>
            <w:r w:rsidRPr="00C25499">
              <w:t xml:space="preserve"> or clarity</w:t>
            </w:r>
            <w:r>
              <w:t xml:space="preserve"> of the tested item</w:t>
            </w:r>
            <w:r w:rsidRPr="00C25499">
              <w:t>.</w:t>
            </w:r>
          </w:p>
          <w:p w14:paraId="114F5A34" w14:textId="77777777" w:rsidR="00C47639" w:rsidRPr="00C25499" w:rsidRDefault="00C47639" w:rsidP="00C47639">
            <w:pPr>
              <w:pStyle w:val="Standaard-Tabellen"/>
            </w:pPr>
          </w:p>
          <w:p w14:paraId="2C442C9F" w14:textId="77777777" w:rsidR="00C47639" w:rsidRDefault="00C47639" w:rsidP="00C47639">
            <w:pPr>
              <w:pStyle w:val="Standaard-Tabellen"/>
            </w:pPr>
            <w:r w:rsidRPr="00C25499">
              <w:t>- No</w:t>
            </w:r>
            <w:r>
              <w:t xml:space="preserve"> change in packaging appearance: no indication of corrosion or decomposition, no alteration of label</w:t>
            </w:r>
          </w:p>
          <w:p w14:paraId="4E709E49" w14:textId="77777777" w:rsidR="00C47639" w:rsidRDefault="00C47639" w:rsidP="00C47639">
            <w:pPr>
              <w:pStyle w:val="Standaard-Tabellen"/>
            </w:pPr>
          </w:p>
          <w:p w14:paraId="51753E25" w14:textId="77777777" w:rsidR="00C47639" w:rsidRDefault="00C47639" w:rsidP="00C47639">
            <w:pPr>
              <w:pStyle w:val="Standaard-Tabellen"/>
            </w:pPr>
            <w:r>
              <w:t xml:space="preserve">-pH values (20°C): </w:t>
            </w:r>
          </w:p>
          <w:p w14:paraId="19DDF34D" w14:textId="77777777" w:rsidR="00C47639" w:rsidRDefault="00C47639" w:rsidP="00C47639">
            <w:pPr>
              <w:pStyle w:val="Standaard-Tabellen"/>
            </w:pPr>
            <w:r>
              <w:t>Undiluted formulation: 5.0 at the beginning of the test; 4.4 at the end of the test</w:t>
            </w:r>
          </w:p>
          <w:p w14:paraId="72CB8CFD" w14:textId="77777777" w:rsidR="00C47639" w:rsidRPr="00C25499" w:rsidRDefault="00C47639" w:rsidP="00C47639">
            <w:pPr>
              <w:pStyle w:val="Standaard-Tabellen"/>
            </w:pPr>
            <w:r>
              <w:lastRenderedPageBreak/>
              <w:t>1% dilution; 4.6 at the beginning of the test; 3.8 at the end of the test</w:t>
            </w:r>
          </w:p>
          <w:p w14:paraId="05ECB2B6" w14:textId="77777777" w:rsidR="00C47639" w:rsidRDefault="00C47639" w:rsidP="00C47639">
            <w:pPr>
              <w:pStyle w:val="Standaard-Tabellen"/>
            </w:pPr>
          </w:p>
          <w:p w14:paraId="649099B3" w14:textId="77777777" w:rsidR="00C47639" w:rsidRDefault="00C47639" w:rsidP="00C47639">
            <w:pPr>
              <w:pStyle w:val="Standaard-Tabellen"/>
            </w:pPr>
            <w:r>
              <w:t>-Active substance content:</w:t>
            </w:r>
          </w:p>
          <w:p w14:paraId="1A6560F7" w14:textId="77777777" w:rsidR="00C47639" w:rsidRDefault="00C47639" w:rsidP="00C47639">
            <w:pPr>
              <w:pStyle w:val="Standaard-Tabellen"/>
            </w:pPr>
          </w:p>
          <w:p w14:paraId="3E459DA7" w14:textId="77777777" w:rsidR="00C47639" w:rsidRDefault="00C47639" w:rsidP="00C47639">
            <w:pPr>
              <w:pStyle w:val="Standaard-Tabellen"/>
            </w:pPr>
          </w:p>
          <w:p w14:paraId="0FBDD2CF" w14:textId="77777777" w:rsidR="00C47639" w:rsidRPr="00C25499" w:rsidRDefault="00C47639" w:rsidP="00C47639">
            <w:pPr>
              <w:pStyle w:val="Standaard-Tabellen"/>
            </w:pPr>
            <w:r w:rsidRPr="00C25499">
              <w:t xml:space="preserve">24 months at 25° : </w:t>
            </w:r>
          </w:p>
          <w:p w14:paraId="004CF917" w14:textId="77777777" w:rsidR="00C47639" w:rsidRPr="00C25499" w:rsidRDefault="00C47639" w:rsidP="00C47639">
            <w:pPr>
              <w:pStyle w:val="Standaard-Tabellen"/>
            </w:pPr>
            <w:r w:rsidRPr="00C25499">
              <w:t>20.1% to 17.9%: this corresponds to a variation of 10.9% of active substance content</w:t>
            </w:r>
          </w:p>
          <w:p w14:paraId="23FC8913" w14:textId="77777777" w:rsidR="00C47639" w:rsidRPr="00C25499" w:rsidRDefault="00C47639" w:rsidP="00C47639">
            <w:pPr>
              <w:pStyle w:val="Standaard-Tabellen"/>
            </w:pPr>
          </w:p>
          <w:p w14:paraId="2A236DB4" w14:textId="77777777" w:rsidR="00C47639" w:rsidRPr="00C25499" w:rsidRDefault="00C47639" w:rsidP="00C47639">
            <w:pPr>
              <w:pStyle w:val="Standaard-Tabellen"/>
            </w:pPr>
            <w:r w:rsidRPr="00C25499">
              <w:t xml:space="preserve">At 18 month : 20.1% to 19.1%: this corresponds to a variation of 5% of active substance content </w:t>
            </w:r>
          </w:p>
          <w:p w14:paraId="2C34656A" w14:textId="77777777" w:rsidR="00C47639" w:rsidRPr="00C25499" w:rsidRDefault="00C47639" w:rsidP="00C47639">
            <w:pPr>
              <w:pStyle w:val="Standaard-Tabellen"/>
            </w:pPr>
          </w:p>
          <w:p w14:paraId="712350DF" w14:textId="77777777" w:rsidR="00C47639" w:rsidRDefault="00C47639" w:rsidP="00C47639">
            <w:pPr>
              <w:pStyle w:val="Standaard-Tabellen"/>
            </w:pPr>
            <w:r w:rsidRPr="00C25499">
              <w:sym w:font="Wingdings" w:char="F0E0"/>
            </w:r>
            <w:r w:rsidRPr="00C25499">
              <w:t xml:space="preserve"> </w:t>
            </w:r>
            <w:proofErr w:type="gramStart"/>
            <w:r w:rsidRPr="00C25499">
              <w:t>results</w:t>
            </w:r>
            <w:proofErr w:type="gramEnd"/>
            <w:r w:rsidRPr="00C25499">
              <w:t xml:space="preserve"> not acceptable for storage of 2 years but acceptable for </w:t>
            </w:r>
            <w:r>
              <w:t xml:space="preserve">18 </w:t>
            </w:r>
            <w:r w:rsidRPr="00C25499">
              <w:t>months.</w:t>
            </w:r>
          </w:p>
          <w:p w14:paraId="72E27225" w14:textId="77777777" w:rsidR="00C47639" w:rsidRDefault="00C47639" w:rsidP="00C47639">
            <w:pPr>
              <w:pStyle w:val="Standaard-Tabellen"/>
            </w:pPr>
          </w:p>
          <w:p w14:paraId="7441EE73" w14:textId="77777777" w:rsidR="00C47639" w:rsidRDefault="00C47639" w:rsidP="00C47639">
            <w:pPr>
              <w:pStyle w:val="Standaard-Tabellen"/>
            </w:pPr>
            <w:r>
              <w:t>-Free acid content: At the beginning 0.1 % w/w; after 18 months of storage: 1.3% w/w; after 24 months of storage: 2.1%w/w</w:t>
            </w:r>
          </w:p>
          <w:p w14:paraId="2065991B" w14:textId="77777777" w:rsidR="00C47639" w:rsidRPr="00C25499" w:rsidRDefault="00C47639" w:rsidP="00C47639">
            <w:pPr>
              <w:pStyle w:val="Standaard-Tabellen"/>
            </w:pPr>
          </w:p>
        </w:tc>
        <w:tc>
          <w:tcPr>
            <w:tcW w:w="1044" w:type="pct"/>
          </w:tcPr>
          <w:p w14:paraId="74AF66DD" w14:textId="77777777" w:rsidR="00C47639" w:rsidRPr="00C25499" w:rsidRDefault="00C47639" w:rsidP="00C47639">
            <w:pPr>
              <w:pStyle w:val="Standaard-Tabellen"/>
            </w:pPr>
            <w:r w:rsidRPr="00C25499">
              <w:lastRenderedPageBreak/>
              <w:t xml:space="preserve">Study no 245-003, </w:t>
            </w:r>
            <w:proofErr w:type="spellStart"/>
            <w:r w:rsidRPr="00C25499">
              <w:t>Meinerling</w:t>
            </w:r>
            <w:proofErr w:type="spellEnd"/>
            <w:r w:rsidRPr="00C25499">
              <w:t xml:space="preserve"> M., 2009</w:t>
            </w:r>
          </w:p>
        </w:tc>
      </w:tr>
      <w:tr w:rsidR="00C47639" w:rsidRPr="00C25499" w14:paraId="24D0A923" w14:textId="77777777" w:rsidTr="00C47639">
        <w:tc>
          <w:tcPr>
            <w:tcW w:w="1540" w:type="pct"/>
          </w:tcPr>
          <w:p w14:paraId="0865343A" w14:textId="77777777" w:rsidR="00C47639" w:rsidRPr="00C25499" w:rsidRDefault="00C47639" w:rsidP="00C47639">
            <w:pPr>
              <w:pStyle w:val="Standaard-Tabellen"/>
            </w:pPr>
            <w:r w:rsidRPr="00C25499">
              <w:t>Storage stability test – low temperature stability test for liquids</w:t>
            </w:r>
          </w:p>
        </w:tc>
        <w:tc>
          <w:tcPr>
            <w:tcW w:w="724" w:type="pct"/>
          </w:tcPr>
          <w:p w14:paraId="2D915B0E" w14:textId="77777777" w:rsidR="00C47639" w:rsidRPr="00C25499" w:rsidRDefault="00C47639" w:rsidP="00C47639">
            <w:pPr>
              <w:pStyle w:val="Standaard-Tabellen"/>
            </w:pPr>
            <w:r w:rsidRPr="00C25499">
              <w:t>CIPAC MT 39.3</w:t>
            </w:r>
          </w:p>
        </w:tc>
        <w:tc>
          <w:tcPr>
            <w:tcW w:w="639" w:type="pct"/>
          </w:tcPr>
          <w:p w14:paraId="3C5EF497" w14:textId="77777777" w:rsidR="00C47639" w:rsidRPr="00C25499" w:rsidRDefault="00C47639" w:rsidP="00C47639">
            <w:pPr>
              <w:pStyle w:val="Standaard-Tabellen"/>
            </w:pPr>
            <w:r>
              <w:t>Insect Repellent Pump Spray IR3535</w:t>
            </w:r>
            <w:r w:rsidRPr="00033493">
              <w:rPr>
                <w:vertAlign w:val="superscript"/>
              </w:rPr>
              <w:t>®</w:t>
            </w:r>
            <w:r>
              <w:t xml:space="preserve"> 20% without </w:t>
            </w:r>
            <w:proofErr w:type="spellStart"/>
            <w:r>
              <w:t>Bitrex</w:t>
            </w:r>
            <w:proofErr w:type="spellEnd"/>
          </w:p>
        </w:tc>
        <w:tc>
          <w:tcPr>
            <w:tcW w:w="1053" w:type="pct"/>
          </w:tcPr>
          <w:p w14:paraId="21DA09CB" w14:textId="77777777" w:rsidR="00C47639" w:rsidRPr="00C25499" w:rsidRDefault="00C47639" w:rsidP="00C47639">
            <w:pPr>
              <w:pStyle w:val="Standaard-Tabellen"/>
            </w:pPr>
            <w:r w:rsidRPr="00C25499">
              <w:t xml:space="preserve">0°C during 1 week: </w:t>
            </w:r>
            <w:proofErr w:type="spellStart"/>
            <w:r w:rsidRPr="00C25499">
              <w:t>colourless</w:t>
            </w:r>
            <w:proofErr w:type="spellEnd"/>
            <w:r w:rsidRPr="00C25499">
              <w:t xml:space="preserve"> clear homogenous liquid with a slight alcoholic </w:t>
            </w:r>
            <w:proofErr w:type="spellStart"/>
            <w:r w:rsidRPr="00C25499">
              <w:t>odour</w:t>
            </w:r>
            <w:proofErr w:type="spellEnd"/>
            <w:r w:rsidRPr="00C25499">
              <w:t xml:space="preserve"> before and after.</w:t>
            </w:r>
          </w:p>
        </w:tc>
        <w:tc>
          <w:tcPr>
            <w:tcW w:w="1044" w:type="pct"/>
          </w:tcPr>
          <w:p w14:paraId="44B6686B" w14:textId="77777777" w:rsidR="00C47639" w:rsidRPr="00C25499" w:rsidRDefault="00C47639" w:rsidP="00C47639">
            <w:pPr>
              <w:pStyle w:val="Standaard-Tabellen"/>
            </w:pPr>
            <w:r w:rsidRPr="00C25499">
              <w:t xml:space="preserve">Study no 245-010, </w:t>
            </w:r>
            <w:proofErr w:type="spellStart"/>
            <w:r w:rsidRPr="00C25499">
              <w:t>Meinerling</w:t>
            </w:r>
            <w:proofErr w:type="spellEnd"/>
            <w:r w:rsidRPr="00C25499">
              <w:t xml:space="preserve"> M., 2011</w:t>
            </w:r>
          </w:p>
        </w:tc>
      </w:tr>
      <w:tr w:rsidR="00C47639" w:rsidRPr="00C25499" w14:paraId="6EC1D0C6" w14:textId="77777777" w:rsidTr="00C47639">
        <w:tc>
          <w:tcPr>
            <w:tcW w:w="1540" w:type="pct"/>
          </w:tcPr>
          <w:p w14:paraId="73F57C81" w14:textId="77777777" w:rsidR="00C47639" w:rsidRPr="00C25499" w:rsidRDefault="00C47639" w:rsidP="00C47639">
            <w:pPr>
              <w:pStyle w:val="Standaard-Tabellen"/>
            </w:pPr>
            <w:r w:rsidRPr="00C25499">
              <w:t>Effects on content of the active substance and technical characteristics of the biocidal product - light</w:t>
            </w:r>
          </w:p>
        </w:tc>
        <w:tc>
          <w:tcPr>
            <w:tcW w:w="724" w:type="pct"/>
          </w:tcPr>
          <w:p w14:paraId="2BB64412" w14:textId="77777777" w:rsidR="00C47639" w:rsidRPr="00C25499" w:rsidRDefault="00C47639" w:rsidP="00C47639">
            <w:pPr>
              <w:pStyle w:val="Standaard-Tabellen"/>
            </w:pPr>
            <w:r w:rsidRPr="00C25499">
              <w:t>-</w:t>
            </w:r>
          </w:p>
        </w:tc>
        <w:tc>
          <w:tcPr>
            <w:tcW w:w="639" w:type="pct"/>
          </w:tcPr>
          <w:p w14:paraId="0A5E2CE6" w14:textId="77777777" w:rsidR="00C47639" w:rsidRPr="00C25499" w:rsidRDefault="00C47639" w:rsidP="00C47639">
            <w:pPr>
              <w:pStyle w:val="Standaard-Tabellen"/>
            </w:pPr>
            <w:r>
              <w:t>US Pump Spray Formulation</w:t>
            </w:r>
          </w:p>
        </w:tc>
        <w:tc>
          <w:tcPr>
            <w:tcW w:w="1053" w:type="pct"/>
          </w:tcPr>
          <w:p w14:paraId="59ED3C89" w14:textId="77777777" w:rsidR="00C47639" w:rsidRPr="00C25499" w:rsidRDefault="00C47639" w:rsidP="00C47639">
            <w:pPr>
              <w:pStyle w:val="Standaard-Tabellen"/>
            </w:pPr>
            <w:r w:rsidRPr="00C25499">
              <w:t xml:space="preserve">The product is stored in lightproof plastic flasks  </w:t>
            </w:r>
            <w:r w:rsidRPr="00C25499">
              <w:sym w:font="Wingdings" w:char="F0E0"/>
            </w:r>
            <w:r w:rsidRPr="00C25499">
              <w:t xml:space="preserve"> wa</w:t>
            </w:r>
            <w:r>
              <w:t>i</w:t>
            </w:r>
            <w:r w:rsidRPr="00C25499">
              <w:t>ved</w:t>
            </w:r>
          </w:p>
        </w:tc>
        <w:tc>
          <w:tcPr>
            <w:tcW w:w="1044" w:type="pct"/>
          </w:tcPr>
          <w:p w14:paraId="7D382A75"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1EF76F26" w14:textId="77777777" w:rsidTr="00C47639">
        <w:tc>
          <w:tcPr>
            <w:tcW w:w="1540" w:type="pct"/>
          </w:tcPr>
          <w:p w14:paraId="1C7328F4" w14:textId="77777777" w:rsidR="00C47639" w:rsidRPr="00C25499" w:rsidRDefault="00C47639" w:rsidP="00C47639">
            <w:pPr>
              <w:pStyle w:val="Standaard-Tabellen"/>
            </w:pPr>
            <w:r w:rsidRPr="00C25499">
              <w:t>Effects on content of the active substance and technical characteristics of the biocidal product – temperature and humidity</w:t>
            </w:r>
          </w:p>
        </w:tc>
        <w:tc>
          <w:tcPr>
            <w:tcW w:w="724" w:type="pct"/>
          </w:tcPr>
          <w:p w14:paraId="08F6D736" w14:textId="77777777" w:rsidR="00C47639" w:rsidRPr="00C25499" w:rsidRDefault="00C47639" w:rsidP="00C47639">
            <w:pPr>
              <w:pStyle w:val="Standaard-Tabellen"/>
            </w:pPr>
            <w:r w:rsidRPr="00C25499">
              <w:t>organoleptic</w:t>
            </w:r>
          </w:p>
        </w:tc>
        <w:tc>
          <w:tcPr>
            <w:tcW w:w="639" w:type="pct"/>
          </w:tcPr>
          <w:p w14:paraId="00AAD96F" w14:textId="77777777" w:rsidR="00C47639" w:rsidRPr="00C25499" w:rsidRDefault="00C47639" w:rsidP="00C47639">
            <w:pPr>
              <w:pStyle w:val="Standaard-Tabellen"/>
            </w:pPr>
            <w:r>
              <w:t>US Pump Spray Formulation</w:t>
            </w:r>
          </w:p>
        </w:tc>
        <w:tc>
          <w:tcPr>
            <w:tcW w:w="1053" w:type="pct"/>
          </w:tcPr>
          <w:p w14:paraId="35642E3F" w14:textId="77777777" w:rsidR="00C47639" w:rsidRPr="00C25499" w:rsidRDefault="00C47639" w:rsidP="00C47639">
            <w:pPr>
              <w:pStyle w:val="Standaard-Tabellen"/>
            </w:pPr>
            <w:r w:rsidRPr="00C25499">
              <w:t>Since the product is tightly closed there are no effects due to humidity.</w:t>
            </w:r>
          </w:p>
          <w:p w14:paraId="5F4F0632" w14:textId="77777777" w:rsidR="00C47639" w:rsidRPr="00C25499" w:rsidRDefault="00C47639" w:rsidP="00C47639">
            <w:pPr>
              <w:pStyle w:val="Standaard-Tabellen"/>
            </w:pPr>
            <w:r w:rsidRPr="00C25499">
              <w:lastRenderedPageBreak/>
              <w:t xml:space="preserve">Effects of temperature have been studied (see above). The product should not be stored for prolonged times </w:t>
            </w:r>
            <w:r>
              <w:t xml:space="preserve">(more than 8 weeks) </w:t>
            </w:r>
            <w:r w:rsidRPr="00C25499">
              <w:t>at temperatures &gt;40°C.</w:t>
            </w:r>
          </w:p>
        </w:tc>
        <w:tc>
          <w:tcPr>
            <w:tcW w:w="1044" w:type="pct"/>
          </w:tcPr>
          <w:p w14:paraId="75AD9343" w14:textId="77777777" w:rsidR="00C47639" w:rsidRPr="00C25499" w:rsidRDefault="00C47639" w:rsidP="00C47639">
            <w:pPr>
              <w:pStyle w:val="Standaard-Tabellen"/>
            </w:pPr>
            <w:r w:rsidRPr="00C25499">
              <w:lastRenderedPageBreak/>
              <w:t xml:space="preserve">Study no 245-003, </w:t>
            </w:r>
            <w:proofErr w:type="spellStart"/>
            <w:r w:rsidRPr="00C25499">
              <w:t>Meinerling</w:t>
            </w:r>
            <w:proofErr w:type="spellEnd"/>
            <w:r w:rsidRPr="00C25499">
              <w:t xml:space="preserve"> M., 2009</w:t>
            </w:r>
          </w:p>
        </w:tc>
      </w:tr>
      <w:tr w:rsidR="00C47639" w:rsidRPr="00C25499" w14:paraId="5389B6AC" w14:textId="77777777" w:rsidTr="00C47639">
        <w:tc>
          <w:tcPr>
            <w:tcW w:w="1540" w:type="pct"/>
          </w:tcPr>
          <w:p w14:paraId="156FB762" w14:textId="77777777" w:rsidR="00C47639" w:rsidRPr="00C25499" w:rsidRDefault="00C47639" w:rsidP="00C47639">
            <w:pPr>
              <w:pStyle w:val="Standaard-Tabellen"/>
            </w:pPr>
            <w:r w:rsidRPr="00C25499">
              <w:t>Effects on content of the active substance and technical characteristics of the biocidal product - reactivity towards container material</w:t>
            </w:r>
          </w:p>
        </w:tc>
        <w:tc>
          <w:tcPr>
            <w:tcW w:w="724" w:type="pct"/>
          </w:tcPr>
          <w:p w14:paraId="79DAF560" w14:textId="77777777" w:rsidR="00C47639" w:rsidRPr="00C25499" w:rsidRDefault="00C47639" w:rsidP="00C47639">
            <w:pPr>
              <w:pStyle w:val="Standaard-Tabellen"/>
            </w:pPr>
            <w:r w:rsidRPr="00C25499">
              <w:t>organoleptic</w:t>
            </w:r>
          </w:p>
        </w:tc>
        <w:tc>
          <w:tcPr>
            <w:tcW w:w="639" w:type="pct"/>
          </w:tcPr>
          <w:p w14:paraId="60046EB7" w14:textId="77777777" w:rsidR="00C47639" w:rsidRPr="00C25499" w:rsidRDefault="00C47639" w:rsidP="00C47639">
            <w:pPr>
              <w:pStyle w:val="Standaard-Tabellen"/>
            </w:pPr>
            <w:r>
              <w:t>US Pump Spray Formulation</w:t>
            </w:r>
          </w:p>
        </w:tc>
        <w:tc>
          <w:tcPr>
            <w:tcW w:w="1053" w:type="pct"/>
          </w:tcPr>
          <w:p w14:paraId="251852A6" w14:textId="77777777" w:rsidR="00C47639" w:rsidRPr="00C25499" w:rsidRDefault="00C47639" w:rsidP="00C47639">
            <w:pPr>
              <w:pStyle w:val="Standaard-Tabellen"/>
            </w:pPr>
            <w:r w:rsidRPr="00C25499">
              <w:t>No indication of corrosion or decomposition was observed.</w:t>
            </w:r>
          </w:p>
        </w:tc>
        <w:tc>
          <w:tcPr>
            <w:tcW w:w="1044" w:type="pct"/>
          </w:tcPr>
          <w:p w14:paraId="312780EC" w14:textId="77777777" w:rsidR="00C47639" w:rsidRPr="00C25499" w:rsidRDefault="00C47639" w:rsidP="00C47639">
            <w:pPr>
              <w:pStyle w:val="Standaard-Tabellen"/>
            </w:pPr>
            <w:r w:rsidRPr="00C25499">
              <w:t xml:space="preserve">Study no 245-003, </w:t>
            </w:r>
            <w:proofErr w:type="spellStart"/>
            <w:r w:rsidRPr="00C25499">
              <w:t>Meinerling</w:t>
            </w:r>
            <w:proofErr w:type="spellEnd"/>
            <w:r w:rsidRPr="00C25499">
              <w:t xml:space="preserve"> M., 2009</w:t>
            </w:r>
          </w:p>
        </w:tc>
      </w:tr>
      <w:tr w:rsidR="00C47639" w:rsidRPr="00C25499" w14:paraId="77D363E5" w14:textId="77777777" w:rsidTr="00C47639">
        <w:tc>
          <w:tcPr>
            <w:tcW w:w="1540" w:type="pct"/>
          </w:tcPr>
          <w:p w14:paraId="6531D5A0" w14:textId="77777777" w:rsidR="00C47639" w:rsidRPr="00C25499" w:rsidRDefault="00C47639" w:rsidP="00C47639">
            <w:pPr>
              <w:pStyle w:val="Standaard-Tabellen"/>
            </w:pPr>
            <w:r w:rsidRPr="00C25499">
              <w:t>Wettability</w:t>
            </w:r>
          </w:p>
        </w:tc>
        <w:tc>
          <w:tcPr>
            <w:tcW w:w="724" w:type="pct"/>
          </w:tcPr>
          <w:p w14:paraId="43DD3F9B" w14:textId="77777777" w:rsidR="00C47639" w:rsidRPr="00C25499" w:rsidRDefault="00C47639" w:rsidP="00C47639">
            <w:pPr>
              <w:pStyle w:val="Standaard-Tabellen"/>
            </w:pPr>
            <w:r w:rsidRPr="00C25499">
              <w:t>Waived</w:t>
            </w:r>
          </w:p>
        </w:tc>
        <w:tc>
          <w:tcPr>
            <w:tcW w:w="639" w:type="pct"/>
          </w:tcPr>
          <w:p w14:paraId="19DDE70A" w14:textId="77777777" w:rsidR="00C47639" w:rsidRPr="00C25499" w:rsidRDefault="00C47639" w:rsidP="00C47639">
            <w:pPr>
              <w:pStyle w:val="Standaard-Tabellen"/>
            </w:pPr>
            <w:r w:rsidRPr="00C25499">
              <w:t>-</w:t>
            </w:r>
          </w:p>
        </w:tc>
        <w:tc>
          <w:tcPr>
            <w:tcW w:w="1053" w:type="pct"/>
          </w:tcPr>
          <w:p w14:paraId="70F53A47" w14:textId="77777777" w:rsidR="00C47639" w:rsidRPr="00C25499" w:rsidRDefault="00C47639" w:rsidP="00C47639">
            <w:pPr>
              <w:pStyle w:val="Standaard-Tabellen"/>
            </w:pPr>
            <w:r w:rsidRPr="00C25499">
              <w:t>the product is liquid</w:t>
            </w:r>
          </w:p>
        </w:tc>
        <w:tc>
          <w:tcPr>
            <w:tcW w:w="1044" w:type="pct"/>
          </w:tcPr>
          <w:p w14:paraId="0AC9B939" w14:textId="77777777" w:rsidR="00C47639" w:rsidRPr="00C25499" w:rsidRDefault="00C47639" w:rsidP="00C47639">
            <w:pPr>
              <w:pStyle w:val="Standaard-Tabellen"/>
            </w:pPr>
            <w:r w:rsidRPr="00C25499">
              <w:t>-</w:t>
            </w:r>
          </w:p>
        </w:tc>
      </w:tr>
      <w:tr w:rsidR="00C47639" w:rsidRPr="00C25499" w14:paraId="74A57F5C" w14:textId="77777777" w:rsidTr="00C47639">
        <w:tc>
          <w:tcPr>
            <w:tcW w:w="1540" w:type="pct"/>
          </w:tcPr>
          <w:p w14:paraId="03AC3E22" w14:textId="77777777" w:rsidR="00C47639" w:rsidRPr="00C25499" w:rsidRDefault="00C47639" w:rsidP="00C47639">
            <w:pPr>
              <w:pStyle w:val="Standaard-Tabellen"/>
            </w:pPr>
            <w:proofErr w:type="spellStart"/>
            <w:r w:rsidRPr="00C25499">
              <w:t>Suspensibility</w:t>
            </w:r>
            <w:proofErr w:type="spellEnd"/>
            <w:r w:rsidRPr="00C25499">
              <w:t>, spontaneity and dispersion stability</w:t>
            </w:r>
          </w:p>
        </w:tc>
        <w:tc>
          <w:tcPr>
            <w:tcW w:w="724" w:type="pct"/>
          </w:tcPr>
          <w:p w14:paraId="01D84E3C" w14:textId="77777777" w:rsidR="00C47639" w:rsidRPr="00C25499" w:rsidRDefault="00C47639" w:rsidP="00C47639">
            <w:pPr>
              <w:pStyle w:val="Standaard-Tabellen"/>
            </w:pPr>
            <w:r w:rsidRPr="00C25499">
              <w:t xml:space="preserve">Waived  </w:t>
            </w:r>
          </w:p>
        </w:tc>
        <w:tc>
          <w:tcPr>
            <w:tcW w:w="639" w:type="pct"/>
          </w:tcPr>
          <w:p w14:paraId="623E09E5" w14:textId="77777777" w:rsidR="00C47639" w:rsidRPr="00C25499" w:rsidRDefault="00C47639" w:rsidP="00C47639">
            <w:pPr>
              <w:pStyle w:val="Standaard-Tabellen"/>
            </w:pPr>
            <w:r w:rsidRPr="00C25499">
              <w:t>-</w:t>
            </w:r>
          </w:p>
        </w:tc>
        <w:tc>
          <w:tcPr>
            <w:tcW w:w="1053" w:type="pct"/>
          </w:tcPr>
          <w:p w14:paraId="010E7595" w14:textId="77777777" w:rsidR="00C47639" w:rsidRPr="00C25499" w:rsidRDefault="00C47639" w:rsidP="00C47639">
            <w:pPr>
              <w:pStyle w:val="Standaard-Tabellen"/>
            </w:pPr>
            <w:r w:rsidRPr="00C25499">
              <w:t>the product is not intended to be diluted</w:t>
            </w:r>
          </w:p>
        </w:tc>
        <w:tc>
          <w:tcPr>
            <w:tcW w:w="1044" w:type="pct"/>
          </w:tcPr>
          <w:p w14:paraId="22C18203" w14:textId="77777777" w:rsidR="00C47639" w:rsidRPr="00C25499" w:rsidRDefault="00C47639" w:rsidP="00C47639">
            <w:pPr>
              <w:pStyle w:val="Standaard-Tabellen"/>
            </w:pPr>
            <w:r w:rsidRPr="00C25499">
              <w:t>-</w:t>
            </w:r>
          </w:p>
        </w:tc>
      </w:tr>
      <w:tr w:rsidR="00C47639" w:rsidRPr="00C25499" w14:paraId="318313C4" w14:textId="77777777" w:rsidTr="00C47639">
        <w:tc>
          <w:tcPr>
            <w:tcW w:w="1540" w:type="pct"/>
          </w:tcPr>
          <w:p w14:paraId="0C13E2B3" w14:textId="77777777" w:rsidR="00C47639" w:rsidRPr="00C25499" w:rsidRDefault="00C47639" w:rsidP="00C47639">
            <w:pPr>
              <w:pStyle w:val="Standaard-Tabellen"/>
            </w:pPr>
            <w:r w:rsidRPr="00C25499">
              <w:t>Wet sieve analysis and dry sieve test</w:t>
            </w:r>
          </w:p>
        </w:tc>
        <w:tc>
          <w:tcPr>
            <w:tcW w:w="724" w:type="pct"/>
          </w:tcPr>
          <w:p w14:paraId="71ECA90B" w14:textId="77777777" w:rsidR="00C47639" w:rsidRPr="00C25499" w:rsidRDefault="00C47639" w:rsidP="00C47639">
            <w:pPr>
              <w:pStyle w:val="Standaard-Tabellen"/>
            </w:pPr>
            <w:r w:rsidRPr="00C25499">
              <w:t xml:space="preserve">Waived  </w:t>
            </w:r>
          </w:p>
        </w:tc>
        <w:tc>
          <w:tcPr>
            <w:tcW w:w="639" w:type="pct"/>
          </w:tcPr>
          <w:p w14:paraId="1F1DF7CB" w14:textId="77777777" w:rsidR="00C47639" w:rsidRPr="00C25499" w:rsidRDefault="00C47639" w:rsidP="00C47639">
            <w:pPr>
              <w:pStyle w:val="Standaard-Tabellen"/>
            </w:pPr>
            <w:r w:rsidRPr="00C25499">
              <w:t>-</w:t>
            </w:r>
          </w:p>
        </w:tc>
        <w:tc>
          <w:tcPr>
            <w:tcW w:w="1053" w:type="pct"/>
          </w:tcPr>
          <w:p w14:paraId="5BB7F6B1" w14:textId="77777777" w:rsidR="00C47639" w:rsidRPr="00C25499" w:rsidRDefault="00C47639" w:rsidP="00C47639">
            <w:pPr>
              <w:pStyle w:val="Standaard-Tabellen"/>
            </w:pPr>
            <w:r w:rsidRPr="00C25499">
              <w:t xml:space="preserve">the product is not intended to be diluted and </w:t>
            </w:r>
          </w:p>
          <w:p w14:paraId="3B7FDD3C" w14:textId="77777777" w:rsidR="00C47639" w:rsidRPr="00C25499" w:rsidRDefault="00C47639" w:rsidP="00C47639">
            <w:pPr>
              <w:pStyle w:val="Standaard-Tabellen"/>
            </w:pPr>
            <w:r w:rsidRPr="00C25499">
              <w:t>the product is liquid</w:t>
            </w:r>
          </w:p>
        </w:tc>
        <w:tc>
          <w:tcPr>
            <w:tcW w:w="1044" w:type="pct"/>
          </w:tcPr>
          <w:p w14:paraId="33572715" w14:textId="77777777" w:rsidR="00C47639" w:rsidRPr="00C25499" w:rsidRDefault="00C47639" w:rsidP="00C47639">
            <w:pPr>
              <w:pStyle w:val="Standaard-Tabellen"/>
            </w:pPr>
            <w:r w:rsidRPr="00C25499">
              <w:t>-</w:t>
            </w:r>
          </w:p>
        </w:tc>
      </w:tr>
      <w:tr w:rsidR="00C47639" w:rsidRPr="00C25499" w14:paraId="16EC4AA1" w14:textId="77777777" w:rsidTr="00C47639">
        <w:tc>
          <w:tcPr>
            <w:tcW w:w="1540" w:type="pct"/>
          </w:tcPr>
          <w:p w14:paraId="0C9A1674" w14:textId="77777777" w:rsidR="00C47639" w:rsidRPr="00C25499" w:rsidRDefault="00C47639" w:rsidP="00C47639">
            <w:pPr>
              <w:pStyle w:val="Standaard-Tabellen"/>
            </w:pPr>
            <w:proofErr w:type="spellStart"/>
            <w:r w:rsidRPr="00C25499">
              <w:t>Emulsifiability</w:t>
            </w:r>
            <w:proofErr w:type="spellEnd"/>
            <w:r w:rsidRPr="00C25499">
              <w:t>, re-</w:t>
            </w:r>
            <w:proofErr w:type="spellStart"/>
            <w:r w:rsidRPr="00C25499">
              <w:t>emulsifiability</w:t>
            </w:r>
            <w:proofErr w:type="spellEnd"/>
            <w:r w:rsidRPr="00C25499">
              <w:t xml:space="preserve"> and emulsion stability</w:t>
            </w:r>
          </w:p>
        </w:tc>
        <w:tc>
          <w:tcPr>
            <w:tcW w:w="724" w:type="pct"/>
          </w:tcPr>
          <w:p w14:paraId="0E5C283A" w14:textId="77777777" w:rsidR="00C47639" w:rsidRPr="00C25499" w:rsidRDefault="00C47639" w:rsidP="00C47639">
            <w:pPr>
              <w:pStyle w:val="Standaard-Tabellen"/>
            </w:pPr>
            <w:r w:rsidRPr="00C25499">
              <w:t xml:space="preserve">Waived  </w:t>
            </w:r>
          </w:p>
        </w:tc>
        <w:tc>
          <w:tcPr>
            <w:tcW w:w="639" w:type="pct"/>
          </w:tcPr>
          <w:p w14:paraId="007FE283" w14:textId="77777777" w:rsidR="00C47639" w:rsidRPr="00C25499" w:rsidRDefault="00C47639" w:rsidP="00C47639">
            <w:pPr>
              <w:pStyle w:val="Standaard-Tabellen"/>
            </w:pPr>
            <w:r w:rsidRPr="00C25499">
              <w:t>-</w:t>
            </w:r>
          </w:p>
        </w:tc>
        <w:tc>
          <w:tcPr>
            <w:tcW w:w="1053" w:type="pct"/>
          </w:tcPr>
          <w:p w14:paraId="452159DC" w14:textId="77777777" w:rsidR="00C47639" w:rsidRPr="00C25499" w:rsidRDefault="00C47639" w:rsidP="00C47639">
            <w:pPr>
              <w:pStyle w:val="Standaard-Tabellen"/>
            </w:pPr>
            <w:r w:rsidRPr="00C25499">
              <w:t>the product is not intended to be diluted and is not an emulsion</w:t>
            </w:r>
          </w:p>
        </w:tc>
        <w:tc>
          <w:tcPr>
            <w:tcW w:w="1044" w:type="pct"/>
          </w:tcPr>
          <w:p w14:paraId="2B813573" w14:textId="77777777" w:rsidR="00C47639" w:rsidRPr="00C25499" w:rsidRDefault="00C47639" w:rsidP="00C47639">
            <w:pPr>
              <w:pStyle w:val="Standaard-Tabellen"/>
            </w:pPr>
            <w:r w:rsidRPr="00C25499">
              <w:t>-</w:t>
            </w:r>
          </w:p>
        </w:tc>
      </w:tr>
      <w:tr w:rsidR="00C47639" w:rsidRPr="00C25499" w14:paraId="28D6C166" w14:textId="77777777" w:rsidTr="00C47639">
        <w:tc>
          <w:tcPr>
            <w:tcW w:w="1540" w:type="pct"/>
          </w:tcPr>
          <w:p w14:paraId="01F7D1C4" w14:textId="77777777" w:rsidR="00C47639" w:rsidRPr="00C25499" w:rsidRDefault="00C47639" w:rsidP="00C47639">
            <w:pPr>
              <w:pStyle w:val="Standaard-Tabellen"/>
            </w:pPr>
            <w:r w:rsidRPr="00C25499">
              <w:t>Disintegration time</w:t>
            </w:r>
          </w:p>
        </w:tc>
        <w:tc>
          <w:tcPr>
            <w:tcW w:w="724" w:type="pct"/>
          </w:tcPr>
          <w:p w14:paraId="1B37066D" w14:textId="77777777" w:rsidR="00C47639" w:rsidRPr="00C25499" w:rsidRDefault="00C47639" w:rsidP="00C47639">
            <w:pPr>
              <w:pStyle w:val="Standaard-Tabellen"/>
            </w:pPr>
            <w:r w:rsidRPr="00C25499">
              <w:t xml:space="preserve">Waived  </w:t>
            </w:r>
          </w:p>
        </w:tc>
        <w:tc>
          <w:tcPr>
            <w:tcW w:w="639" w:type="pct"/>
          </w:tcPr>
          <w:p w14:paraId="28FE3C3F" w14:textId="77777777" w:rsidR="00C47639" w:rsidRPr="00C25499" w:rsidRDefault="00C47639" w:rsidP="00C47639">
            <w:pPr>
              <w:pStyle w:val="Standaard-Tabellen"/>
            </w:pPr>
            <w:r w:rsidRPr="00C25499">
              <w:t>-</w:t>
            </w:r>
          </w:p>
        </w:tc>
        <w:tc>
          <w:tcPr>
            <w:tcW w:w="1053" w:type="pct"/>
          </w:tcPr>
          <w:p w14:paraId="3C5A13A7" w14:textId="77777777" w:rsidR="00C47639" w:rsidRPr="00C25499" w:rsidRDefault="00C47639" w:rsidP="00C47639">
            <w:pPr>
              <w:pStyle w:val="Standaard-Tabellen"/>
            </w:pPr>
            <w:r w:rsidRPr="00C25499">
              <w:t xml:space="preserve">the product is not a tablet to be </w:t>
            </w:r>
            <w:proofErr w:type="spellStart"/>
            <w:r w:rsidRPr="00C25499">
              <w:t>desintegrated</w:t>
            </w:r>
            <w:proofErr w:type="spellEnd"/>
          </w:p>
        </w:tc>
        <w:tc>
          <w:tcPr>
            <w:tcW w:w="1044" w:type="pct"/>
          </w:tcPr>
          <w:p w14:paraId="66B0D48B" w14:textId="77777777" w:rsidR="00C47639" w:rsidRPr="00C25499" w:rsidRDefault="00C47639" w:rsidP="00C47639">
            <w:pPr>
              <w:pStyle w:val="Standaard-Tabellen"/>
            </w:pPr>
            <w:r w:rsidRPr="00C25499">
              <w:t>-</w:t>
            </w:r>
          </w:p>
        </w:tc>
      </w:tr>
      <w:tr w:rsidR="00C47639" w:rsidRPr="00C25499" w14:paraId="6BA931B0" w14:textId="77777777" w:rsidTr="00C47639">
        <w:tc>
          <w:tcPr>
            <w:tcW w:w="1540" w:type="pct"/>
          </w:tcPr>
          <w:p w14:paraId="51C624EB" w14:textId="77777777" w:rsidR="00C47639" w:rsidRPr="00C25499" w:rsidRDefault="00C47639" w:rsidP="00C47639">
            <w:pPr>
              <w:pStyle w:val="Standaard-Tabellen"/>
            </w:pPr>
            <w:r w:rsidRPr="00C25499">
              <w:t>Particle size distribution, content of dust/fines, attrition, friability</w:t>
            </w:r>
          </w:p>
        </w:tc>
        <w:tc>
          <w:tcPr>
            <w:tcW w:w="724" w:type="pct"/>
          </w:tcPr>
          <w:p w14:paraId="3983346C" w14:textId="77777777" w:rsidR="00C47639" w:rsidRPr="00C25499" w:rsidRDefault="00C47639" w:rsidP="00C47639">
            <w:pPr>
              <w:pStyle w:val="Standaard-Tabellen"/>
            </w:pPr>
            <w:r w:rsidRPr="00C25499">
              <w:t xml:space="preserve">Waived  </w:t>
            </w:r>
          </w:p>
        </w:tc>
        <w:tc>
          <w:tcPr>
            <w:tcW w:w="639" w:type="pct"/>
          </w:tcPr>
          <w:p w14:paraId="797EE008" w14:textId="77777777" w:rsidR="00C47639" w:rsidRPr="00C25499" w:rsidRDefault="00C47639" w:rsidP="00C47639">
            <w:pPr>
              <w:pStyle w:val="Standaard-Tabellen"/>
            </w:pPr>
            <w:r w:rsidRPr="00C25499">
              <w:t>-</w:t>
            </w:r>
          </w:p>
        </w:tc>
        <w:tc>
          <w:tcPr>
            <w:tcW w:w="1053" w:type="pct"/>
          </w:tcPr>
          <w:p w14:paraId="13659A14" w14:textId="77777777" w:rsidR="00C47639" w:rsidRPr="00C25499" w:rsidRDefault="00C47639" w:rsidP="00C47639">
            <w:pPr>
              <w:pStyle w:val="Standaard-Tabellen"/>
            </w:pPr>
            <w:r w:rsidRPr="00C25499">
              <w:t>the product is not a powder nor a granule</w:t>
            </w:r>
          </w:p>
        </w:tc>
        <w:tc>
          <w:tcPr>
            <w:tcW w:w="1044" w:type="pct"/>
          </w:tcPr>
          <w:p w14:paraId="3BD4BED1" w14:textId="77777777" w:rsidR="00C47639" w:rsidRPr="00C25499" w:rsidRDefault="00C47639" w:rsidP="00C47639">
            <w:pPr>
              <w:pStyle w:val="Standaard-Tabellen"/>
            </w:pPr>
            <w:r w:rsidRPr="00C25499">
              <w:t>-</w:t>
            </w:r>
          </w:p>
        </w:tc>
      </w:tr>
      <w:tr w:rsidR="00C47639" w:rsidRPr="00C25499" w14:paraId="3E283BC0" w14:textId="77777777" w:rsidTr="00C47639">
        <w:tc>
          <w:tcPr>
            <w:tcW w:w="1540" w:type="pct"/>
          </w:tcPr>
          <w:p w14:paraId="54E41E01" w14:textId="77777777" w:rsidR="00C47639" w:rsidRPr="00C25499" w:rsidRDefault="00C47639" w:rsidP="00C47639">
            <w:pPr>
              <w:pStyle w:val="Standaard-Tabellen"/>
            </w:pPr>
            <w:r w:rsidRPr="00C25499">
              <w:t>Persistent foaming</w:t>
            </w:r>
          </w:p>
        </w:tc>
        <w:tc>
          <w:tcPr>
            <w:tcW w:w="724" w:type="pct"/>
          </w:tcPr>
          <w:p w14:paraId="4E5FE9F3" w14:textId="77777777" w:rsidR="00C47639" w:rsidRPr="00C25499" w:rsidRDefault="00C47639" w:rsidP="00C47639">
            <w:pPr>
              <w:pStyle w:val="Standaard-Tabellen"/>
            </w:pPr>
            <w:r w:rsidRPr="00C25499">
              <w:t xml:space="preserve">Waived  </w:t>
            </w:r>
          </w:p>
        </w:tc>
        <w:tc>
          <w:tcPr>
            <w:tcW w:w="639" w:type="pct"/>
          </w:tcPr>
          <w:p w14:paraId="509EE418" w14:textId="77777777" w:rsidR="00C47639" w:rsidRPr="00C25499" w:rsidRDefault="00C47639" w:rsidP="00C47639">
            <w:pPr>
              <w:pStyle w:val="Standaard-Tabellen"/>
            </w:pPr>
            <w:r w:rsidRPr="00C25499">
              <w:t>-</w:t>
            </w:r>
          </w:p>
        </w:tc>
        <w:tc>
          <w:tcPr>
            <w:tcW w:w="1053" w:type="pct"/>
          </w:tcPr>
          <w:p w14:paraId="7AA15E3B" w14:textId="77777777" w:rsidR="00C47639" w:rsidRPr="00C25499" w:rsidRDefault="00C47639" w:rsidP="00C47639">
            <w:pPr>
              <w:pStyle w:val="Standaard-Tabellen"/>
            </w:pPr>
            <w:r w:rsidRPr="00C25499">
              <w:t>the product is not intended to be diluted</w:t>
            </w:r>
          </w:p>
        </w:tc>
        <w:tc>
          <w:tcPr>
            <w:tcW w:w="1044" w:type="pct"/>
          </w:tcPr>
          <w:p w14:paraId="1BA904C2" w14:textId="77777777" w:rsidR="00C47639" w:rsidRPr="00C25499" w:rsidRDefault="00C47639" w:rsidP="00C47639">
            <w:pPr>
              <w:pStyle w:val="Standaard-Tabellen"/>
            </w:pPr>
            <w:r w:rsidRPr="00C25499">
              <w:t>-</w:t>
            </w:r>
          </w:p>
        </w:tc>
      </w:tr>
      <w:tr w:rsidR="00C47639" w:rsidRPr="00C25499" w14:paraId="028FD4A8" w14:textId="77777777" w:rsidTr="00C47639">
        <w:tc>
          <w:tcPr>
            <w:tcW w:w="1540" w:type="pct"/>
          </w:tcPr>
          <w:p w14:paraId="28891436" w14:textId="77777777" w:rsidR="00C47639" w:rsidRPr="00C25499" w:rsidRDefault="00C47639" w:rsidP="00C47639">
            <w:pPr>
              <w:pStyle w:val="Standaard-Tabellen"/>
            </w:pPr>
            <w:proofErr w:type="spellStart"/>
            <w:r w:rsidRPr="00C25499">
              <w:t>Flowability</w:t>
            </w:r>
            <w:proofErr w:type="spellEnd"/>
            <w:r w:rsidRPr="00C25499">
              <w:t>/</w:t>
            </w:r>
            <w:proofErr w:type="spellStart"/>
            <w:r w:rsidRPr="00C25499">
              <w:t>Pourability</w:t>
            </w:r>
            <w:proofErr w:type="spellEnd"/>
            <w:r w:rsidRPr="00C25499">
              <w:t>/</w:t>
            </w:r>
            <w:proofErr w:type="spellStart"/>
            <w:r w:rsidRPr="00C25499">
              <w:t>Dustability</w:t>
            </w:r>
            <w:proofErr w:type="spellEnd"/>
          </w:p>
        </w:tc>
        <w:tc>
          <w:tcPr>
            <w:tcW w:w="724" w:type="pct"/>
          </w:tcPr>
          <w:p w14:paraId="2DD91ED4" w14:textId="77777777" w:rsidR="00C47639" w:rsidRPr="00C25499" w:rsidRDefault="00C47639" w:rsidP="00C47639">
            <w:pPr>
              <w:pStyle w:val="Standaard-Tabellen"/>
            </w:pPr>
            <w:r w:rsidRPr="00C25499">
              <w:t xml:space="preserve">Waived  </w:t>
            </w:r>
          </w:p>
        </w:tc>
        <w:tc>
          <w:tcPr>
            <w:tcW w:w="639" w:type="pct"/>
          </w:tcPr>
          <w:p w14:paraId="7D80823B" w14:textId="77777777" w:rsidR="00C47639" w:rsidRPr="00C25499" w:rsidRDefault="00C47639" w:rsidP="00C47639">
            <w:pPr>
              <w:pStyle w:val="Standaard-Tabellen"/>
            </w:pPr>
            <w:r w:rsidRPr="00C25499">
              <w:t>-</w:t>
            </w:r>
          </w:p>
        </w:tc>
        <w:tc>
          <w:tcPr>
            <w:tcW w:w="1053" w:type="pct"/>
          </w:tcPr>
          <w:p w14:paraId="4610FBC2" w14:textId="77777777" w:rsidR="00C47639" w:rsidRPr="00C25499" w:rsidRDefault="00C47639" w:rsidP="00C47639">
            <w:pPr>
              <w:pStyle w:val="Standaard-Tabellen"/>
            </w:pPr>
            <w:r w:rsidRPr="00C25499">
              <w:t>the product is not a powder, a granule nor an emulsion</w:t>
            </w:r>
          </w:p>
        </w:tc>
        <w:tc>
          <w:tcPr>
            <w:tcW w:w="1044" w:type="pct"/>
          </w:tcPr>
          <w:p w14:paraId="149711BA" w14:textId="77777777" w:rsidR="00C47639" w:rsidRPr="00C25499" w:rsidRDefault="00C47639" w:rsidP="00C47639">
            <w:pPr>
              <w:pStyle w:val="Standaard-Tabellen"/>
            </w:pPr>
            <w:r w:rsidRPr="00C25499">
              <w:t>-</w:t>
            </w:r>
          </w:p>
        </w:tc>
      </w:tr>
      <w:tr w:rsidR="00C47639" w:rsidRPr="00C25499" w14:paraId="167DF5ED" w14:textId="77777777" w:rsidTr="00C47639">
        <w:tc>
          <w:tcPr>
            <w:tcW w:w="1540" w:type="pct"/>
          </w:tcPr>
          <w:p w14:paraId="62DDDA77" w14:textId="77777777" w:rsidR="00C47639" w:rsidRPr="00C25499" w:rsidRDefault="00C47639" w:rsidP="00C47639">
            <w:pPr>
              <w:pStyle w:val="Standaard-Tabellen"/>
            </w:pPr>
            <w:r w:rsidRPr="00C25499">
              <w:t>Burning rate — smoke generators</w:t>
            </w:r>
          </w:p>
        </w:tc>
        <w:tc>
          <w:tcPr>
            <w:tcW w:w="724" w:type="pct"/>
          </w:tcPr>
          <w:p w14:paraId="7412F23A" w14:textId="77777777" w:rsidR="00C47639" w:rsidRPr="00C25499" w:rsidRDefault="00C47639" w:rsidP="00C47639">
            <w:pPr>
              <w:pStyle w:val="Standaard-Tabellen"/>
            </w:pPr>
            <w:r w:rsidRPr="00C25499">
              <w:t xml:space="preserve">Waived  </w:t>
            </w:r>
          </w:p>
        </w:tc>
        <w:tc>
          <w:tcPr>
            <w:tcW w:w="639" w:type="pct"/>
          </w:tcPr>
          <w:p w14:paraId="15E39A9A" w14:textId="77777777" w:rsidR="00C47639" w:rsidRPr="00C25499" w:rsidRDefault="00C47639" w:rsidP="00C47639">
            <w:pPr>
              <w:pStyle w:val="Standaard-Tabellen"/>
            </w:pPr>
            <w:r w:rsidRPr="00C25499">
              <w:t>-</w:t>
            </w:r>
          </w:p>
        </w:tc>
        <w:tc>
          <w:tcPr>
            <w:tcW w:w="1053" w:type="pct"/>
          </w:tcPr>
          <w:p w14:paraId="57AEBF6A" w14:textId="77777777" w:rsidR="00C47639" w:rsidRPr="00C25499" w:rsidRDefault="00C47639" w:rsidP="00C47639">
            <w:pPr>
              <w:pStyle w:val="Standaard-Tabellen"/>
            </w:pPr>
            <w:r w:rsidRPr="00C25499">
              <w:t>the product is not a smoke generator</w:t>
            </w:r>
          </w:p>
        </w:tc>
        <w:tc>
          <w:tcPr>
            <w:tcW w:w="1044" w:type="pct"/>
          </w:tcPr>
          <w:p w14:paraId="65F22B8F" w14:textId="77777777" w:rsidR="00C47639" w:rsidRPr="00C25499" w:rsidRDefault="00C47639" w:rsidP="00C47639">
            <w:pPr>
              <w:pStyle w:val="Standaard-Tabellen"/>
            </w:pPr>
            <w:r w:rsidRPr="00C25499">
              <w:t>-</w:t>
            </w:r>
          </w:p>
        </w:tc>
      </w:tr>
      <w:tr w:rsidR="00C47639" w:rsidRPr="00C25499" w14:paraId="2A46611E" w14:textId="77777777" w:rsidTr="00C47639">
        <w:tc>
          <w:tcPr>
            <w:tcW w:w="1540" w:type="pct"/>
          </w:tcPr>
          <w:p w14:paraId="79504AED" w14:textId="77777777" w:rsidR="00C47639" w:rsidRPr="00C25499" w:rsidRDefault="00C47639" w:rsidP="00C47639">
            <w:pPr>
              <w:pStyle w:val="Standaard-Tabellen"/>
            </w:pPr>
            <w:r w:rsidRPr="00C25499">
              <w:t>Burning completeness — smoke generators</w:t>
            </w:r>
          </w:p>
        </w:tc>
        <w:tc>
          <w:tcPr>
            <w:tcW w:w="724" w:type="pct"/>
          </w:tcPr>
          <w:p w14:paraId="18577164" w14:textId="77777777" w:rsidR="00C47639" w:rsidRPr="00C25499" w:rsidRDefault="00C47639" w:rsidP="00C47639">
            <w:pPr>
              <w:pStyle w:val="Standaard-Tabellen"/>
            </w:pPr>
            <w:r w:rsidRPr="00C25499">
              <w:t xml:space="preserve">Waived  </w:t>
            </w:r>
          </w:p>
        </w:tc>
        <w:tc>
          <w:tcPr>
            <w:tcW w:w="639" w:type="pct"/>
          </w:tcPr>
          <w:p w14:paraId="6DA5D694" w14:textId="77777777" w:rsidR="00C47639" w:rsidRPr="00C25499" w:rsidRDefault="00C47639" w:rsidP="00C47639">
            <w:pPr>
              <w:pStyle w:val="Standaard-Tabellen"/>
            </w:pPr>
            <w:r w:rsidRPr="00C25499">
              <w:t>-</w:t>
            </w:r>
          </w:p>
        </w:tc>
        <w:tc>
          <w:tcPr>
            <w:tcW w:w="1053" w:type="pct"/>
          </w:tcPr>
          <w:p w14:paraId="0E25D006" w14:textId="77777777" w:rsidR="00C47639" w:rsidRPr="00C25499" w:rsidRDefault="00C47639" w:rsidP="00C47639">
            <w:pPr>
              <w:pStyle w:val="Standaard-Tabellen"/>
            </w:pPr>
            <w:r w:rsidRPr="00C25499">
              <w:t>the product is not a smoke generator</w:t>
            </w:r>
          </w:p>
        </w:tc>
        <w:tc>
          <w:tcPr>
            <w:tcW w:w="1044" w:type="pct"/>
          </w:tcPr>
          <w:p w14:paraId="5BAA2B27" w14:textId="77777777" w:rsidR="00C47639" w:rsidRPr="00C25499" w:rsidRDefault="00C47639" w:rsidP="00C47639">
            <w:pPr>
              <w:pStyle w:val="Standaard-Tabellen"/>
            </w:pPr>
            <w:r w:rsidRPr="00C25499">
              <w:t>-</w:t>
            </w:r>
          </w:p>
        </w:tc>
      </w:tr>
      <w:tr w:rsidR="00C47639" w:rsidRPr="00C25499" w14:paraId="7AF9F2A5" w14:textId="77777777" w:rsidTr="00C47639">
        <w:tc>
          <w:tcPr>
            <w:tcW w:w="1540" w:type="pct"/>
          </w:tcPr>
          <w:p w14:paraId="69088F97" w14:textId="77777777" w:rsidR="00C47639" w:rsidRPr="00C25499" w:rsidRDefault="00C47639" w:rsidP="00C47639">
            <w:pPr>
              <w:pStyle w:val="Standaard-Tabellen"/>
            </w:pPr>
            <w:r w:rsidRPr="00C25499">
              <w:t>Composition of smoke — smoke generators</w:t>
            </w:r>
          </w:p>
        </w:tc>
        <w:tc>
          <w:tcPr>
            <w:tcW w:w="724" w:type="pct"/>
          </w:tcPr>
          <w:p w14:paraId="08798FF1" w14:textId="77777777" w:rsidR="00C47639" w:rsidRPr="00C25499" w:rsidRDefault="00C47639" w:rsidP="00C47639">
            <w:pPr>
              <w:pStyle w:val="Standaard-Tabellen"/>
            </w:pPr>
            <w:r w:rsidRPr="00C25499">
              <w:t xml:space="preserve">Waived  </w:t>
            </w:r>
          </w:p>
        </w:tc>
        <w:tc>
          <w:tcPr>
            <w:tcW w:w="639" w:type="pct"/>
          </w:tcPr>
          <w:p w14:paraId="3A93BC3C" w14:textId="77777777" w:rsidR="00C47639" w:rsidRPr="00C25499" w:rsidRDefault="00C47639" w:rsidP="00C47639">
            <w:pPr>
              <w:pStyle w:val="Standaard-Tabellen"/>
            </w:pPr>
            <w:r w:rsidRPr="00C25499">
              <w:t>-</w:t>
            </w:r>
          </w:p>
        </w:tc>
        <w:tc>
          <w:tcPr>
            <w:tcW w:w="1053" w:type="pct"/>
          </w:tcPr>
          <w:p w14:paraId="50A91FAA" w14:textId="77777777" w:rsidR="00C47639" w:rsidRPr="00C25499" w:rsidRDefault="00C47639" w:rsidP="00C47639">
            <w:pPr>
              <w:pStyle w:val="Standaard-Tabellen"/>
            </w:pPr>
            <w:r w:rsidRPr="00C25499">
              <w:t>the product is not a smoke generator</w:t>
            </w:r>
          </w:p>
        </w:tc>
        <w:tc>
          <w:tcPr>
            <w:tcW w:w="1044" w:type="pct"/>
          </w:tcPr>
          <w:p w14:paraId="03309CBF" w14:textId="77777777" w:rsidR="00C47639" w:rsidRPr="00C25499" w:rsidRDefault="00C47639" w:rsidP="00C47639">
            <w:pPr>
              <w:pStyle w:val="Standaard-Tabellen"/>
            </w:pPr>
            <w:r w:rsidRPr="00C25499">
              <w:t>-</w:t>
            </w:r>
          </w:p>
        </w:tc>
      </w:tr>
      <w:tr w:rsidR="00C47639" w:rsidRPr="00C25499" w14:paraId="66CD68EE" w14:textId="77777777" w:rsidTr="00C47639">
        <w:tc>
          <w:tcPr>
            <w:tcW w:w="1540" w:type="pct"/>
          </w:tcPr>
          <w:p w14:paraId="61DEAB0A" w14:textId="77777777" w:rsidR="00C47639" w:rsidRPr="00C25499" w:rsidRDefault="00C47639" w:rsidP="00C47639">
            <w:pPr>
              <w:pStyle w:val="Standaard-Tabellen"/>
            </w:pPr>
            <w:r w:rsidRPr="00C25499">
              <w:t>Spraying pattern</w:t>
            </w:r>
          </w:p>
        </w:tc>
        <w:tc>
          <w:tcPr>
            <w:tcW w:w="724" w:type="pct"/>
          </w:tcPr>
          <w:p w14:paraId="36547C38" w14:textId="77777777" w:rsidR="00C47639" w:rsidRPr="00C25499" w:rsidRDefault="00C47639" w:rsidP="00C47639">
            <w:pPr>
              <w:pStyle w:val="Standaard-Tabellen"/>
            </w:pPr>
            <w:r w:rsidRPr="00C25499">
              <w:t xml:space="preserve">Waived  </w:t>
            </w:r>
          </w:p>
        </w:tc>
        <w:tc>
          <w:tcPr>
            <w:tcW w:w="639" w:type="pct"/>
          </w:tcPr>
          <w:p w14:paraId="622E4529" w14:textId="77777777" w:rsidR="00C47639" w:rsidRPr="00C25499" w:rsidRDefault="00C47639" w:rsidP="00C47639">
            <w:pPr>
              <w:pStyle w:val="Standaard-Tabellen"/>
            </w:pPr>
            <w:r w:rsidRPr="00C25499">
              <w:t>-</w:t>
            </w:r>
          </w:p>
        </w:tc>
        <w:tc>
          <w:tcPr>
            <w:tcW w:w="1053" w:type="pct"/>
          </w:tcPr>
          <w:p w14:paraId="2420276A" w14:textId="77777777" w:rsidR="00C47639" w:rsidRPr="00C25499" w:rsidRDefault="00C47639" w:rsidP="00C47639">
            <w:pPr>
              <w:pStyle w:val="Standaard-Tabellen"/>
            </w:pPr>
            <w:r w:rsidRPr="00C25499">
              <w:t>the product is not an aerosol</w:t>
            </w:r>
          </w:p>
        </w:tc>
        <w:tc>
          <w:tcPr>
            <w:tcW w:w="1044" w:type="pct"/>
          </w:tcPr>
          <w:p w14:paraId="0094C81B" w14:textId="77777777" w:rsidR="00C47639" w:rsidRPr="00C25499" w:rsidRDefault="00C47639" w:rsidP="00C47639">
            <w:pPr>
              <w:pStyle w:val="Standaard-Tabellen"/>
            </w:pPr>
          </w:p>
        </w:tc>
      </w:tr>
      <w:tr w:rsidR="00C47639" w:rsidRPr="00C25499" w14:paraId="6375D15D" w14:textId="77777777" w:rsidTr="00C47639">
        <w:tc>
          <w:tcPr>
            <w:tcW w:w="1540" w:type="pct"/>
          </w:tcPr>
          <w:p w14:paraId="713F6A58" w14:textId="77777777" w:rsidR="00C47639" w:rsidRPr="00C25499" w:rsidRDefault="00C47639" w:rsidP="00C47639">
            <w:pPr>
              <w:pStyle w:val="Standaard-Tabellen"/>
            </w:pPr>
          </w:p>
        </w:tc>
        <w:tc>
          <w:tcPr>
            <w:tcW w:w="724" w:type="pct"/>
          </w:tcPr>
          <w:p w14:paraId="28DFAF40" w14:textId="77777777" w:rsidR="00C47639" w:rsidRDefault="00C47639" w:rsidP="00C47639">
            <w:pPr>
              <w:pStyle w:val="Standaard-Tabellen"/>
            </w:pPr>
            <w:r w:rsidRPr="00C25499">
              <w:t>Particle size distribution</w:t>
            </w:r>
          </w:p>
          <w:p w14:paraId="2852F8B4" w14:textId="77777777" w:rsidR="00C47639" w:rsidRDefault="00C47639" w:rsidP="00C47639">
            <w:pPr>
              <w:pStyle w:val="Standaard-Tabellen"/>
              <w:rPr>
                <w:lang w:eastAsia="en-US"/>
              </w:rPr>
            </w:pPr>
          </w:p>
          <w:p w14:paraId="121BCBB0" w14:textId="77777777" w:rsidR="00C47639" w:rsidRPr="008D4CA3" w:rsidRDefault="00C47639" w:rsidP="00C47639">
            <w:pPr>
              <w:pStyle w:val="Standaard-Tabellen"/>
            </w:pPr>
            <w:r w:rsidRPr="005B4EE1">
              <w:t>[</w:t>
            </w:r>
            <w:r w:rsidRPr="009120AC">
              <w:t>Laser light diffraction</w:t>
            </w:r>
            <w:r>
              <w:t xml:space="preserve">, </w:t>
            </w:r>
            <w:r w:rsidRPr="008D4CA3">
              <w:t xml:space="preserve">technical </w:t>
            </w:r>
            <w:r w:rsidRPr="008D4CA3">
              <w:lastRenderedPageBreak/>
              <w:t>compliance to the requirements of</w:t>
            </w:r>
          </w:p>
          <w:p w14:paraId="4F61DE8D" w14:textId="77777777" w:rsidR="00C47639" w:rsidRPr="00C25499" w:rsidRDefault="00C47639" w:rsidP="00C47639">
            <w:pPr>
              <w:pStyle w:val="Standaard-Tabellen"/>
            </w:pPr>
          </w:p>
        </w:tc>
        <w:tc>
          <w:tcPr>
            <w:tcW w:w="639" w:type="pct"/>
          </w:tcPr>
          <w:p w14:paraId="78A3A93A" w14:textId="77777777" w:rsidR="00C47639" w:rsidRDefault="00C47639" w:rsidP="00C47639">
            <w:pPr>
              <w:pStyle w:val="Standaard-Tabellen"/>
            </w:pPr>
            <w:r>
              <w:lastRenderedPageBreak/>
              <w:t>Insect Repellent Pump Spray IR3535</w:t>
            </w:r>
            <w:r w:rsidRPr="00033493">
              <w:rPr>
                <w:vertAlign w:val="superscript"/>
              </w:rPr>
              <w:t>®</w:t>
            </w:r>
            <w:r>
              <w:t xml:space="preserve"> 20%</w:t>
            </w:r>
          </w:p>
          <w:p w14:paraId="39A00663" w14:textId="77777777" w:rsidR="00C47639" w:rsidRPr="00C25499" w:rsidRDefault="00C47639" w:rsidP="00C47639">
            <w:pPr>
              <w:pStyle w:val="Standaard-Tabellen"/>
            </w:pPr>
          </w:p>
        </w:tc>
        <w:tc>
          <w:tcPr>
            <w:tcW w:w="1053" w:type="pct"/>
          </w:tcPr>
          <w:p w14:paraId="4B21E898" w14:textId="77777777" w:rsidR="00C47639" w:rsidRDefault="00C47639" w:rsidP="00C47639">
            <w:pPr>
              <w:pStyle w:val="Standaard-Tabellen"/>
            </w:pPr>
            <w:r>
              <w:t>F</w:t>
            </w:r>
            <w:r w:rsidRPr="003041A4">
              <w:t>ra</w:t>
            </w:r>
            <w:r>
              <w:t>ction of particles &lt;5µm: &lt;0</w:t>
            </w:r>
            <w:r w:rsidRPr="003041A4">
              <w:t>.6 %</w:t>
            </w:r>
            <w:r>
              <w:t>.</w:t>
            </w:r>
          </w:p>
          <w:p w14:paraId="6EE4E6E2" w14:textId="77777777" w:rsidR="00C47639" w:rsidRDefault="00C47639" w:rsidP="00C47639">
            <w:pPr>
              <w:pStyle w:val="Standaard-Tabellen"/>
            </w:pPr>
          </w:p>
          <w:p w14:paraId="5E7A59DF" w14:textId="77777777" w:rsidR="00C47639" w:rsidRDefault="00C47639" w:rsidP="00C47639">
            <w:pPr>
              <w:pStyle w:val="Standaard-Tabellen"/>
            </w:pPr>
            <w:r>
              <w:lastRenderedPageBreak/>
              <w:t>R</w:t>
            </w:r>
            <w:r w:rsidRPr="003041A4">
              <w:t>ange (n=50)</w:t>
            </w:r>
            <w:r>
              <w:t>:</w:t>
            </w:r>
            <w:r w:rsidRPr="003041A4">
              <w:t xml:space="preserve"> 0.28 - 0.68 microns</w:t>
            </w:r>
            <w:r>
              <w:t xml:space="preserve">, with a mean of 0.45 % &lt; </w:t>
            </w:r>
            <w:r w:rsidRPr="003041A4">
              <w:t>5.23 microns.</w:t>
            </w:r>
          </w:p>
          <w:p w14:paraId="16D69DE6" w14:textId="77777777" w:rsidR="00C47639" w:rsidRDefault="00C47639" w:rsidP="00C47639">
            <w:pPr>
              <w:pStyle w:val="Standaard-Tabellen"/>
            </w:pPr>
          </w:p>
          <w:p w14:paraId="42744AE2" w14:textId="77777777" w:rsidR="00C47639" w:rsidRDefault="00C47639" w:rsidP="00C47639">
            <w:pPr>
              <w:pStyle w:val="Standaard-Tabellen"/>
            </w:pPr>
            <w:r>
              <w:t>F</w:t>
            </w:r>
            <w:r w:rsidRPr="003041A4">
              <w:t>ra</w:t>
            </w:r>
            <w:r>
              <w:t>ction of particles &lt;50µm: 51.79&lt;x&lt;</w:t>
            </w:r>
            <w:r w:rsidRPr="003041A4">
              <w:t>6</w:t>
            </w:r>
            <w:r>
              <w:t>0.27</w:t>
            </w:r>
            <w:r w:rsidRPr="003041A4">
              <w:t xml:space="preserve"> %</w:t>
            </w:r>
          </w:p>
          <w:p w14:paraId="0269A123" w14:textId="77777777" w:rsidR="00C47639" w:rsidRDefault="00C47639" w:rsidP="00C47639">
            <w:pPr>
              <w:pStyle w:val="Standaard-Tabellen"/>
            </w:pPr>
          </w:p>
          <w:p w14:paraId="295777CF" w14:textId="77777777" w:rsidR="00C47639" w:rsidRDefault="00C47639" w:rsidP="00C47639">
            <w:pPr>
              <w:pStyle w:val="Standaard-Tabellen"/>
            </w:pPr>
            <w:r>
              <w:t>R</w:t>
            </w:r>
            <w:r w:rsidRPr="003041A4">
              <w:t>ange (n=50)</w:t>
            </w:r>
            <w:r>
              <w:t>:</w:t>
            </w:r>
            <w:r w:rsidRPr="003041A4">
              <w:t xml:space="preserve"> </w:t>
            </w:r>
            <w:r>
              <w:t>47.78</w:t>
            </w:r>
            <w:r w:rsidRPr="003041A4">
              <w:t xml:space="preserve"> </w:t>
            </w:r>
            <w:r>
              <w:t>–</w:t>
            </w:r>
            <w:r w:rsidRPr="003041A4">
              <w:t xml:space="preserve"> </w:t>
            </w:r>
            <w:r>
              <w:t>54.86</w:t>
            </w:r>
            <w:r w:rsidRPr="003041A4">
              <w:t xml:space="preserve"> microns</w:t>
            </w:r>
            <w:r>
              <w:t>, with respective means of 59.95 % and 51.46 %.</w:t>
            </w:r>
          </w:p>
          <w:p w14:paraId="1B9C0D9B" w14:textId="77777777" w:rsidR="00C47639" w:rsidRDefault="00C47639" w:rsidP="00C47639">
            <w:pPr>
              <w:pStyle w:val="Standaard-Tabellen"/>
            </w:pPr>
          </w:p>
          <w:p w14:paraId="4CC2AFC6" w14:textId="77777777" w:rsidR="00C47639" w:rsidRDefault="00C47639" w:rsidP="00C47639">
            <w:pPr>
              <w:pStyle w:val="Standaard-Tabellen"/>
            </w:pPr>
          </w:p>
          <w:p w14:paraId="63DE2F2C" w14:textId="77777777" w:rsidR="00C47639" w:rsidRDefault="00C47639" w:rsidP="00C47639">
            <w:pPr>
              <w:pStyle w:val="Standaard-Tabellen"/>
            </w:pPr>
            <w:r>
              <w:t>[</w:t>
            </w:r>
            <w:r w:rsidRPr="006D6E09">
              <w:t xml:space="preserve">Malvern </w:t>
            </w:r>
            <w:proofErr w:type="spellStart"/>
            <w:r w:rsidRPr="006D6E09">
              <w:t>SprayTec</w:t>
            </w:r>
            <w:proofErr w:type="spellEnd"/>
            <w:r w:rsidRPr="006D6E09">
              <w:t xml:space="preserve"> Spectromete</w:t>
            </w:r>
            <w:r>
              <w:t>r, Distance nozzle to beam center: 3cm, Focal length: 200mm, Test time 200ms, Data recording rate: 1000Hz, Optical parameters: 1.34/0/1, Laser wave length: 670nm]</w:t>
            </w:r>
          </w:p>
          <w:p w14:paraId="5DC48891" w14:textId="77777777" w:rsidR="00C47639" w:rsidRDefault="00C47639" w:rsidP="00C47639">
            <w:pPr>
              <w:pStyle w:val="Standaard-Tabellen"/>
            </w:pPr>
          </w:p>
          <w:p w14:paraId="57B81DDB" w14:textId="77777777" w:rsidR="00C47639" w:rsidRDefault="00C47639" w:rsidP="00C47639">
            <w:pPr>
              <w:pStyle w:val="Standaard-Tabellen"/>
            </w:pPr>
            <w:r>
              <w:t>F</w:t>
            </w:r>
            <w:r w:rsidRPr="003041A4">
              <w:t>ra</w:t>
            </w:r>
            <w:r>
              <w:t>ction of particles &lt;10µm: ~1.5</w:t>
            </w:r>
            <w:r w:rsidRPr="003041A4">
              <w:t xml:space="preserve"> %</w:t>
            </w:r>
            <w:r>
              <w:t>.</w:t>
            </w:r>
          </w:p>
          <w:p w14:paraId="4D5E4C13" w14:textId="77777777" w:rsidR="00C47639" w:rsidRDefault="00C47639" w:rsidP="00C47639">
            <w:pPr>
              <w:pStyle w:val="Standaard-Tabellen"/>
            </w:pPr>
          </w:p>
          <w:p w14:paraId="359955DC" w14:textId="77777777" w:rsidR="00C47639" w:rsidRDefault="00C47639" w:rsidP="00C47639">
            <w:pPr>
              <w:pStyle w:val="Standaard-Tabellen"/>
            </w:pPr>
            <w:r>
              <w:t>R</w:t>
            </w:r>
            <w:r w:rsidRPr="003041A4">
              <w:t>ange (n=</w:t>
            </w:r>
            <w:r>
              <w:t>12</w:t>
            </w:r>
            <w:r w:rsidRPr="003041A4">
              <w:t>)</w:t>
            </w:r>
            <w:r>
              <w:t>:</w:t>
            </w:r>
            <w:r w:rsidRPr="003041A4">
              <w:t xml:space="preserve"> 0.</w:t>
            </w:r>
            <w:r>
              <w:t>9</w:t>
            </w:r>
            <w:r w:rsidRPr="003041A4">
              <w:t xml:space="preserve">8 </w:t>
            </w:r>
            <w:r>
              <w:t>–</w:t>
            </w:r>
            <w:r w:rsidRPr="003041A4">
              <w:t xml:space="preserve"> </w:t>
            </w:r>
            <w:r>
              <w:t>1.95%, with an average of 1.495 % &lt;10</w:t>
            </w:r>
            <w:r w:rsidRPr="003041A4">
              <w:t xml:space="preserve"> microns.</w:t>
            </w:r>
          </w:p>
          <w:p w14:paraId="567FB469" w14:textId="77777777" w:rsidR="00C47639" w:rsidRDefault="00C47639" w:rsidP="00C47639">
            <w:pPr>
              <w:pStyle w:val="Standaard-Tabellen"/>
            </w:pPr>
          </w:p>
          <w:p w14:paraId="7C38F1AA" w14:textId="77777777" w:rsidR="00C47639" w:rsidRPr="00C25499" w:rsidRDefault="00C47639" w:rsidP="00C47639">
            <w:pPr>
              <w:pStyle w:val="Standaard-Tabellen"/>
            </w:pPr>
            <w:r>
              <w:t>[</w:t>
            </w:r>
            <w:r w:rsidRPr="006D6E09">
              <w:t xml:space="preserve">Malvern </w:t>
            </w:r>
            <w:proofErr w:type="spellStart"/>
            <w:r w:rsidRPr="006D6E09">
              <w:t>SprayTec</w:t>
            </w:r>
            <w:proofErr w:type="spellEnd"/>
            <w:r w:rsidRPr="006D6E09">
              <w:t xml:space="preserve"> Spectromete</w:t>
            </w:r>
            <w:r>
              <w:t>r, Focal length: 300mm, Test time 400ms, Data recording rate: 2.5kHz, Laser wave length: 632.8nm]</w:t>
            </w:r>
          </w:p>
        </w:tc>
        <w:tc>
          <w:tcPr>
            <w:tcW w:w="1044" w:type="pct"/>
          </w:tcPr>
          <w:p w14:paraId="2F9BF893" w14:textId="77777777" w:rsidR="00C47639" w:rsidRDefault="00C47639" w:rsidP="00C47639">
            <w:pPr>
              <w:pStyle w:val="Standaard-Tabellen"/>
            </w:pPr>
            <w:r w:rsidRPr="00C25499">
              <w:lastRenderedPageBreak/>
              <w:t xml:space="preserve">Study no 2016_04_26, B. </w:t>
            </w:r>
            <w:proofErr w:type="spellStart"/>
            <w:r w:rsidRPr="00C25499">
              <w:t>Batz</w:t>
            </w:r>
            <w:proofErr w:type="spellEnd"/>
            <w:r w:rsidRPr="00C25499">
              <w:t>, 2016</w:t>
            </w:r>
          </w:p>
          <w:p w14:paraId="0D9BF5F3" w14:textId="77777777" w:rsidR="00C47639" w:rsidRDefault="00C47639" w:rsidP="00C47639">
            <w:pPr>
              <w:pStyle w:val="Standaard-Tabellen"/>
            </w:pPr>
          </w:p>
          <w:p w14:paraId="333716E3" w14:textId="77777777" w:rsidR="00C47639" w:rsidRPr="00C25499" w:rsidRDefault="00C47639" w:rsidP="00C47639">
            <w:pPr>
              <w:pStyle w:val="Standaard-Tabellen"/>
            </w:pPr>
          </w:p>
        </w:tc>
      </w:tr>
      <w:tr w:rsidR="00C47639" w:rsidRPr="00C25499" w14:paraId="6C92293E" w14:textId="77777777" w:rsidTr="00C47639">
        <w:tc>
          <w:tcPr>
            <w:tcW w:w="1540" w:type="pct"/>
          </w:tcPr>
          <w:p w14:paraId="39EDC0E4" w14:textId="77777777" w:rsidR="00C47639" w:rsidRPr="00C25499" w:rsidRDefault="00C47639" w:rsidP="00C47639">
            <w:pPr>
              <w:pStyle w:val="Standaard-Tabellen"/>
            </w:pPr>
            <w:r w:rsidRPr="00C25499">
              <w:t>Physical compatibility</w:t>
            </w:r>
          </w:p>
        </w:tc>
        <w:tc>
          <w:tcPr>
            <w:tcW w:w="724" w:type="pct"/>
          </w:tcPr>
          <w:p w14:paraId="710DB814" w14:textId="77777777" w:rsidR="00C47639" w:rsidRPr="00C25499" w:rsidRDefault="00C47639" w:rsidP="00C47639">
            <w:pPr>
              <w:pStyle w:val="Standaard-Tabellen"/>
            </w:pPr>
            <w:r w:rsidRPr="00C25499">
              <w:t xml:space="preserve">Waived  </w:t>
            </w:r>
          </w:p>
        </w:tc>
        <w:tc>
          <w:tcPr>
            <w:tcW w:w="639" w:type="pct"/>
          </w:tcPr>
          <w:p w14:paraId="365BBB85" w14:textId="77777777" w:rsidR="00C47639" w:rsidRPr="00C25499" w:rsidRDefault="00C47639" w:rsidP="00C47639">
            <w:pPr>
              <w:pStyle w:val="Standaard-Tabellen"/>
            </w:pPr>
            <w:r w:rsidRPr="00C25499">
              <w:t>-</w:t>
            </w:r>
          </w:p>
        </w:tc>
        <w:tc>
          <w:tcPr>
            <w:tcW w:w="1053" w:type="pct"/>
          </w:tcPr>
          <w:p w14:paraId="7835B8A7" w14:textId="77777777" w:rsidR="00C47639" w:rsidRPr="00C25499" w:rsidRDefault="00C47639" w:rsidP="00C47639">
            <w:pPr>
              <w:pStyle w:val="Standaard-Tabellen"/>
            </w:pPr>
            <w:r w:rsidRPr="00C25499">
              <w:t>the product is not intended to be used in com</w:t>
            </w:r>
            <w:r>
              <w:t>b</w:t>
            </w:r>
            <w:r w:rsidRPr="00C25499">
              <w:t>ination with other products</w:t>
            </w:r>
          </w:p>
        </w:tc>
        <w:tc>
          <w:tcPr>
            <w:tcW w:w="1044" w:type="pct"/>
          </w:tcPr>
          <w:p w14:paraId="3FF9C89E" w14:textId="77777777" w:rsidR="00C47639" w:rsidRPr="00C25499" w:rsidRDefault="00C47639" w:rsidP="00C47639">
            <w:pPr>
              <w:pStyle w:val="Standaard-Tabellen"/>
            </w:pPr>
            <w:r w:rsidRPr="00C25499">
              <w:t>-</w:t>
            </w:r>
          </w:p>
        </w:tc>
      </w:tr>
      <w:tr w:rsidR="00C47639" w:rsidRPr="00C25499" w14:paraId="26818B3D" w14:textId="77777777" w:rsidTr="00C47639">
        <w:tc>
          <w:tcPr>
            <w:tcW w:w="1540" w:type="pct"/>
          </w:tcPr>
          <w:p w14:paraId="3E45132E" w14:textId="77777777" w:rsidR="00C47639" w:rsidRPr="00C25499" w:rsidRDefault="00C47639" w:rsidP="00C47639">
            <w:pPr>
              <w:pStyle w:val="Standaard-Tabellen"/>
            </w:pPr>
            <w:r w:rsidRPr="00C25499">
              <w:lastRenderedPageBreak/>
              <w:t>Chemical compatibility</w:t>
            </w:r>
          </w:p>
        </w:tc>
        <w:tc>
          <w:tcPr>
            <w:tcW w:w="724" w:type="pct"/>
          </w:tcPr>
          <w:p w14:paraId="7AFD95A9" w14:textId="77777777" w:rsidR="00C47639" w:rsidRPr="00C25499" w:rsidRDefault="00C47639" w:rsidP="00C47639">
            <w:pPr>
              <w:pStyle w:val="Standaard-Tabellen"/>
            </w:pPr>
            <w:r w:rsidRPr="00C25499">
              <w:t xml:space="preserve">Waived  </w:t>
            </w:r>
          </w:p>
        </w:tc>
        <w:tc>
          <w:tcPr>
            <w:tcW w:w="639" w:type="pct"/>
          </w:tcPr>
          <w:p w14:paraId="6D637F4F" w14:textId="77777777" w:rsidR="00C47639" w:rsidRPr="00C25499" w:rsidRDefault="00C47639" w:rsidP="00C47639">
            <w:pPr>
              <w:pStyle w:val="Standaard-Tabellen"/>
            </w:pPr>
            <w:r w:rsidRPr="00C25499">
              <w:t>-</w:t>
            </w:r>
          </w:p>
        </w:tc>
        <w:tc>
          <w:tcPr>
            <w:tcW w:w="1053" w:type="pct"/>
          </w:tcPr>
          <w:p w14:paraId="1D17F0EA" w14:textId="77777777" w:rsidR="00C47639" w:rsidRPr="00C25499" w:rsidRDefault="00C47639" w:rsidP="00C47639">
            <w:pPr>
              <w:pStyle w:val="Standaard-Tabellen"/>
            </w:pPr>
            <w:r w:rsidRPr="00C25499">
              <w:t>the product is not intended to be used in com</w:t>
            </w:r>
            <w:r>
              <w:t>b</w:t>
            </w:r>
            <w:r w:rsidRPr="00C25499">
              <w:t>ination with other products</w:t>
            </w:r>
          </w:p>
        </w:tc>
        <w:tc>
          <w:tcPr>
            <w:tcW w:w="1044" w:type="pct"/>
          </w:tcPr>
          <w:p w14:paraId="3A81F42F" w14:textId="77777777" w:rsidR="00C47639" w:rsidRPr="00C25499" w:rsidRDefault="00C47639" w:rsidP="00C47639">
            <w:pPr>
              <w:pStyle w:val="Standaard-Tabellen"/>
            </w:pPr>
            <w:r w:rsidRPr="00C25499">
              <w:t>-</w:t>
            </w:r>
          </w:p>
        </w:tc>
      </w:tr>
      <w:tr w:rsidR="00C47639" w:rsidRPr="00C25499" w14:paraId="2ECCD780" w14:textId="77777777" w:rsidTr="00C47639">
        <w:tc>
          <w:tcPr>
            <w:tcW w:w="1540" w:type="pct"/>
          </w:tcPr>
          <w:p w14:paraId="52C766AB" w14:textId="77777777" w:rsidR="00C47639" w:rsidRPr="00C25499" w:rsidRDefault="00C47639" w:rsidP="00C47639">
            <w:pPr>
              <w:pStyle w:val="Standaard-Tabellen"/>
            </w:pPr>
            <w:r w:rsidRPr="00C25499">
              <w:t>Degree of dissolution and dilution stability</w:t>
            </w:r>
          </w:p>
        </w:tc>
        <w:tc>
          <w:tcPr>
            <w:tcW w:w="724" w:type="pct"/>
          </w:tcPr>
          <w:p w14:paraId="46BAA136" w14:textId="77777777" w:rsidR="00C47639" w:rsidRPr="00C25499" w:rsidRDefault="00C47639" w:rsidP="00C47639">
            <w:pPr>
              <w:pStyle w:val="Standaard-Tabellen"/>
            </w:pPr>
            <w:r w:rsidRPr="00C25499">
              <w:t xml:space="preserve">Waived  </w:t>
            </w:r>
          </w:p>
        </w:tc>
        <w:tc>
          <w:tcPr>
            <w:tcW w:w="639" w:type="pct"/>
          </w:tcPr>
          <w:p w14:paraId="00C76E76" w14:textId="77777777" w:rsidR="00C47639" w:rsidRPr="00C25499" w:rsidRDefault="00C47639" w:rsidP="00C47639">
            <w:pPr>
              <w:pStyle w:val="Standaard-Tabellen"/>
            </w:pPr>
            <w:r w:rsidRPr="00C25499">
              <w:t>-</w:t>
            </w:r>
          </w:p>
        </w:tc>
        <w:tc>
          <w:tcPr>
            <w:tcW w:w="1053" w:type="pct"/>
          </w:tcPr>
          <w:p w14:paraId="7DE5502C" w14:textId="77777777" w:rsidR="00C47639" w:rsidRPr="00C25499" w:rsidRDefault="00C47639" w:rsidP="00C47639">
            <w:pPr>
              <w:pStyle w:val="Standaard-Tabellen"/>
            </w:pPr>
            <w:r w:rsidRPr="00C25499">
              <w:t>the product is not a tablet and is not intended to be diluted</w:t>
            </w:r>
          </w:p>
        </w:tc>
        <w:tc>
          <w:tcPr>
            <w:tcW w:w="1044" w:type="pct"/>
          </w:tcPr>
          <w:p w14:paraId="6141A7BD" w14:textId="77777777" w:rsidR="00C47639" w:rsidRPr="00C25499" w:rsidRDefault="00C47639" w:rsidP="00C47639">
            <w:pPr>
              <w:pStyle w:val="Standaard-Tabellen"/>
            </w:pPr>
            <w:r w:rsidRPr="00C25499">
              <w:t>-</w:t>
            </w:r>
          </w:p>
        </w:tc>
      </w:tr>
      <w:tr w:rsidR="00C47639" w:rsidRPr="00C25499" w14:paraId="226C13E6" w14:textId="77777777" w:rsidTr="00C47639">
        <w:tc>
          <w:tcPr>
            <w:tcW w:w="1540" w:type="pct"/>
          </w:tcPr>
          <w:p w14:paraId="03741B2D" w14:textId="77777777" w:rsidR="00C47639" w:rsidRPr="00C25499" w:rsidRDefault="00C47639" w:rsidP="00C47639">
            <w:pPr>
              <w:pStyle w:val="Standaard-Tabellen"/>
            </w:pPr>
            <w:r w:rsidRPr="00C25499">
              <w:t>Surface tension</w:t>
            </w:r>
          </w:p>
        </w:tc>
        <w:tc>
          <w:tcPr>
            <w:tcW w:w="724" w:type="pct"/>
          </w:tcPr>
          <w:p w14:paraId="18434060" w14:textId="77777777" w:rsidR="00C47639" w:rsidRPr="00C25499" w:rsidRDefault="00C47639" w:rsidP="00C47639">
            <w:pPr>
              <w:pStyle w:val="Standaard-Tabellen"/>
            </w:pPr>
            <w:r w:rsidRPr="00C25499">
              <w:t>OECD 115</w:t>
            </w:r>
          </w:p>
        </w:tc>
        <w:tc>
          <w:tcPr>
            <w:tcW w:w="639" w:type="pct"/>
          </w:tcPr>
          <w:p w14:paraId="67097119" w14:textId="77777777" w:rsidR="00C47639" w:rsidRPr="00C25499" w:rsidRDefault="00C47639" w:rsidP="00C47639">
            <w:pPr>
              <w:pStyle w:val="Standaard-Tabellen"/>
            </w:pPr>
            <w:r>
              <w:t>Insect Repellent Pump Spray IR3535</w:t>
            </w:r>
            <w:r w:rsidRPr="00033493">
              <w:rPr>
                <w:vertAlign w:val="superscript"/>
              </w:rPr>
              <w:t>®</w:t>
            </w:r>
            <w:r>
              <w:t xml:space="preserve"> 20%</w:t>
            </w:r>
          </w:p>
        </w:tc>
        <w:tc>
          <w:tcPr>
            <w:tcW w:w="1053" w:type="pct"/>
          </w:tcPr>
          <w:p w14:paraId="7044BE32" w14:textId="77777777" w:rsidR="00C47639" w:rsidRPr="00C25499" w:rsidRDefault="00C47639" w:rsidP="00C47639">
            <w:pPr>
              <w:pStyle w:val="Standaard-Tabellen"/>
            </w:pPr>
            <w:r w:rsidRPr="00C25499">
              <w:t xml:space="preserve">Surface tension </w:t>
            </w:r>
            <w:r>
              <w:t xml:space="preserve">of undiluted product </w:t>
            </w:r>
            <w:r w:rsidRPr="00C25499">
              <w:t xml:space="preserve">= 29.581 </w:t>
            </w:r>
            <w:proofErr w:type="spellStart"/>
            <w:r w:rsidRPr="00C25499">
              <w:t>mN</w:t>
            </w:r>
            <w:proofErr w:type="spellEnd"/>
            <w:r w:rsidRPr="00C25499">
              <w:t>/m (at 20°C)</w:t>
            </w:r>
          </w:p>
        </w:tc>
        <w:tc>
          <w:tcPr>
            <w:tcW w:w="1044" w:type="pct"/>
          </w:tcPr>
          <w:p w14:paraId="18417682" w14:textId="77777777" w:rsidR="00C47639" w:rsidRPr="00C25499" w:rsidRDefault="00C47639" w:rsidP="00C47639">
            <w:pPr>
              <w:pStyle w:val="Standaard-Tabellen"/>
            </w:pPr>
            <w:r w:rsidRPr="00C25499">
              <w:t xml:space="preserve">Study no 009093, J. </w:t>
            </w:r>
            <w:proofErr w:type="spellStart"/>
            <w:r w:rsidRPr="00C25499">
              <w:t>zur</w:t>
            </w:r>
            <w:proofErr w:type="spellEnd"/>
            <w:r w:rsidRPr="00C25499">
              <w:t xml:space="preserve"> </w:t>
            </w:r>
            <w:proofErr w:type="spellStart"/>
            <w:r w:rsidRPr="00C25499">
              <w:t>Lage</w:t>
            </w:r>
            <w:proofErr w:type="spellEnd"/>
            <w:r w:rsidRPr="00C25499">
              <w:t>, 2016</w:t>
            </w:r>
          </w:p>
        </w:tc>
      </w:tr>
      <w:tr w:rsidR="00C47639" w:rsidRPr="00C25499" w14:paraId="1497143C" w14:textId="77777777" w:rsidTr="00C47639">
        <w:tc>
          <w:tcPr>
            <w:tcW w:w="1540" w:type="pct"/>
          </w:tcPr>
          <w:p w14:paraId="27441AA6" w14:textId="77777777" w:rsidR="00C47639" w:rsidRPr="00C25499" w:rsidRDefault="00C47639" w:rsidP="00C47639">
            <w:pPr>
              <w:pStyle w:val="Standaard-Tabellen"/>
            </w:pPr>
            <w:r w:rsidRPr="00C25499">
              <w:t>Viscosity</w:t>
            </w:r>
          </w:p>
        </w:tc>
        <w:tc>
          <w:tcPr>
            <w:tcW w:w="724" w:type="pct"/>
          </w:tcPr>
          <w:p w14:paraId="7ABF1FB4" w14:textId="77777777" w:rsidR="00C47639" w:rsidRPr="00C25499" w:rsidRDefault="00C47639" w:rsidP="00C47639">
            <w:pPr>
              <w:pStyle w:val="Standaard-Tabellen"/>
            </w:pPr>
            <w:r w:rsidRPr="00C25499">
              <w:t xml:space="preserve">OECD 114 (rotational </w:t>
            </w:r>
            <w:proofErr w:type="spellStart"/>
            <w:r w:rsidRPr="00C25499">
              <w:t>viscosimeter</w:t>
            </w:r>
            <w:proofErr w:type="spellEnd"/>
            <w:r w:rsidRPr="00C25499">
              <w:t>)</w:t>
            </w:r>
          </w:p>
        </w:tc>
        <w:tc>
          <w:tcPr>
            <w:tcW w:w="639" w:type="pct"/>
          </w:tcPr>
          <w:p w14:paraId="11302E96" w14:textId="77777777" w:rsidR="00C47639" w:rsidRPr="00C25499" w:rsidRDefault="00C47639" w:rsidP="00C47639">
            <w:pPr>
              <w:pStyle w:val="Standaard-Tabellen"/>
            </w:pPr>
            <w:r>
              <w:t>Insect Repellent Pump Spray IR3535</w:t>
            </w:r>
            <w:r w:rsidRPr="00033493">
              <w:rPr>
                <w:vertAlign w:val="superscript"/>
              </w:rPr>
              <w:t>®</w:t>
            </w:r>
            <w:r>
              <w:t xml:space="preserve"> 20%</w:t>
            </w:r>
          </w:p>
        </w:tc>
        <w:tc>
          <w:tcPr>
            <w:tcW w:w="1053" w:type="pct"/>
          </w:tcPr>
          <w:p w14:paraId="0077DD14" w14:textId="77777777" w:rsidR="00C47639" w:rsidRPr="00C25499" w:rsidRDefault="00C47639" w:rsidP="00C47639">
            <w:pPr>
              <w:pStyle w:val="Standaard-Tabellen"/>
            </w:pPr>
            <w:r w:rsidRPr="00C25499">
              <w:t>Viscosity (20°C)</w:t>
            </w:r>
          </w:p>
          <w:p w14:paraId="1168FEAB" w14:textId="77777777" w:rsidR="00C47639" w:rsidRPr="00C25499" w:rsidRDefault="00C47639" w:rsidP="00C47639">
            <w:pPr>
              <w:pStyle w:val="Standaard-Tabellen"/>
            </w:pPr>
            <w:r w:rsidRPr="00C25499">
              <w:t xml:space="preserve"> = 6.8 </w:t>
            </w:r>
            <w:proofErr w:type="spellStart"/>
            <w:r w:rsidRPr="00C25499">
              <w:t>mPa.s</w:t>
            </w:r>
            <w:proofErr w:type="spellEnd"/>
            <w:r w:rsidRPr="00C25499">
              <w:t xml:space="preserve"> </w:t>
            </w:r>
          </w:p>
          <w:p w14:paraId="03FE94A8" w14:textId="77777777" w:rsidR="00C47639" w:rsidRPr="00C25499" w:rsidRDefault="00C47639" w:rsidP="00C47639">
            <w:pPr>
              <w:pStyle w:val="Standaard-Tabellen"/>
            </w:pPr>
          </w:p>
          <w:p w14:paraId="5899A84A" w14:textId="77777777" w:rsidR="00C47639" w:rsidRPr="00C25499" w:rsidRDefault="00C47639" w:rsidP="00C47639">
            <w:pPr>
              <w:pStyle w:val="Standaard-Tabellen"/>
            </w:pPr>
            <w:r w:rsidRPr="00C25499">
              <w:t>Viscosity(40°C)</w:t>
            </w:r>
          </w:p>
          <w:p w14:paraId="19DA0A5F" w14:textId="77777777" w:rsidR="00C47639" w:rsidRPr="00C25499" w:rsidRDefault="00C47639" w:rsidP="00C47639">
            <w:pPr>
              <w:pStyle w:val="Standaard-Tabellen"/>
            </w:pPr>
            <w:r w:rsidRPr="00C25499">
              <w:t xml:space="preserve"> = 3.46 </w:t>
            </w:r>
            <w:proofErr w:type="spellStart"/>
            <w:r w:rsidRPr="00C25499">
              <w:t>mPa.s</w:t>
            </w:r>
            <w:proofErr w:type="spellEnd"/>
            <w:r w:rsidRPr="00C25499">
              <w:t xml:space="preserve"> </w:t>
            </w:r>
          </w:p>
        </w:tc>
        <w:tc>
          <w:tcPr>
            <w:tcW w:w="1044" w:type="pct"/>
          </w:tcPr>
          <w:p w14:paraId="5CCC9475" w14:textId="77777777" w:rsidR="00C47639" w:rsidRPr="00C25499" w:rsidRDefault="00C47639" w:rsidP="00C47639">
            <w:pPr>
              <w:pStyle w:val="Standaard-Tabellen"/>
            </w:pPr>
            <w:r w:rsidRPr="00C25499">
              <w:t xml:space="preserve">Study no 009093, J. </w:t>
            </w:r>
            <w:proofErr w:type="spellStart"/>
            <w:r w:rsidRPr="00C25499">
              <w:t>zur</w:t>
            </w:r>
            <w:proofErr w:type="spellEnd"/>
            <w:r w:rsidRPr="00C25499">
              <w:t xml:space="preserve"> </w:t>
            </w:r>
            <w:proofErr w:type="spellStart"/>
            <w:r w:rsidRPr="00C25499">
              <w:t>Lage</w:t>
            </w:r>
            <w:proofErr w:type="spellEnd"/>
            <w:r w:rsidRPr="00C25499">
              <w:t>, 2016</w:t>
            </w:r>
          </w:p>
          <w:p w14:paraId="2F684451" w14:textId="77777777" w:rsidR="00C47639" w:rsidRPr="00C25499" w:rsidRDefault="00C47639" w:rsidP="00C47639">
            <w:pPr>
              <w:pStyle w:val="Standaard-Tabellen"/>
            </w:pPr>
          </w:p>
          <w:p w14:paraId="4E119BE9" w14:textId="77777777" w:rsidR="00C47639" w:rsidRPr="00C25499" w:rsidRDefault="00C47639" w:rsidP="00C47639">
            <w:pPr>
              <w:pStyle w:val="Standaard-Tabellen"/>
            </w:pPr>
            <w:r w:rsidRPr="00C25499">
              <w:t xml:space="preserve">Lab investigation 009093 – PM-PFC-RT, </w:t>
            </w:r>
            <w:proofErr w:type="spellStart"/>
            <w:r w:rsidRPr="00C25499">
              <w:t>zur</w:t>
            </w:r>
            <w:proofErr w:type="spellEnd"/>
            <w:r w:rsidRPr="00C25499">
              <w:t xml:space="preserve"> </w:t>
            </w:r>
            <w:proofErr w:type="spellStart"/>
            <w:r w:rsidRPr="00C25499">
              <w:t>Lage</w:t>
            </w:r>
            <w:proofErr w:type="spellEnd"/>
            <w:r w:rsidRPr="00C25499">
              <w:t xml:space="preserve"> (04.07.2016) : IR3535_Ref Formulations Surface tension </w:t>
            </w:r>
            <w:proofErr w:type="spellStart"/>
            <w:r w:rsidRPr="00C25499">
              <w:t>Viscosity_reg.Aff</w:t>
            </w:r>
            <w:proofErr w:type="spellEnd"/>
          </w:p>
        </w:tc>
      </w:tr>
    </w:tbl>
    <w:p w14:paraId="02F00C6E"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C47639" w:rsidRPr="00BD2EF1" w14:paraId="44889F0D" w14:textId="77777777" w:rsidTr="00C47639">
        <w:tc>
          <w:tcPr>
            <w:tcW w:w="5000" w:type="pct"/>
            <w:tcBorders>
              <w:top w:val="single" w:sz="4" w:space="0" w:color="auto"/>
              <w:left w:val="single" w:sz="4" w:space="0" w:color="auto"/>
              <w:bottom w:val="single" w:sz="6" w:space="0" w:color="auto"/>
              <w:right w:val="single" w:sz="6" w:space="0" w:color="auto"/>
            </w:tcBorders>
            <w:shd w:val="clear" w:color="auto" w:fill="CCFFCC"/>
          </w:tcPr>
          <w:p w14:paraId="4E198824" w14:textId="77777777" w:rsidR="00C47639" w:rsidRPr="00E64B0A" w:rsidRDefault="00C47639" w:rsidP="00C47639">
            <w:pPr>
              <w:rPr>
                <w:b/>
                <w:bCs/>
              </w:rPr>
            </w:pPr>
            <w:r w:rsidRPr="00E64B0A">
              <w:rPr>
                <w:b/>
                <w:bCs/>
              </w:rPr>
              <w:t>Conclusion on the p</w:t>
            </w:r>
            <w:r w:rsidRPr="00E64B0A">
              <w:rPr>
                <w:b/>
              </w:rPr>
              <w:t>hysical, chemical and technical properties</w:t>
            </w:r>
            <w:r w:rsidRPr="00E64B0A">
              <w:rPr>
                <w:b/>
                <w:bCs/>
              </w:rPr>
              <w:t xml:space="preserve"> of the product</w:t>
            </w:r>
          </w:p>
        </w:tc>
      </w:tr>
      <w:tr w:rsidR="00C47639" w:rsidRPr="00BD2EF1" w14:paraId="71412429" w14:textId="77777777" w:rsidTr="00C476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84A9BA0" w14:textId="77777777" w:rsidR="00C47639" w:rsidRPr="00AE2C8C" w:rsidRDefault="00C47639" w:rsidP="00C47639">
            <w:pPr>
              <w:rPr>
                <w:rFonts w:ascii="Times New Roman" w:hAnsi="Times New Roman"/>
              </w:rPr>
            </w:pPr>
            <w:r>
              <w:t>The Insect Repellent Pump Spray IR3535</w:t>
            </w:r>
            <w:r w:rsidRPr="00AC0EA0">
              <w:rPr>
                <w:vertAlign w:val="superscript"/>
              </w:rPr>
              <w:t>®</w:t>
            </w:r>
            <w:r>
              <w:t xml:space="preserve"> 20% is a </w:t>
            </w:r>
            <w:proofErr w:type="spellStart"/>
            <w:r>
              <w:t>colourless</w:t>
            </w:r>
            <w:proofErr w:type="spellEnd"/>
            <w:r>
              <w:t xml:space="preserve"> clear liquid with characteristic mild slight alcoholic </w:t>
            </w:r>
            <w:proofErr w:type="spellStart"/>
            <w:r>
              <w:t>odour</w:t>
            </w:r>
            <w:proofErr w:type="spellEnd"/>
            <w:r>
              <w:t>. The pH of the undiluted ready-to-use product is between 4.4 and 5. The relative density is D</w:t>
            </w:r>
            <w:r w:rsidRPr="00325787">
              <w:rPr>
                <w:vertAlign w:val="subscript"/>
              </w:rPr>
              <w:t>4</w:t>
            </w:r>
            <w:r w:rsidRPr="00325787">
              <w:rPr>
                <w:vertAlign w:val="superscript"/>
              </w:rPr>
              <w:t>20</w:t>
            </w:r>
            <w:r>
              <w:t xml:space="preserve"> = 0.955. At ambient temperature the product has a long term stability for 18 months and is stable under cold and accelerated storage conditions. Light influence is avoided by using a lightproof packaging. There are no humidity effects expected in that closed package. The product should not be stored for prolonged times at temperatures &gt;40°C. At 20°C the surface tension is 29.581 </w:t>
            </w:r>
            <w:proofErr w:type="spellStart"/>
            <w:r>
              <w:t>mN</w:t>
            </w:r>
            <w:proofErr w:type="spellEnd"/>
            <w:r>
              <w:t xml:space="preserve">/m and the viscosity 6.8 </w:t>
            </w:r>
            <w:proofErr w:type="spellStart"/>
            <w:r>
              <w:t>mPa.s</w:t>
            </w:r>
            <w:proofErr w:type="spellEnd"/>
            <w:r>
              <w:t xml:space="preserve">. At 40°C the viscosity is 3.46 </w:t>
            </w:r>
            <w:proofErr w:type="spellStart"/>
            <w:r>
              <w:t>mPa.s</w:t>
            </w:r>
            <w:proofErr w:type="spellEnd"/>
            <w:r>
              <w:t>. Physical and chemical compatibility with other products are not relevant.</w:t>
            </w:r>
          </w:p>
        </w:tc>
      </w:tr>
    </w:tbl>
    <w:p w14:paraId="6B152D55" w14:textId="14FA15C1" w:rsidR="00C47639" w:rsidRDefault="00C47639" w:rsidP="00C47639"/>
    <w:p w14:paraId="59215AAA" w14:textId="26161D0F" w:rsidR="00701863" w:rsidRPr="00827818" w:rsidRDefault="00701863" w:rsidP="00701863">
      <w:pPr>
        <w:pStyle w:val="Paragraphedeliste"/>
        <w:numPr>
          <w:ilvl w:val="0"/>
          <w:numId w:val="37"/>
        </w:numPr>
        <w:rPr>
          <w:highlight w:val="lightGray"/>
        </w:rPr>
      </w:pPr>
      <w:r w:rsidRPr="00827818">
        <w:rPr>
          <w:b/>
          <w:highlight w:val="lightGray"/>
        </w:rPr>
        <w:t>MINOR CHANGE FOR APAISYL REPULSIF MOUSTIQUE LOTION – 2019 (FR CA)</w:t>
      </w:r>
    </w:p>
    <w:p w14:paraId="433C5395" w14:textId="7B0880C0" w:rsidR="00701863" w:rsidRPr="00827818" w:rsidRDefault="00701863" w:rsidP="00C47639">
      <w:pPr>
        <w:rPr>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gridCol w:w="1285"/>
        <w:gridCol w:w="1393"/>
        <w:gridCol w:w="6766"/>
        <w:gridCol w:w="1412"/>
      </w:tblGrid>
      <w:tr w:rsidR="00A80F2E" w:rsidRPr="00827818" w14:paraId="5ECFB344" w14:textId="77777777" w:rsidTr="00A80F2E">
        <w:tc>
          <w:tcPr>
            <w:tcW w:w="154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413C5" w14:textId="77777777" w:rsidR="00A80F2E" w:rsidRPr="00827818" w:rsidRDefault="00A80F2E" w:rsidP="00A80F2E">
            <w:pPr>
              <w:pStyle w:val="Standaard-Tabellen"/>
              <w:rPr>
                <w:b/>
                <w:highlight w:val="lightGray"/>
              </w:rPr>
            </w:pPr>
            <w:r w:rsidRPr="00827818">
              <w:rPr>
                <w:b/>
                <w:highlight w:val="lightGray"/>
              </w:rPr>
              <w:t>Property</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71FE4" w14:textId="77777777" w:rsidR="00A80F2E" w:rsidRPr="00827818" w:rsidRDefault="00A80F2E" w:rsidP="00A80F2E">
            <w:pPr>
              <w:pStyle w:val="Standaard-Tabellen"/>
              <w:rPr>
                <w:b/>
                <w:highlight w:val="lightGray"/>
              </w:rPr>
            </w:pPr>
            <w:r w:rsidRPr="00827818">
              <w:rPr>
                <w:b/>
                <w:highlight w:val="lightGray"/>
              </w:rPr>
              <w:t>Guideline  and Method</w:t>
            </w:r>
          </w:p>
        </w:tc>
        <w:tc>
          <w:tcPr>
            <w:tcW w:w="6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F57EF" w14:textId="77777777" w:rsidR="00A80F2E" w:rsidRPr="00827818" w:rsidRDefault="00A80F2E" w:rsidP="00A80F2E">
            <w:pPr>
              <w:pStyle w:val="Standaard-Tabellen"/>
              <w:rPr>
                <w:b/>
                <w:highlight w:val="lightGray"/>
              </w:rPr>
            </w:pPr>
            <w:r w:rsidRPr="00827818">
              <w:rPr>
                <w:b/>
                <w:highlight w:val="lightGray"/>
              </w:rPr>
              <w:t>Purity of the test substance (% (w/w)</w:t>
            </w:r>
          </w:p>
        </w:tc>
        <w:tc>
          <w:tcPr>
            <w:tcW w:w="105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AD17CF" w14:textId="77777777" w:rsidR="00A80F2E" w:rsidRPr="00827818" w:rsidRDefault="00A80F2E" w:rsidP="00A80F2E">
            <w:pPr>
              <w:pStyle w:val="Standaard-Tabellen"/>
              <w:rPr>
                <w:b/>
                <w:highlight w:val="lightGray"/>
              </w:rPr>
            </w:pPr>
            <w:r w:rsidRPr="00827818">
              <w:rPr>
                <w:b/>
                <w:highlight w:val="lightGray"/>
              </w:rPr>
              <w:t>Results</w:t>
            </w:r>
          </w:p>
        </w:tc>
        <w:tc>
          <w:tcPr>
            <w:tcW w:w="10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72B95" w14:textId="77777777" w:rsidR="00A80F2E" w:rsidRPr="00827818" w:rsidRDefault="00A80F2E" w:rsidP="00A80F2E">
            <w:pPr>
              <w:pStyle w:val="Standaard-Tabellen"/>
              <w:rPr>
                <w:b/>
                <w:highlight w:val="lightGray"/>
                <w:lang w:val="de-DE"/>
              </w:rPr>
            </w:pPr>
            <w:r w:rsidRPr="00827818">
              <w:rPr>
                <w:b/>
                <w:highlight w:val="lightGray"/>
                <w:lang w:val="de-DE"/>
              </w:rPr>
              <w:t>Reference</w:t>
            </w:r>
          </w:p>
        </w:tc>
      </w:tr>
      <w:tr w:rsidR="00A80F2E" w:rsidRPr="00827818" w14:paraId="42AC8CF3" w14:textId="77777777" w:rsidTr="009609F5">
        <w:tc>
          <w:tcPr>
            <w:tcW w:w="1540" w:type="pct"/>
            <w:shd w:val="clear" w:color="auto" w:fill="D9D9D9" w:themeFill="background1" w:themeFillShade="D9"/>
          </w:tcPr>
          <w:p w14:paraId="7A609CD9" w14:textId="77777777" w:rsidR="00A80F2E" w:rsidRPr="00827818" w:rsidRDefault="00A80F2E" w:rsidP="00A80F2E">
            <w:pPr>
              <w:pStyle w:val="Standaard-Tabellen"/>
              <w:rPr>
                <w:highlight w:val="lightGray"/>
              </w:rPr>
            </w:pPr>
            <w:r w:rsidRPr="00827818">
              <w:rPr>
                <w:highlight w:val="lightGray"/>
              </w:rPr>
              <w:lastRenderedPageBreak/>
              <w:t>Storage stability test – accelerated storage</w:t>
            </w:r>
          </w:p>
        </w:tc>
        <w:tc>
          <w:tcPr>
            <w:tcW w:w="724" w:type="pct"/>
            <w:shd w:val="clear" w:color="auto" w:fill="D9D9D9" w:themeFill="background1" w:themeFillShade="D9"/>
          </w:tcPr>
          <w:p w14:paraId="676E34EE" w14:textId="77777777" w:rsidR="00A80F2E" w:rsidRPr="00827818" w:rsidRDefault="00A80F2E" w:rsidP="00A80F2E">
            <w:pPr>
              <w:pStyle w:val="Standaard-Tabellen"/>
              <w:rPr>
                <w:highlight w:val="lightGray"/>
              </w:rPr>
            </w:pPr>
            <w:r w:rsidRPr="00827818">
              <w:rPr>
                <w:highlight w:val="lightGray"/>
              </w:rPr>
              <w:t>CIPAC MT 46.3, under GLP regulation – HPLC method and Organoleptic</w:t>
            </w:r>
          </w:p>
        </w:tc>
        <w:tc>
          <w:tcPr>
            <w:tcW w:w="639" w:type="pct"/>
            <w:shd w:val="clear" w:color="auto" w:fill="D9D9D9" w:themeFill="background1" w:themeFillShade="D9"/>
          </w:tcPr>
          <w:p w14:paraId="0E941421" w14:textId="204F324E" w:rsidR="00A80F2E" w:rsidRPr="00827818" w:rsidRDefault="00956C80" w:rsidP="00956C80">
            <w:pPr>
              <w:pStyle w:val="Standaard-Tabellen"/>
              <w:rPr>
                <w:highlight w:val="lightGray"/>
                <w:lang w:val="fr-FR"/>
              </w:rPr>
            </w:pPr>
            <w:r w:rsidRPr="00827818">
              <w:rPr>
                <w:highlight w:val="lightGray"/>
                <w:lang w:val="fr-FR"/>
              </w:rPr>
              <w:t>APAISYL Répulsif moustiques Lotion Protection quotidienne</w:t>
            </w:r>
            <w:r w:rsidR="004856EA" w:rsidRPr="00827818">
              <w:rPr>
                <w:highlight w:val="lightGray"/>
                <w:lang w:val="fr-FR"/>
              </w:rPr>
              <w:t xml:space="preserve"> (NCO018587)</w:t>
            </w:r>
          </w:p>
        </w:tc>
        <w:tc>
          <w:tcPr>
            <w:tcW w:w="1053" w:type="pct"/>
            <w:shd w:val="clear" w:color="auto" w:fill="D9D9D9" w:themeFill="background1" w:themeFillShade="D9"/>
          </w:tcPr>
          <w:tbl>
            <w:tblPr>
              <w:tblW w:w="6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2127"/>
              <w:gridCol w:w="2331"/>
            </w:tblGrid>
            <w:tr w:rsidR="00956C80" w:rsidRPr="00827818" w14:paraId="63DF311E" w14:textId="77777777" w:rsidTr="004856EA">
              <w:trPr>
                <w:tblHeader/>
                <w:tblCellSpacing w:w="0" w:type="dxa"/>
              </w:trPr>
              <w:tc>
                <w:tcPr>
                  <w:tcW w:w="2152" w:type="dxa"/>
                  <w:tcBorders>
                    <w:top w:val="outset" w:sz="6" w:space="0" w:color="auto"/>
                    <w:left w:val="outset" w:sz="6" w:space="0" w:color="auto"/>
                    <w:bottom w:val="outset" w:sz="6" w:space="0" w:color="auto"/>
                    <w:right w:val="outset" w:sz="6" w:space="0" w:color="auto"/>
                  </w:tcBorders>
                </w:tcPr>
                <w:p w14:paraId="3031D46F" w14:textId="5E4D72CB" w:rsidR="00956C80" w:rsidRPr="00827818" w:rsidRDefault="004856EA" w:rsidP="00956C80">
                  <w:pPr>
                    <w:spacing w:before="100" w:beforeAutospacing="1" w:after="100" w:afterAutospacing="1"/>
                    <w:rPr>
                      <w:b/>
                      <w:sz w:val="18"/>
                      <w:szCs w:val="18"/>
                      <w:highlight w:val="lightGray"/>
                      <w:lang w:val="en-GB" w:eastAsia="fr-FR"/>
                    </w:rPr>
                  </w:pPr>
                  <w:r w:rsidRPr="00827818">
                    <w:rPr>
                      <w:b/>
                      <w:sz w:val="18"/>
                      <w:szCs w:val="18"/>
                      <w:highlight w:val="lightGray"/>
                      <w:lang w:val="en-GB" w:eastAsia="fr-FR"/>
                    </w:rPr>
                    <w:t>Test</w:t>
                  </w:r>
                </w:p>
              </w:tc>
              <w:tc>
                <w:tcPr>
                  <w:tcW w:w="2127" w:type="dxa"/>
                  <w:tcBorders>
                    <w:top w:val="outset" w:sz="6" w:space="0" w:color="auto"/>
                    <w:left w:val="outset" w:sz="6" w:space="0" w:color="auto"/>
                    <w:bottom w:val="outset" w:sz="6" w:space="0" w:color="auto"/>
                    <w:right w:val="outset" w:sz="6" w:space="0" w:color="auto"/>
                  </w:tcBorders>
                  <w:vAlign w:val="center"/>
                </w:tcPr>
                <w:p w14:paraId="02AF67AA" w14:textId="76E2738C" w:rsidR="00956C80" w:rsidRPr="00827818" w:rsidRDefault="004856EA" w:rsidP="00956C80">
                  <w:pPr>
                    <w:spacing w:before="100" w:beforeAutospacing="1" w:after="100" w:afterAutospacing="1"/>
                    <w:rPr>
                      <w:b/>
                      <w:sz w:val="18"/>
                      <w:szCs w:val="18"/>
                      <w:highlight w:val="lightGray"/>
                      <w:lang w:val="fr-FR" w:eastAsia="fr-FR"/>
                    </w:rPr>
                  </w:pPr>
                  <w:r w:rsidRPr="00827818">
                    <w:rPr>
                      <w:b/>
                      <w:sz w:val="18"/>
                      <w:szCs w:val="18"/>
                      <w:highlight w:val="lightGray"/>
                      <w:lang w:val="fr-FR" w:eastAsia="fr-FR"/>
                    </w:rPr>
                    <w:t>At initial time</w:t>
                  </w:r>
                </w:p>
              </w:tc>
              <w:tc>
                <w:tcPr>
                  <w:tcW w:w="2331" w:type="dxa"/>
                  <w:tcBorders>
                    <w:top w:val="outset" w:sz="6" w:space="0" w:color="auto"/>
                    <w:left w:val="outset" w:sz="6" w:space="0" w:color="auto"/>
                    <w:bottom w:val="outset" w:sz="6" w:space="0" w:color="auto"/>
                    <w:right w:val="outset" w:sz="6" w:space="0" w:color="auto"/>
                  </w:tcBorders>
                  <w:vAlign w:val="center"/>
                </w:tcPr>
                <w:p w14:paraId="18A3ED9C" w14:textId="402CF199" w:rsidR="00956C80" w:rsidRPr="00827818" w:rsidRDefault="004856EA" w:rsidP="004856EA">
                  <w:pPr>
                    <w:spacing w:before="100" w:beforeAutospacing="1" w:after="100" w:afterAutospacing="1"/>
                    <w:rPr>
                      <w:b/>
                      <w:sz w:val="18"/>
                      <w:szCs w:val="18"/>
                      <w:highlight w:val="lightGray"/>
                      <w:lang w:eastAsia="fr-FR"/>
                    </w:rPr>
                  </w:pPr>
                  <w:r w:rsidRPr="00827818">
                    <w:rPr>
                      <w:b/>
                      <w:sz w:val="18"/>
                      <w:szCs w:val="18"/>
                      <w:highlight w:val="lightGray"/>
                      <w:lang w:eastAsia="fr-FR"/>
                    </w:rPr>
                    <w:t>After 24 months at 20°C</w:t>
                  </w:r>
                </w:p>
              </w:tc>
            </w:tr>
            <w:tr w:rsidR="004856EA" w:rsidRPr="00827818" w14:paraId="72FBD3BC"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tcPr>
                <w:p w14:paraId="64F8988D" w14:textId="7E43C7E8" w:rsidR="004856EA" w:rsidRPr="00827818" w:rsidRDefault="004856EA" w:rsidP="004856EA">
                  <w:pPr>
                    <w:spacing w:before="100" w:beforeAutospacing="1" w:after="100" w:afterAutospacing="1"/>
                    <w:rPr>
                      <w:b/>
                      <w:bCs/>
                      <w:sz w:val="18"/>
                      <w:szCs w:val="18"/>
                      <w:highlight w:val="lightGray"/>
                      <w:lang w:val="en-GB" w:eastAsia="fr-FR"/>
                    </w:rPr>
                  </w:pPr>
                  <w:r w:rsidRPr="00827818">
                    <w:rPr>
                      <w:b/>
                      <w:bCs/>
                      <w:sz w:val="18"/>
                      <w:szCs w:val="18"/>
                      <w:highlight w:val="lightGray"/>
                      <w:lang w:val="en-GB" w:eastAsia="fr-FR"/>
                    </w:rPr>
                    <w:t>Appearance of the commercial packaging</w:t>
                  </w:r>
                </w:p>
              </w:tc>
              <w:tc>
                <w:tcPr>
                  <w:tcW w:w="2127" w:type="dxa"/>
                  <w:tcBorders>
                    <w:top w:val="outset" w:sz="6" w:space="0" w:color="auto"/>
                    <w:left w:val="outset" w:sz="6" w:space="0" w:color="auto"/>
                    <w:bottom w:val="outset" w:sz="6" w:space="0" w:color="auto"/>
                    <w:right w:val="outset" w:sz="6" w:space="0" w:color="auto"/>
                  </w:tcBorders>
                  <w:vAlign w:val="center"/>
                </w:tcPr>
                <w:p w14:paraId="3001572E" w14:textId="09590C91"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White plastic bottles (HDPE)</w:t>
                  </w:r>
                </w:p>
              </w:tc>
              <w:tc>
                <w:tcPr>
                  <w:tcW w:w="2331" w:type="dxa"/>
                  <w:tcBorders>
                    <w:top w:val="outset" w:sz="6" w:space="0" w:color="auto"/>
                    <w:left w:val="outset" w:sz="6" w:space="0" w:color="auto"/>
                    <w:bottom w:val="outset" w:sz="6" w:space="0" w:color="auto"/>
                    <w:right w:val="outset" w:sz="6" w:space="0" w:color="auto"/>
                  </w:tcBorders>
                  <w:vAlign w:val="center"/>
                </w:tcPr>
                <w:p w14:paraId="3E7A4026" w14:textId="3843BEC3"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White plastic bottles (HDPE), no indication of corrosion or decomposition, no alteration of label</w:t>
                  </w:r>
                </w:p>
              </w:tc>
            </w:tr>
            <w:tr w:rsidR="004856EA" w:rsidRPr="00827818" w14:paraId="0B20833B"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046C35A0"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Appearance of the test item</w:t>
                  </w:r>
                </w:p>
              </w:tc>
              <w:tc>
                <w:tcPr>
                  <w:tcW w:w="2127" w:type="dxa"/>
                  <w:tcBorders>
                    <w:top w:val="outset" w:sz="6" w:space="0" w:color="auto"/>
                    <w:left w:val="outset" w:sz="6" w:space="0" w:color="auto"/>
                    <w:bottom w:val="outset" w:sz="6" w:space="0" w:color="auto"/>
                    <w:right w:val="outset" w:sz="6" w:space="0" w:color="auto"/>
                  </w:tcBorders>
                  <w:vAlign w:val="center"/>
                  <w:hideMark/>
                </w:tcPr>
                <w:p w14:paraId="4651F9EA"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Colourless liquid with characteristic odour</w:t>
                  </w:r>
                </w:p>
              </w:tc>
              <w:tc>
                <w:tcPr>
                  <w:tcW w:w="2331" w:type="dxa"/>
                  <w:tcBorders>
                    <w:top w:val="outset" w:sz="6" w:space="0" w:color="auto"/>
                    <w:left w:val="outset" w:sz="6" w:space="0" w:color="auto"/>
                    <w:bottom w:val="outset" w:sz="6" w:space="0" w:color="auto"/>
                    <w:right w:val="outset" w:sz="6" w:space="0" w:color="auto"/>
                  </w:tcBorders>
                  <w:vAlign w:val="center"/>
                  <w:hideMark/>
                </w:tcPr>
                <w:p w14:paraId="1BBF0B48"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Colourless liquid with characteristic odour</w:t>
                  </w:r>
                </w:p>
              </w:tc>
            </w:tr>
            <w:tr w:rsidR="004856EA" w:rsidRPr="00827818" w14:paraId="6114AD4C"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79571924"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Difference of weight of the commercial packaging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D6C6873" w14:textId="77777777" w:rsidR="004856EA" w:rsidRPr="00827818" w:rsidRDefault="004856EA" w:rsidP="004856EA">
                  <w:pPr>
                    <w:spacing w:before="100" w:beforeAutospacing="1" w:after="100" w:afterAutospacing="1"/>
                    <w:rPr>
                      <w:sz w:val="18"/>
                      <w:szCs w:val="18"/>
                      <w:highlight w:val="lightGray"/>
                      <w:lang w:val="fr-FR" w:eastAsia="fr-FR"/>
                    </w:rPr>
                  </w:pPr>
                  <w:r w:rsidRPr="00827818">
                    <w:rPr>
                      <w:sz w:val="18"/>
                      <w:szCs w:val="18"/>
                      <w:highlight w:val="lightGray"/>
                      <w:lang w:eastAsia="fr-FR"/>
                    </w:rPr>
                    <w:t>/</w:t>
                  </w:r>
                </w:p>
              </w:tc>
              <w:tc>
                <w:tcPr>
                  <w:tcW w:w="2331" w:type="dxa"/>
                  <w:tcBorders>
                    <w:top w:val="outset" w:sz="6" w:space="0" w:color="auto"/>
                    <w:left w:val="outset" w:sz="6" w:space="0" w:color="auto"/>
                    <w:bottom w:val="outset" w:sz="6" w:space="0" w:color="auto"/>
                    <w:right w:val="outset" w:sz="6" w:space="0" w:color="auto"/>
                  </w:tcBorders>
                  <w:vAlign w:val="center"/>
                  <w:hideMark/>
                </w:tcPr>
                <w:p w14:paraId="51DB31DC" w14:textId="7C554BF5"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- 0.29 %</w:t>
                  </w:r>
                </w:p>
              </w:tc>
            </w:tr>
            <w:tr w:rsidR="004856EA" w:rsidRPr="00827818" w14:paraId="6F8E8CBE"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7149176B"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Content of IR 3535®</w:t>
                  </w:r>
                </w:p>
                <w:p w14:paraId="1C1469C5" w14:textId="026219B6"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(g/L)</w:t>
                  </w:r>
                </w:p>
              </w:tc>
              <w:tc>
                <w:tcPr>
                  <w:tcW w:w="2127" w:type="dxa"/>
                  <w:tcBorders>
                    <w:top w:val="outset" w:sz="6" w:space="0" w:color="auto"/>
                    <w:left w:val="outset" w:sz="6" w:space="0" w:color="auto"/>
                    <w:bottom w:val="outset" w:sz="6" w:space="0" w:color="auto"/>
                    <w:right w:val="outset" w:sz="6" w:space="0" w:color="auto"/>
                  </w:tcBorders>
                  <w:vAlign w:val="center"/>
                  <w:hideMark/>
                </w:tcPr>
                <w:p w14:paraId="562A74D2" w14:textId="1D7979FA" w:rsidR="004856EA" w:rsidRPr="00827818" w:rsidRDefault="004856EA" w:rsidP="004856EA">
                  <w:pPr>
                    <w:spacing w:before="100" w:beforeAutospacing="1" w:after="100" w:afterAutospacing="1"/>
                    <w:rPr>
                      <w:sz w:val="18"/>
                      <w:szCs w:val="18"/>
                      <w:highlight w:val="lightGray"/>
                      <w:lang w:val="fr-FR" w:eastAsia="fr-FR"/>
                    </w:rPr>
                  </w:pPr>
                  <w:r w:rsidRPr="00827818">
                    <w:rPr>
                      <w:sz w:val="18"/>
                      <w:szCs w:val="18"/>
                      <w:highlight w:val="lightGray"/>
                      <w:lang w:eastAsia="fr-FR"/>
                    </w:rPr>
                    <w:t>185.5</w:t>
                  </w:r>
                </w:p>
              </w:tc>
              <w:tc>
                <w:tcPr>
                  <w:tcW w:w="2331" w:type="dxa"/>
                  <w:tcBorders>
                    <w:top w:val="outset" w:sz="6" w:space="0" w:color="auto"/>
                    <w:left w:val="outset" w:sz="6" w:space="0" w:color="auto"/>
                    <w:bottom w:val="outset" w:sz="6" w:space="0" w:color="auto"/>
                    <w:right w:val="outset" w:sz="6" w:space="0" w:color="auto"/>
                  </w:tcBorders>
                  <w:vAlign w:val="center"/>
                  <w:hideMark/>
                </w:tcPr>
                <w:p w14:paraId="32A142DB" w14:textId="3CC700E1"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 xml:space="preserve">187.2 (+ 0.92 % </w:t>
                  </w:r>
                  <w:r w:rsidRPr="00827818">
                    <w:rPr>
                      <w:i/>
                      <w:iCs/>
                      <w:sz w:val="18"/>
                      <w:szCs w:val="18"/>
                      <w:highlight w:val="lightGray"/>
                      <w:lang w:val="en-GB" w:eastAsia="fr-FR"/>
                    </w:rPr>
                    <w:t>vs.</w:t>
                  </w:r>
                  <w:r w:rsidR="00291155" w:rsidRPr="00827818">
                    <w:rPr>
                      <w:i/>
                      <w:iCs/>
                      <w:sz w:val="18"/>
                      <w:szCs w:val="18"/>
                      <w:highlight w:val="lightGray"/>
                      <w:lang w:val="en-GB" w:eastAsia="fr-FR"/>
                    </w:rPr>
                    <w:t xml:space="preserve"> </w:t>
                  </w:r>
                  <w:r w:rsidRPr="00827818">
                    <w:rPr>
                      <w:sz w:val="18"/>
                      <w:szCs w:val="18"/>
                      <w:highlight w:val="lightGray"/>
                      <w:lang w:val="en-GB" w:eastAsia="fr-FR"/>
                    </w:rPr>
                    <w:t>the value at initial time)</w:t>
                  </w:r>
                </w:p>
              </w:tc>
            </w:tr>
            <w:tr w:rsidR="004856EA" w:rsidRPr="00827818" w14:paraId="2F16506B"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4ABA5646"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pH of a 1% w/v suspension</w:t>
                  </w:r>
                </w:p>
              </w:tc>
              <w:tc>
                <w:tcPr>
                  <w:tcW w:w="2127" w:type="dxa"/>
                  <w:tcBorders>
                    <w:top w:val="outset" w:sz="6" w:space="0" w:color="auto"/>
                    <w:left w:val="outset" w:sz="6" w:space="0" w:color="auto"/>
                    <w:bottom w:val="outset" w:sz="6" w:space="0" w:color="auto"/>
                    <w:right w:val="outset" w:sz="6" w:space="0" w:color="auto"/>
                  </w:tcBorders>
                  <w:vAlign w:val="center"/>
                  <w:hideMark/>
                </w:tcPr>
                <w:p w14:paraId="698CA201" w14:textId="264C580C"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6.2 at 20°C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71A70276" w14:textId="11E1E467"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5.2 at 20°C</w:t>
                  </w:r>
                </w:p>
              </w:tc>
            </w:tr>
            <w:tr w:rsidR="004856EA" w:rsidRPr="00827818" w14:paraId="68562530"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0617F3EA" w14:textId="77777777" w:rsidR="004856EA" w:rsidRPr="00827818" w:rsidRDefault="004856EA" w:rsidP="004856EA">
                  <w:pPr>
                    <w:spacing w:before="100" w:beforeAutospacing="1" w:after="100" w:afterAutospacing="1"/>
                    <w:rPr>
                      <w:sz w:val="18"/>
                      <w:szCs w:val="18"/>
                      <w:highlight w:val="lightGray"/>
                      <w:lang w:eastAsia="fr-FR"/>
                    </w:rPr>
                  </w:pPr>
                  <w:r w:rsidRPr="00827818">
                    <w:rPr>
                      <w:b/>
                      <w:bCs/>
                      <w:sz w:val="18"/>
                      <w:szCs w:val="18"/>
                      <w:highlight w:val="lightGray"/>
                      <w:lang w:eastAsia="fr-FR"/>
                    </w:rPr>
                    <w:t>pH (undiluted)</w:t>
                  </w:r>
                </w:p>
              </w:tc>
              <w:tc>
                <w:tcPr>
                  <w:tcW w:w="2127" w:type="dxa"/>
                  <w:tcBorders>
                    <w:top w:val="outset" w:sz="6" w:space="0" w:color="auto"/>
                    <w:left w:val="outset" w:sz="6" w:space="0" w:color="auto"/>
                    <w:bottom w:val="outset" w:sz="6" w:space="0" w:color="auto"/>
                    <w:right w:val="outset" w:sz="6" w:space="0" w:color="auto"/>
                  </w:tcBorders>
                  <w:vAlign w:val="center"/>
                  <w:hideMark/>
                </w:tcPr>
                <w:p w14:paraId="5FF4FFB8" w14:textId="0EA9AD42"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6.2 at 20°C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730A2C65" w14:textId="7EC53C0D"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5.4 at 20°C</w:t>
                  </w:r>
                </w:p>
              </w:tc>
            </w:tr>
            <w:tr w:rsidR="004856EA" w:rsidRPr="00827818" w14:paraId="66B3E846" w14:textId="77777777" w:rsidTr="00956C80">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4BDD7E13" w14:textId="77777777" w:rsidR="004856EA" w:rsidRPr="00827818" w:rsidRDefault="004856EA" w:rsidP="004856EA">
                  <w:pPr>
                    <w:spacing w:before="100" w:beforeAutospacing="1" w:after="100" w:afterAutospacing="1"/>
                    <w:rPr>
                      <w:sz w:val="18"/>
                      <w:szCs w:val="18"/>
                      <w:highlight w:val="lightGray"/>
                      <w:lang w:eastAsia="fr-FR"/>
                    </w:rPr>
                  </w:pPr>
                  <w:r w:rsidRPr="00827818">
                    <w:rPr>
                      <w:b/>
                      <w:bCs/>
                      <w:sz w:val="18"/>
                      <w:szCs w:val="18"/>
                      <w:highlight w:val="lightGray"/>
                      <w:lang w:eastAsia="fr-FR"/>
                    </w:rPr>
                    <w:t>Viscosity (capillary viscometer)</w:t>
                  </w:r>
                </w:p>
              </w:tc>
              <w:tc>
                <w:tcPr>
                  <w:tcW w:w="2127" w:type="dxa"/>
                  <w:tcBorders>
                    <w:top w:val="outset" w:sz="6" w:space="0" w:color="auto"/>
                    <w:left w:val="outset" w:sz="6" w:space="0" w:color="auto"/>
                    <w:bottom w:val="outset" w:sz="6" w:space="0" w:color="auto"/>
                    <w:right w:val="outset" w:sz="6" w:space="0" w:color="auto"/>
                  </w:tcBorders>
                  <w:vAlign w:val="center"/>
                  <w:hideMark/>
                </w:tcPr>
                <w:p w14:paraId="0B3A7E5D"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7.63 mm²/s at 20°C</w:t>
                  </w:r>
                </w:p>
                <w:p w14:paraId="5E0E78FF"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4.04 mm²/s at 40°C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09846C91" w14:textId="73BDCDD6"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7.67 mm²/s at 20°C</w:t>
                  </w:r>
                </w:p>
                <w:p w14:paraId="3845BEC2" w14:textId="3028A532"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4.25 mm²/s at 40°C</w:t>
                  </w:r>
                </w:p>
              </w:tc>
            </w:tr>
          </w:tbl>
          <w:p w14:paraId="6E4263F3" w14:textId="77777777" w:rsidR="00A80F2E" w:rsidRPr="00827818" w:rsidRDefault="00A80F2E" w:rsidP="00A80F2E">
            <w:pPr>
              <w:pStyle w:val="Standaard-Tabellen"/>
              <w:rPr>
                <w:szCs w:val="18"/>
                <w:highlight w:val="lightGray"/>
              </w:rPr>
            </w:pPr>
          </w:p>
        </w:tc>
        <w:tc>
          <w:tcPr>
            <w:tcW w:w="1044" w:type="pct"/>
            <w:shd w:val="clear" w:color="auto" w:fill="D9D9D9" w:themeFill="background1" w:themeFillShade="D9"/>
          </w:tcPr>
          <w:p w14:paraId="0401587E" w14:textId="27FA5DF7" w:rsidR="00A80F2E" w:rsidRPr="00827818" w:rsidRDefault="00A80F2E" w:rsidP="00956C80">
            <w:pPr>
              <w:pStyle w:val="Standaard-Tabellen"/>
              <w:rPr>
                <w:highlight w:val="lightGray"/>
                <w:lang w:val="de-DE"/>
              </w:rPr>
            </w:pPr>
            <w:r w:rsidRPr="00827818">
              <w:rPr>
                <w:highlight w:val="lightGray"/>
                <w:lang w:val="de-DE"/>
              </w:rPr>
              <w:t>Study n° 120012204</w:t>
            </w:r>
            <w:r w:rsidR="00956C80" w:rsidRPr="00827818">
              <w:rPr>
                <w:highlight w:val="lightGray"/>
                <w:lang w:val="de-DE"/>
              </w:rPr>
              <w:t>, Fieseler, A., 2018</w:t>
            </w:r>
            <w:r w:rsidRPr="00827818">
              <w:rPr>
                <w:highlight w:val="lightGray"/>
                <w:lang w:val="de-DE"/>
              </w:rPr>
              <w:t>. Institut für Biologische Analytik und Consulting IBACON GmbH</w:t>
            </w:r>
          </w:p>
        </w:tc>
      </w:tr>
      <w:tr w:rsidR="00A80F2E" w:rsidRPr="00827818" w14:paraId="026E59AD" w14:textId="77777777" w:rsidTr="009609F5">
        <w:tc>
          <w:tcPr>
            <w:tcW w:w="1540" w:type="pct"/>
            <w:shd w:val="clear" w:color="auto" w:fill="D9D9D9" w:themeFill="background1" w:themeFillShade="D9"/>
          </w:tcPr>
          <w:p w14:paraId="70A82270" w14:textId="77777777" w:rsidR="00A80F2E" w:rsidRPr="00827818" w:rsidRDefault="00A80F2E" w:rsidP="00A80F2E">
            <w:pPr>
              <w:pStyle w:val="Standaard-Tabellen"/>
              <w:rPr>
                <w:highlight w:val="lightGray"/>
              </w:rPr>
            </w:pPr>
            <w:r w:rsidRPr="00827818">
              <w:rPr>
                <w:highlight w:val="lightGray"/>
              </w:rPr>
              <w:t>Storage stability test – long term storage at ambient temperature</w:t>
            </w:r>
          </w:p>
        </w:tc>
        <w:tc>
          <w:tcPr>
            <w:tcW w:w="724" w:type="pct"/>
            <w:shd w:val="clear" w:color="auto" w:fill="D9D9D9" w:themeFill="background1" w:themeFillShade="D9"/>
          </w:tcPr>
          <w:p w14:paraId="7D3E0C8F" w14:textId="77777777" w:rsidR="00A80F2E" w:rsidRPr="00827818" w:rsidRDefault="00A80F2E" w:rsidP="00A80F2E">
            <w:pPr>
              <w:pStyle w:val="Standaard-Tabellen"/>
              <w:rPr>
                <w:highlight w:val="lightGray"/>
              </w:rPr>
            </w:pPr>
            <w:r w:rsidRPr="00827818">
              <w:rPr>
                <w:highlight w:val="lightGray"/>
              </w:rPr>
              <w:t>OPPTS 830.6317 Storage Stability</w:t>
            </w:r>
          </w:p>
        </w:tc>
        <w:tc>
          <w:tcPr>
            <w:tcW w:w="639" w:type="pct"/>
            <w:shd w:val="clear" w:color="auto" w:fill="D9D9D9" w:themeFill="background1" w:themeFillShade="D9"/>
          </w:tcPr>
          <w:p w14:paraId="5074BD1D" w14:textId="3C6775C8" w:rsidR="00A80F2E" w:rsidRPr="00827818" w:rsidRDefault="00291155" w:rsidP="00A80F2E">
            <w:pPr>
              <w:pStyle w:val="Standaard-Tabellen"/>
              <w:rPr>
                <w:highlight w:val="lightGray"/>
                <w:lang w:val="fr-FR"/>
              </w:rPr>
            </w:pPr>
            <w:r w:rsidRPr="00827818">
              <w:rPr>
                <w:highlight w:val="lightGray"/>
                <w:lang w:val="fr-FR"/>
              </w:rPr>
              <w:t>APAISYL Répulsif moustiques Lotion Protection quotidienne (NCO018587)</w:t>
            </w:r>
          </w:p>
        </w:tc>
        <w:tc>
          <w:tcPr>
            <w:tcW w:w="1053" w:type="pct"/>
            <w:shd w:val="clear" w:color="auto" w:fill="D9D9D9" w:themeFill="background1" w:themeFillShade="D9"/>
          </w:tcPr>
          <w:tbl>
            <w:tblPr>
              <w:tblW w:w="6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2127"/>
              <w:gridCol w:w="2331"/>
            </w:tblGrid>
            <w:tr w:rsidR="004856EA" w:rsidRPr="00827818" w14:paraId="00493AC7" w14:textId="77777777" w:rsidTr="00ED3131">
              <w:trPr>
                <w:tblHeader/>
                <w:tblCellSpacing w:w="0" w:type="dxa"/>
              </w:trPr>
              <w:tc>
                <w:tcPr>
                  <w:tcW w:w="2152" w:type="dxa"/>
                  <w:tcBorders>
                    <w:top w:val="outset" w:sz="6" w:space="0" w:color="auto"/>
                    <w:left w:val="outset" w:sz="6" w:space="0" w:color="auto"/>
                    <w:bottom w:val="outset" w:sz="6" w:space="0" w:color="auto"/>
                    <w:right w:val="outset" w:sz="6" w:space="0" w:color="auto"/>
                  </w:tcBorders>
                </w:tcPr>
                <w:p w14:paraId="030012B8" w14:textId="77777777" w:rsidR="004856EA" w:rsidRPr="00827818" w:rsidRDefault="004856EA" w:rsidP="004856EA">
                  <w:pPr>
                    <w:spacing w:before="100" w:beforeAutospacing="1" w:after="100" w:afterAutospacing="1"/>
                    <w:rPr>
                      <w:b/>
                      <w:sz w:val="18"/>
                      <w:szCs w:val="18"/>
                      <w:highlight w:val="lightGray"/>
                      <w:lang w:val="en-GB" w:eastAsia="fr-FR"/>
                    </w:rPr>
                  </w:pPr>
                  <w:r w:rsidRPr="00827818">
                    <w:rPr>
                      <w:b/>
                      <w:sz w:val="18"/>
                      <w:szCs w:val="18"/>
                      <w:highlight w:val="lightGray"/>
                      <w:lang w:val="en-GB" w:eastAsia="fr-FR"/>
                    </w:rPr>
                    <w:t>Test</w:t>
                  </w:r>
                </w:p>
              </w:tc>
              <w:tc>
                <w:tcPr>
                  <w:tcW w:w="2127" w:type="dxa"/>
                  <w:tcBorders>
                    <w:top w:val="outset" w:sz="6" w:space="0" w:color="auto"/>
                    <w:left w:val="outset" w:sz="6" w:space="0" w:color="auto"/>
                    <w:bottom w:val="outset" w:sz="6" w:space="0" w:color="auto"/>
                    <w:right w:val="outset" w:sz="6" w:space="0" w:color="auto"/>
                  </w:tcBorders>
                  <w:vAlign w:val="center"/>
                </w:tcPr>
                <w:p w14:paraId="34DACE99" w14:textId="77777777" w:rsidR="004856EA" w:rsidRPr="00827818" w:rsidRDefault="004856EA" w:rsidP="004856EA">
                  <w:pPr>
                    <w:spacing w:before="100" w:beforeAutospacing="1" w:after="100" w:afterAutospacing="1"/>
                    <w:rPr>
                      <w:b/>
                      <w:sz w:val="18"/>
                      <w:szCs w:val="18"/>
                      <w:highlight w:val="lightGray"/>
                      <w:lang w:val="fr-FR" w:eastAsia="fr-FR"/>
                    </w:rPr>
                  </w:pPr>
                  <w:r w:rsidRPr="00827818">
                    <w:rPr>
                      <w:b/>
                      <w:sz w:val="18"/>
                      <w:szCs w:val="18"/>
                      <w:highlight w:val="lightGray"/>
                      <w:lang w:val="fr-FR" w:eastAsia="fr-FR"/>
                    </w:rPr>
                    <w:t>At initial time</w:t>
                  </w:r>
                </w:p>
              </w:tc>
              <w:tc>
                <w:tcPr>
                  <w:tcW w:w="2331" w:type="dxa"/>
                  <w:tcBorders>
                    <w:top w:val="outset" w:sz="6" w:space="0" w:color="auto"/>
                    <w:left w:val="outset" w:sz="6" w:space="0" w:color="auto"/>
                    <w:bottom w:val="outset" w:sz="6" w:space="0" w:color="auto"/>
                    <w:right w:val="outset" w:sz="6" w:space="0" w:color="auto"/>
                  </w:tcBorders>
                  <w:vAlign w:val="center"/>
                </w:tcPr>
                <w:p w14:paraId="49348E70" w14:textId="77777777" w:rsidR="004856EA" w:rsidRPr="00827818" w:rsidRDefault="004856EA" w:rsidP="004856EA">
                  <w:pPr>
                    <w:spacing w:before="100" w:beforeAutospacing="1" w:after="100" w:afterAutospacing="1"/>
                    <w:rPr>
                      <w:b/>
                      <w:sz w:val="18"/>
                      <w:szCs w:val="18"/>
                      <w:highlight w:val="lightGray"/>
                      <w:lang w:eastAsia="fr-FR"/>
                    </w:rPr>
                  </w:pPr>
                  <w:r w:rsidRPr="00827818">
                    <w:rPr>
                      <w:b/>
                      <w:sz w:val="18"/>
                      <w:szCs w:val="18"/>
                      <w:highlight w:val="lightGray"/>
                      <w:lang w:eastAsia="fr-FR"/>
                    </w:rPr>
                    <w:t>After 24 months at 20°C</w:t>
                  </w:r>
                </w:p>
              </w:tc>
            </w:tr>
            <w:tr w:rsidR="004856EA" w:rsidRPr="00827818" w14:paraId="173A3235"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tcPr>
                <w:p w14:paraId="1460A0D7" w14:textId="77777777" w:rsidR="004856EA" w:rsidRPr="00827818" w:rsidRDefault="004856EA" w:rsidP="004856EA">
                  <w:pPr>
                    <w:spacing w:before="100" w:beforeAutospacing="1" w:after="100" w:afterAutospacing="1"/>
                    <w:rPr>
                      <w:b/>
                      <w:bCs/>
                      <w:sz w:val="18"/>
                      <w:szCs w:val="18"/>
                      <w:highlight w:val="lightGray"/>
                      <w:lang w:val="en-GB" w:eastAsia="fr-FR"/>
                    </w:rPr>
                  </w:pPr>
                  <w:r w:rsidRPr="00827818">
                    <w:rPr>
                      <w:b/>
                      <w:bCs/>
                      <w:sz w:val="18"/>
                      <w:szCs w:val="18"/>
                      <w:highlight w:val="lightGray"/>
                      <w:lang w:val="en-GB" w:eastAsia="fr-FR"/>
                    </w:rPr>
                    <w:t>Appearance of the commercial packaging</w:t>
                  </w:r>
                </w:p>
              </w:tc>
              <w:tc>
                <w:tcPr>
                  <w:tcW w:w="2127" w:type="dxa"/>
                  <w:tcBorders>
                    <w:top w:val="outset" w:sz="6" w:space="0" w:color="auto"/>
                    <w:left w:val="outset" w:sz="6" w:space="0" w:color="auto"/>
                    <w:bottom w:val="outset" w:sz="6" w:space="0" w:color="auto"/>
                    <w:right w:val="outset" w:sz="6" w:space="0" w:color="auto"/>
                  </w:tcBorders>
                  <w:vAlign w:val="center"/>
                </w:tcPr>
                <w:p w14:paraId="5A070297" w14:textId="77777777"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White plastic bottles (HDPE)</w:t>
                  </w:r>
                </w:p>
              </w:tc>
              <w:tc>
                <w:tcPr>
                  <w:tcW w:w="2331" w:type="dxa"/>
                  <w:tcBorders>
                    <w:top w:val="outset" w:sz="6" w:space="0" w:color="auto"/>
                    <w:left w:val="outset" w:sz="6" w:space="0" w:color="auto"/>
                    <w:bottom w:val="outset" w:sz="6" w:space="0" w:color="auto"/>
                    <w:right w:val="outset" w:sz="6" w:space="0" w:color="auto"/>
                  </w:tcBorders>
                  <w:vAlign w:val="center"/>
                </w:tcPr>
                <w:p w14:paraId="59FB42B0" w14:textId="77777777"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White plastic bottles (HDPE), no indication of corrosion or decomposition, no alteration of label</w:t>
                  </w:r>
                </w:p>
              </w:tc>
            </w:tr>
            <w:tr w:rsidR="004856EA" w:rsidRPr="00827818" w14:paraId="7ADBFA69"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2EA4CDAF"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Appearance of the test item</w:t>
                  </w:r>
                </w:p>
              </w:tc>
              <w:tc>
                <w:tcPr>
                  <w:tcW w:w="2127" w:type="dxa"/>
                  <w:tcBorders>
                    <w:top w:val="outset" w:sz="6" w:space="0" w:color="auto"/>
                    <w:left w:val="outset" w:sz="6" w:space="0" w:color="auto"/>
                    <w:bottom w:val="outset" w:sz="6" w:space="0" w:color="auto"/>
                    <w:right w:val="outset" w:sz="6" w:space="0" w:color="auto"/>
                  </w:tcBorders>
                  <w:vAlign w:val="center"/>
                  <w:hideMark/>
                </w:tcPr>
                <w:p w14:paraId="03736F6C"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Colourless liquid with characteristic odour</w:t>
                  </w:r>
                </w:p>
              </w:tc>
              <w:tc>
                <w:tcPr>
                  <w:tcW w:w="2331" w:type="dxa"/>
                  <w:tcBorders>
                    <w:top w:val="outset" w:sz="6" w:space="0" w:color="auto"/>
                    <w:left w:val="outset" w:sz="6" w:space="0" w:color="auto"/>
                    <w:bottom w:val="outset" w:sz="6" w:space="0" w:color="auto"/>
                    <w:right w:val="outset" w:sz="6" w:space="0" w:color="auto"/>
                  </w:tcBorders>
                  <w:vAlign w:val="center"/>
                  <w:hideMark/>
                </w:tcPr>
                <w:p w14:paraId="7E86223A"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Colourless liquid with characteristic odour</w:t>
                  </w:r>
                </w:p>
              </w:tc>
            </w:tr>
            <w:tr w:rsidR="004856EA" w:rsidRPr="00827818" w14:paraId="33C46D1F"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64228B59"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Difference of weight of the commercial packaging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C48C341" w14:textId="77777777" w:rsidR="004856EA" w:rsidRPr="00827818" w:rsidRDefault="004856EA" w:rsidP="004856EA">
                  <w:pPr>
                    <w:spacing w:before="100" w:beforeAutospacing="1" w:after="100" w:afterAutospacing="1"/>
                    <w:rPr>
                      <w:sz w:val="18"/>
                      <w:szCs w:val="18"/>
                      <w:highlight w:val="lightGray"/>
                      <w:lang w:val="fr-FR" w:eastAsia="fr-FR"/>
                    </w:rPr>
                  </w:pPr>
                  <w:r w:rsidRPr="00827818">
                    <w:rPr>
                      <w:sz w:val="18"/>
                      <w:szCs w:val="18"/>
                      <w:highlight w:val="lightGray"/>
                      <w:lang w:eastAsia="fr-FR"/>
                    </w:rPr>
                    <w:t>/</w:t>
                  </w:r>
                </w:p>
              </w:tc>
              <w:tc>
                <w:tcPr>
                  <w:tcW w:w="2331" w:type="dxa"/>
                  <w:tcBorders>
                    <w:top w:val="outset" w:sz="6" w:space="0" w:color="auto"/>
                    <w:left w:val="outset" w:sz="6" w:space="0" w:color="auto"/>
                    <w:bottom w:val="outset" w:sz="6" w:space="0" w:color="auto"/>
                    <w:right w:val="outset" w:sz="6" w:space="0" w:color="auto"/>
                  </w:tcBorders>
                  <w:vAlign w:val="center"/>
                  <w:hideMark/>
                </w:tcPr>
                <w:p w14:paraId="2E775A00" w14:textId="75F018FD" w:rsidR="004856EA" w:rsidRPr="00827818" w:rsidRDefault="004856EA" w:rsidP="00291155">
                  <w:pPr>
                    <w:spacing w:before="100" w:beforeAutospacing="1" w:after="100" w:afterAutospacing="1"/>
                    <w:rPr>
                      <w:sz w:val="18"/>
                      <w:szCs w:val="18"/>
                      <w:highlight w:val="lightGray"/>
                      <w:lang w:eastAsia="fr-FR"/>
                    </w:rPr>
                  </w:pPr>
                  <w:r w:rsidRPr="00827818">
                    <w:rPr>
                      <w:sz w:val="18"/>
                      <w:szCs w:val="18"/>
                      <w:highlight w:val="lightGray"/>
                      <w:lang w:eastAsia="fr-FR"/>
                    </w:rPr>
                    <w:t>- 0.</w:t>
                  </w:r>
                  <w:r w:rsidR="00291155" w:rsidRPr="00827818">
                    <w:rPr>
                      <w:sz w:val="18"/>
                      <w:szCs w:val="18"/>
                      <w:highlight w:val="lightGray"/>
                      <w:lang w:eastAsia="fr-FR"/>
                    </w:rPr>
                    <w:t>46</w:t>
                  </w:r>
                  <w:r w:rsidRPr="00827818">
                    <w:rPr>
                      <w:sz w:val="18"/>
                      <w:szCs w:val="18"/>
                      <w:highlight w:val="lightGray"/>
                      <w:lang w:eastAsia="fr-FR"/>
                    </w:rPr>
                    <w:t xml:space="preserve"> %</w:t>
                  </w:r>
                </w:p>
              </w:tc>
            </w:tr>
            <w:tr w:rsidR="004856EA" w:rsidRPr="00827818" w14:paraId="505E3E69"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119AFDCE"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Content of IR 3535®</w:t>
                  </w:r>
                </w:p>
                <w:p w14:paraId="02077C84"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(g/L)</w:t>
                  </w:r>
                </w:p>
              </w:tc>
              <w:tc>
                <w:tcPr>
                  <w:tcW w:w="2127" w:type="dxa"/>
                  <w:tcBorders>
                    <w:top w:val="outset" w:sz="6" w:space="0" w:color="auto"/>
                    <w:left w:val="outset" w:sz="6" w:space="0" w:color="auto"/>
                    <w:bottom w:val="outset" w:sz="6" w:space="0" w:color="auto"/>
                    <w:right w:val="outset" w:sz="6" w:space="0" w:color="auto"/>
                  </w:tcBorders>
                  <w:vAlign w:val="center"/>
                  <w:hideMark/>
                </w:tcPr>
                <w:p w14:paraId="74407BAA" w14:textId="3A02917B" w:rsidR="004856EA" w:rsidRPr="00827818" w:rsidRDefault="004856EA" w:rsidP="004856EA">
                  <w:pPr>
                    <w:spacing w:before="100" w:beforeAutospacing="1" w:after="100" w:afterAutospacing="1"/>
                    <w:rPr>
                      <w:sz w:val="18"/>
                      <w:szCs w:val="18"/>
                      <w:highlight w:val="lightGray"/>
                      <w:lang w:val="fr-FR" w:eastAsia="fr-FR"/>
                    </w:rPr>
                  </w:pPr>
                  <w:r w:rsidRPr="00827818">
                    <w:rPr>
                      <w:sz w:val="18"/>
                      <w:szCs w:val="18"/>
                      <w:highlight w:val="lightGray"/>
                      <w:lang w:eastAsia="fr-FR"/>
                    </w:rPr>
                    <w:t>185.5</w:t>
                  </w:r>
                  <w:r w:rsidR="00291155" w:rsidRPr="00827818">
                    <w:rPr>
                      <w:sz w:val="18"/>
                      <w:szCs w:val="18"/>
                      <w:highlight w:val="lightGray"/>
                      <w:lang w:eastAsia="fr-FR"/>
                    </w:rPr>
                    <w:t xml:space="preserve"> (19.4 % w/w)</w:t>
                  </w:r>
                </w:p>
              </w:tc>
              <w:tc>
                <w:tcPr>
                  <w:tcW w:w="2331" w:type="dxa"/>
                  <w:tcBorders>
                    <w:top w:val="outset" w:sz="6" w:space="0" w:color="auto"/>
                    <w:left w:val="outset" w:sz="6" w:space="0" w:color="auto"/>
                    <w:bottom w:val="outset" w:sz="6" w:space="0" w:color="auto"/>
                    <w:right w:val="outset" w:sz="6" w:space="0" w:color="auto"/>
                  </w:tcBorders>
                  <w:vAlign w:val="center"/>
                  <w:hideMark/>
                </w:tcPr>
                <w:p w14:paraId="68D50CF0" w14:textId="2852CD7C" w:rsidR="004856EA" w:rsidRPr="00827818" w:rsidRDefault="004856EA" w:rsidP="00291155">
                  <w:pPr>
                    <w:spacing w:before="100" w:beforeAutospacing="1" w:after="100" w:afterAutospacing="1"/>
                    <w:rPr>
                      <w:sz w:val="18"/>
                      <w:szCs w:val="18"/>
                      <w:highlight w:val="lightGray"/>
                      <w:lang w:val="en-GB" w:eastAsia="fr-FR"/>
                    </w:rPr>
                  </w:pPr>
                  <w:r w:rsidRPr="00827818">
                    <w:rPr>
                      <w:sz w:val="18"/>
                      <w:szCs w:val="18"/>
                      <w:highlight w:val="lightGray"/>
                      <w:lang w:val="en-GB" w:eastAsia="fr-FR"/>
                    </w:rPr>
                    <w:t>1</w:t>
                  </w:r>
                  <w:r w:rsidR="00291155" w:rsidRPr="00827818">
                    <w:rPr>
                      <w:sz w:val="18"/>
                      <w:szCs w:val="18"/>
                      <w:highlight w:val="lightGray"/>
                      <w:lang w:val="en-GB" w:eastAsia="fr-FR"/>
                    </w:rPr>
                    <w:t>92.9 (20.2 % w/w)</w:t>
                  </w:r>
                  <w:r w:rsidRPr="00827818">
                    <w:rPr>
                      <w:sz w:val="18"/>
                      <w:szCs w:val="18"/>
                      <w:highlight w:val="lightGray"/>
                      <w:lang w:val="en-GB" w:eastAsia="fr-FR"/>
                    </w:rPr>
                    <w:t xml:space="preserve"> </w:t>
                  </w:r>
                  <w:r w:rsidR="00291155" w:rsidRPr="00827818">
                    <w:rPr>
                      <w:sz w:val="18"/>
                      <w:szCs w:val="18"/>
                      <w:highlight w:val="lightGray"/>
                      <w:lang w:val="en-GB" w:eastAsia="fr-FR"/>
                    </w:rPr>
                    <w:t>(+ 4</w:t>
                  </w:r>
                  <w:r w:rsidRPr="00827818">
                    <w:rPr>
                      <w:sz w:val="18"/>
                      <w:szCs w:val="18"/>
                      <w:highlight w:val="lightGray"/>
                      <w:lang w:val="en-GB" w:eastAsia="fr-FR"/>
                    </w:rPr>
                    <w:t xml:space="preserve"> % </w:t>
                  </w:r>
                  <w:r w:rsidRPr="00827818">
                    <w:rPr>
                      <w:i/>
                      <w:iCs/>
                      <w:sz w:val="18"/>
                      <w:szCs w:val="18"/>
                      <w:highlight w:val="lightGray"/>
                      <w:lang w:val="en-GB" w:eastAsia="fr-FR"/>
                    </w:rPr>
                    <w:t>vs.</w:t>
                  </w:r>
                  <w:r w:rsidR="00291155" w:rsidRPr="00827818">
                    <w:rPr>
                      <w:i/>
                      <w:iCs/>
                      <w:sz w:val="18"/>
                      <w:szCs w:val="18"/>
                      <w:highlight w:val="lightGray"/>
                      <w:lang w:val="en-GB" w:eastAsia="fr-FR"/>
                    </w:rPr>
                    <w:t xml:space="preserve"> </w:t>
                  </w:r>
                  <w:r w:rsidRPr="00827818">
                    <w:rPr>
                      <w:sz w:val="18"/>
                      <w:szCs w:val="18"/>
                      <w:highlight w:val="lightGray"/>
                      <w:lang w:val="en-GB" w:eastAsia="fr-FR"/>
                    </w:rPr>
                    <w:t>the value at initial time)</w:t>
                  </w:r>
                </w:p>
              </w:tc>
            </w:tr>
            <w:tr w:rsidR="004856EA" w:rsidRPr="00827818" w14:paraId="6F781004"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4A8D1936"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b/>
                      <w:bCs/>
                      <w:sz w:val="18"/>
                      <w:szCs w:val="18"/>
                      <w:highlight w:val="lightGray"/>
                      <w:lang w:val="en-GB" w:eastAsia="fr-FR"/>
                    </w:rPr>
                    <w:t>pH of a 1% w/v suspension</w:t>
                  </w:r>
                </w:p>
              </w:tc>
              <w:tc>
                <w:tcPr>
                  <w:tcW w:w="2127" w:type="dxa"/>
                  <w:tcBorders>
                    <w:top w:val="outset" w:sz="6" w:space="0" w:color="auto"/>
                    <w:left w:val="outset" w:sz="6" w:space="0" w:color="auto"/>
                    <w:bottom w:val="outset" w:sz="6" w:space="0" w:color="auto"/>
                    <w:right w:val="outset" w:sz="6" w:space="0" w:color="auto"/>
                  </w:tcBorders>
                  <w:vAlign w:val="center"/>
                  <w:hideMark/>
                </w:tcPr>
                <w:p w14:paraId="220D0902" w14:textId="77777777"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6.2 at 20°C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691F43C7" w14:textId="026D9463" w:rsidR="004856EA" w:rsidRPr="00827818" w:rsidRDefault="00291155" w:rsidP="00291155">
                  <w:pPr>
                    <w:spacing w:before="100" w:beforeAutospacing="1" w:after="100" w:afterAutospacing="1"/>
                    <w:rPr>
                      <w:sz w:val="18"/>
                      <w:szCs w:val="18"/>
                      <w:highlight w:val="lightGray"/>
                      <w:lang w:eastAsia="fr-FR"/>
                    </w:rPr>
                  </w:pPr>
                  <w:r w:rsidRPr="00827818">
                    <w:rPr>
                      <w:sz w:val="18"/>
                      <w:szCs w:val="18"/>
                      <w:highlight w:val="lightGray"/>
                      <w:lang w:eastAsia="fr-FR"/>
                    </w:rPr>
                    <w:t>4.6</w:t>
                  </w:r>
                  <w:r w:rsidR="004856EA" w:rsidRPr="00827818">
                    <w:rPr>
                      <w:sz w:val="18"/>
                      <w:szCs w:val="18"/>
                      <w:highlight w:val="lightGray"/>
                      <w:lang w:eastAsia="fr-FR"/>
                    </w:rPr>
                    <w:t xml:space="preserve"> at 20°C</w:t>
                  </w:r>
                </w:p>
              </w:tc>
            </w:tr>
            <w:tr w:rsidR="004856EA" w:rsidRPr="00827818" w14:paraId="6071F293"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6C0B6AC7" w14:textId="77777777" w:rsidR="004856EA" w:rsidRPr="00827818" w:rsidRDefault="004856EA" w:rsidP="004856EA">
                  <w:pPr>
                    <w:spacing w:before="100" w:beforeAutospacing="1" w:after="100" w:afterAutospacing="1"/>
                    <w:rPr>
                      <w:sz w:val="18"/>
                      <w:szCs w:val="18"/>
                      <w:highlight w:val="lightGray"/>
                      <w:lang w:eastAsia="fr-FR"/>
                    </w:rPr>
                  </w:pPr>
                  <w:r w:rsidRPr="00827818">
                    <w:rPr>
                      <w:b/>
                      <w:bCs/>
                      <w:sz w:val="18"/>
                      <w:szCs w:val="18"/>
                      <w:highlight w:val="lightGray"/>
                      <w:lang w:eastAsia="fr-FR"/>
                    </w:rPr>
                    <w:lastRenderedPageBreak/>
                    <w:t>pH (undiluted)</w:t>
                  </w:r>
                </w:p>
              </w:tc>
              <w:tc>
                <w:tcPr>
                  <w:tcW w:w="2127" w:type="dxa"/>
                  <w:tcBorders>
                    <w:top w:val="outset" w:sz="6" w:space="0" w:color="auto"/>
                    <w:left w:val="outset" w:sz="6" w:space="0" w:color="auto"/>
                    <w:bottom w:val="outset" w:sz="6" w:space="0" w:color="auto"/>
                    <w:right w:val="outset" w:sz="6" w:space="0" w:color="auto"/>
                  </w:tcBorders>
                  <w:vAlign w:val="center"/>
                  <w:hideMark/>
                </w:tcPr>
                <w:p w14:paraId="0D0C41EB" w14:textId="77777777"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6.2 at 20°C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2A497DF5" w14:textId="0B4F253D" w:rsidR="004856EA" w:rsidRPr="00827818" w:rsidRDefault="004856EA" w:rsidP="004856EA">
                  <w:pPr>
                    <w:spacing w:before="100" w:beforeAutospacing="1" w:after="100" w:afterAutospacing="1"/>
                    <w:rPr>
                      <w:sz w:val="18"/>
                      <w:szCs w:val="18"/>
                      <w:highlight w:val="lightGray"/>
                      <w:lang w:eastAsia="fr-FR"/>
                    </w:rPr>
                  </w:pPr>
                  <w:r w:rsidRPr="00827818">
                    <w:rPr>
                      <w:sz w:val="18"/>
                      <w:szCs w:val="18"/>
                      <w:highlight w:val="lightGray"/>
                      <w:lang w:eastAsia="fr-FR"/>
                    </w:rPr>
                    <w:t>5.</w:t>
                  </w:r>
                  <w:r w:rsidR="00291155" w:rsidRPr="00827818">
                    <w:rPr>
                      <w:sz w:val="18"/>
                      <w:szCs w:val="18"/>
                      <w:highlight w:val="lightGray"/>
                      <w:lang w:eastAsia="fr-FR"/>
                    </w:rPr>
                    <w:t>0</w:t>
                  </w:r>
                  <w:r w:rsidRPr="00827818">
                    <w:rPr>
                      <w:sz w:val="18"/>
                      <w:szCs w:val="18"/>
                      <w:highlight w:val="lightGray"/>
                      <w:lang w:eastAsia="fr-FR"/>
                    </w:rPr>
                    <w:t xml:space="preserve"> at 20°C</w:t>
                  </w:r>
                </w:p>
              </w:tc>
            </w:tr>
            <w:tr w:rsidR="004856EA" w:rsidRPr="00827818" w14:paraId="7C4F1F5B" w14:textId="77777777" w:rsidTr="00ED3131">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0E73D1B0" w14:textId="77777777" w:rsidR="004856EA" w:rsidRPr="00827818" w:rsidRDefault="004856EA" w:rsidP="004856EA">
                  <w:pPr>
                    <w:spacing w:before="100" w:beforeAutospacing="1" w:after="100" w:afterAutospacing="1"/>
                    <w:rPr>
                      <w:sz w:val="18"/>
                      <w:szCs w:val="18"/>
                      <w:highlight w:val="lightGray"/>
                      <w:lang w:eastAsia="fr-FR"/>
                    </w:rPr>
                  </w:pPr>
                  <w:r w:rsidRPr="00827818">
                    <w:rPr>
                      <w:b/>
                      <w:bCs/>
                      <w:sz w:val="18"/>
                      <w:szCs w:val="18"/>
                      <w:highlight w:val="lightGray"/>
                      <w:lang w:eastAsia="fr-FR"/>
                    </w:rPr>
                    <w:t>Viscosity (capillary viscometer)</w:t>
                  </w:r>
                </w:p>
              </w:tc>
              <w:tc>
                <w:tcPr>
                  <w:tcW w:w="2127" w:type="dxa"/>
                  <w:tcBorders>
                    <w:top w:val="outset" w:sz="6" w:space="0" w:color="auto"/>
                    <w:left w:val="outset" w:sz="6" w:space="0" w:color="auto"/>
                    <w:bottom w:val="outset" w:sz="6" w:space="0" w:color="auto"/>
                    <w:right w:val="outset" w:sz="6" w:space="0" w:color="auto"/>
                  </w:tcBorders>
                  <w:vAlign w:val="center"/>
                  <w:hideMark/>
                </w:tcPr>
                <w:p w14:paraId="0C401014"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7.63 mm²/s at 20°C</w:t>
                  </w:r>
                </w:p>
                <w:p w14:paraId="10B57927" w14:textId="77777777"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4.04 mm²/s at 40°C</w:t>
                  </w:r>
                </w:p>
              </w:tc>
              <w:tc>
                <w:tcPr>
                  <w:tcW w:w="2331" w:type="dxa"/>
                  <w:tcBorders>
                    <w:top w:val="outset" w:sz="6" w:space="0" w:color="auto"/>
                    <w:left w:val="outset" w:sz="6" w:space="0" w:color="auto"/>
                    <w:bottom w:val="outset" w:sz="6" w:space="0" w:color="auto"/>
                    <w:right w:val="outset" w:sz="6" w:space="0" w:color="auto"/>
                  </w:tcBorders>
                  <w:vAlign w:val="center"/>
                  <w:hideMark/>
                </w:tcPr>
                <w:p w14:paraId="1CF59540" w14:textId="15161FD0" w:rsidR="004856EA" w:rsidRPr="00827818" w:rsidRDefault="004856EA" w:rsidP="004856EA">
                  <w:pPr>
                    <w:spacing w:before="100" w:beforeAutospacing="1" w:after="100" w:afterAutospacing="1"/>
                    <w:rPr>
                      <w:sz w:val="18"/>
                      <w:szCs w:val="18"/>
                      <w:highlight w:val="lightGray"/>
                      <w:lang w:val="en-GB" w:eastAsia="fr-FR"/>
                    </w:rPr>
                  </w:pPr>
                  <w:r w:rsidRPr="00827818">
                    <w:rPr>
                      <w:sz w:val="18"/>
                      <w:szCs w:val="18"/>
                      <w:highlight w:val="lightGray"/>
                      <w:lang w:val="en-GB" w:eastAsia="fr-FR"/>
                    </w:rPr>
                    <w:t>7.6</w:t>
                  </w:r>
                  <w:r w:rsidR="00291155" w:rsidRPr="00827818">
                    <w:rPr>
                      <w:sz w:val="18"/>
                      <w:szCs w:val="18"/>
                      <w:highlight w:val="lightGray"/>
                      <w:lang w:val="en-GB" w:eastAsia="fr-FR"/>
                    </w:rPr>
                    <w:t>9</w:t>
                  </w:r>
                  <w:r w:rsidRPr="00827818">
                    <w:rPr>
                      <w:sz w:val="18"/>
                      <w:szCs w:val="18"/>
                      <w:highlight w:val="lightGray"/>
                      <w:lang w:val="en-GB" w:eastAsia="fr-FR"/>
                    </w:rPr>
                    <w:t xml:space="preserve"> mm²/s at 20°C</w:t>
                  </w:r>
                </w:p>
                <w:p w14:paraId="146B880D" w14:textId="6FBB8A87" w:rsidR="004856EA" w:rsidRPr="00827818" w:rsidRDefault="004856EA" w:rsidP="00291155">
                  <w:pPr>
                    <w:spacing w:before="100" w:beforeAutospacing="1" w:after="100" w:afterAutospacing="1"/>
                    <w:rPr>
                      <w:sz w:val="18"/>
                      <w:szCs w:val="18"/>
                      <w:highlight w:val="lightGray"/>
                      <w:lang w:val="en-GB" w:eastAsia="fr-FR"/>
                    </w:rPr>
                  </w:pPr>
                  <w:r w:rsidRPr="00827818">
                    <w:rPr>
                      <w:sz w:val="18"/>
                      <w:szCs w:val="18"/>
                      <w:highlight w:val="lightGray"/>
                      <w:lang w:val="en-GB" w:eastAsia="fr-FR"/>
                    </w:rPr>
                    <w:t>4.</w:t>
                  </w:r>
                  <w:r w:rsidR="00291155" w:rsidRPr="00827818">
                    <w:rPr>
                      <w:sz w:val="18"/>
                      <w:szCs w:val="18"/>
                      <w:highlight w:val="lightGray"/>
                      <w:lang w:val="en-GB" w:eastAsia="fr-FR"/>
                    </w:rPr>
                    <w:t>10</w:t>
                  </w:r>
                  <w:r w:rsidRPr="00827818">
                    <w:rPr>
                      <w:sz w:val="18"/>
                      <w:szCs w:val="18"/>
                      <w:highlight w:val="lightGray"/>
                      <w:lang w:val="en-GB" w:eastAsia="fr-FR"/>
                    </w:rPr>
                    <w:t xml:space="preserve"> mm²/s at 40°C</w:t>
                  </w:r>
                </w:p>
              </w:tc>
            </w:tr>
          </w:tbl>
          <w:p w14:paraId="6B4470C2" w14:textId="77777777" w:rsidR="00A80F2E" w:rsidRPr="00827818" w:rsidRDefault="00A80F2E" w:rsidP="00956C80">
            <w:pPr>
              <w:pStyle w:val="Standaard-Tabellen"/>
              <w:rPr>
                <w:highlight w:val="lightGray"/>
              </w:rPr>
            </w:pPr>
          </w:p>
        </w:tc>
        <w:tc>
          <w:tcPr>
            <w:tcW w:w="1044" w:type="pct"/>
            <w:shd w:val="clear" w:color="auto" w:fill="D9D9D9" w:themeFill="background1" w:themeFillShade="D9"/>
          </w:tcPr>
          <w:p w14:paraId="3BA6A0A9" w14:textId="6E9C467F" w:rsidR="00A80F2E" w:rsidRPr="00827818" w:rsidRDefault="004856EA" w:rsidP="004856EA">
            <w:pPr>
              <w:pStyle w:val="Standaard-Tabellen"/>
              <w:rPr>
                <w:highlight w:val="lightGray"/>
              </w:rPr>
            </w:pPr>
            <w:r w:rsidRPr="00827818">
              <w:rPr>
                <w:highlight w:val="lightGray"/>
                <w:lang w:val="de-DE"/>
              </w:rPr>
              <w:lastRenderedPageBreak/>
              <w:t>Study n° 120011204, Fieseler, A., 2019. Institut für Biologische Analytik und Consulting IBACON GmbH</w:t>
            </w:r>
          </w:p>
        </w:tc>
      </w:tr>
    </w:tbl>
    <w:p w14:paraId="4C79C938" w14:textId="77777777" w:rsidR="00A80F2E" w:rsidRPr="00827818" w:rsidRDefault="00A80F2E" w:rsidP="00C47639">
      <w:pPr>
        <w:rPr>
          <w:highlight w:val="lightGray"/>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701863" w:rsidRPr="00827818" w14:paraId="7FF612D4" w14:textId="77777777" w:rsidTr="00A80F2E">
        <w:tc>
          <w:tcPr>
            <w:tcW w:w="5000" w:type="pct"/>
            <w:tcBorders>
              <w:top w:val="single" w:sz="4" w:space="0" w:color="auto"/>
              <w:left w:val="single" w:sz="4" w:space="0" w:color="auto"/>
              <w:bottom w:val="single" w:sz="6" w:space="0" w:color="auto"/>
              <w:right w:val="single" w:sz="6" w:space="0" w:color="auto"/>
            </w:tcBorders>
            <w:shd w:val="clear" w:color="auto" w:fill="CCFFCC"/>
          </w:tcPr>
          <w:p w14:paraId="42B0493A" w14:textId="77777777" w:rsidR="00701863" w:rsidRPr="009609F5" w:rsidRDefault="00701863" w:rsidP="00A80F2E">
            <w:pPr>
              <w:rPr>
                <w:b/>
                <w:bCs/>
              </w:rPr>
            </w:pPr>
            <w:r w:rsidRPr="009609F5">
              <w:rPr>
                <w:b/>
                <w:bCs/>
              </w:rPr>
              <w:t>Conclusion on the p</w:t>
            </w:r>
            <w:r w:rsidRPr="009609F5">
              <w:rPr>
                <w:b/>
              </w:rPr>
              <w:t>hysical, chemical and technical properties</w:t>
            </w:r>
            <w:r w:rsidRPr="009609F5">
              <w:rPr>
                <w:b/>
                <w:bCs/>
              </w:rPr>
              <w:t xml:space="preserve"> of the product</w:t>
            </w:r>
          </w:p>
        </w:tc>
      </w:tr>
      <w:tr w:rsidR="00701863" w:rsidRPr="00BD2EF1" w14:paraId="305731A1" w14:textId="77777777" w:rsidTr="009609F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1E3D4A46" w14:textId="6307A7A1" w:rsidR="00701863" w:rsidRPr="00AE2C8C" w:rsidRDefault="00291155" w:rsidP="00934335">
            <w:pPr>
              <w:jc w:val="both"/>
              <w:rPr>
                <w:rFonts w:ascii="Times New Roman" w:hAnsi="Times New Roman"/>
              </w:rPr>
            </w:pPr>
            <w:r w:rsidRPr="00827818">
              <w:rPr>
                <w:highlight w:val="lightGray"/>
              </w:rPr>
              <w:t xml:space="preserve">The extension of the shelf life of the product </w:t>
            </w:r>
            <w:r w:rsidR="00934335" w:rsidRPr="00827818">
              <w:rPr>
                <w:highlight w:val="lightGray"/>
              </w:rPr>
              <w:t>APAISYL REPULSIF MOUSTIQUE LOTION (Insect Repellent Pump Spray IR3535</w:t>
            </w:r>
            <w:r w:rsidR="00934335" w:rsidRPr="00827818">
              <w:rPr>
                <w:highlight w:val="lightGray"/>
                <w:vertAlign w:val="superscript"/>
              </w:rPr>
              <w:t>®</w:t>
            </w:r>
            <w:r w:rsidR="00934335" w:rsidRPr="00827818">
              <w:rPr>
                <w:highlight w:val="lightGray"/>
              </w:rPr>
              <w:t xml:space="preserve"> 20%) </w:t>
            </w:r>
            <w:r w:rsidRPr="00827818">
              <w:rPr>
                <w:highlight w:val="lightGray"/>
              </w:rPr>
              <w:t xml:space="preserve">to </w:t>
            </w:r>
            <w:r w:rsidR="00934335" w:rsidRPr="00827818">
              <w:rPr>
                <w:highlight w:val="lightGray"/>
              </w:rPr>
              <w:t>24 months a</w:t>
            </w:r>
            <w:r w:rsidRPr="00827818">
              <w:rPr>
                <w:highlight w:val="lightGray"/>
              </w:rPr>
              <w:t xml:space="preserve">t ambient temperature </w:t>
            </w:r>
            <w:r w:rsidR="00934335" w:rsidRPr="00827818">
              <w:rPr>
                <w:highlight w:val="lightGray"/>
              </w:rPr>
              <w:t xml:space="preserve">is acceptable based on </w:t>
            </w:r>
            <w:proofErr w:type="spellStart"/>
            <w:r w:rsidR="00934335" w:rsidRPr="00827818">
              <w:rPr>
                <w:highlight w:val="lightGray"/>
              </w:rPr>
              <w:t>physico</w:t>
            </w:r>
            <w:proofErr w:type="spellEnd"/>
            <w:r w:rsidR="00934335" w:rsidRPr="00827818">
              <w:rPr>
                <w:highlight w:val="lightGray"/>
              </w:rPr>
              <w:t>-chemical properties provided in the new long-term storage stability study.</w:t>
            </w:r>
          </w:p>
        </w:tc>
      </w:tr>
    </w:tbl>
    <w:p w14:paraId="3317AF01" w14:textId="77777777" w:rsidR="00701863" w:rsidRPr="00BD2EF1" w:rsidRDefault="00701863" w:rsidP="00C47639"/>
    <w:p w14:paraId="2678FA36" w14:textId="77777777" w:rsidR="00C47639" w:rsidRPr="00BD2EF1" w:rsidRDefault="00C47639" w:rsidP="00C47639">
      <w:pPr>
        <w:pStyle w:val="Titre3"/>
      </w:pPr>
      <w:bookmarkStart w:id="80" w:name="_Toc532391071"/>
      <w:bookmarkStart w:id="81" w:name="_Toc8296485"/>
      <w:r w:rsidRPr="00BD2EF1">
        <w:t>Physical hazards and respective characteristics</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3"/>
        <w:gridCol w:w="2283"/>
        <w:gridCol w:w="2305"/>
        <w:gridCol w:w="3991"/>
        <w:gridCol w:w="2162"/>
      </w:tblGrid>
      <w:tr w:rsidR="00C47639" w:rsidRPr="00F2295B" w14:paraId="72BF60BF" w14:textId="77777777" w:rsidTr="00C47639">
        <w:trPr>
          <w:tblHeader/>
        </w:trPr>
        <w:tc>
          <w:tcPr>
            <w:tcW w:w="1253" w:type="pct"/>
            <w:shd w:val="clear" w:color="auto" w:fill="BFBFBF" w:themeFill="background1" w:themeFillShade="BF"/>
            <w:vAlign w:val="center"/>
          </w:tcPr>
          <w:p w14:paraId="0A23A57D" w14:textId="77777777" w:rsidR="00C47639" w:rsidRPr="00F2295B" w:rsidRDefault="00C47639" w:rsidP="00C47639">
            <w:pPr>
              <w:pStyle w:val="Standaard-Tabellen"/>
              <w:rPr>
                <w:b/>
              </w:rPr>
            </w:pPr>
            <w:r w:rsidRPr="00F2295B">
              <w:rPr>
                <w:b/>
              </w:rPr>
              <w:t>Property</w:t>
            </w:r>
          </w:p>
        </w:tc>
        <w:tc>
          <w:tcPr>
            <w:tcW w:w="796" w:type="pct"/>
            <w:shd w:val="clear" w:color="auto" w:fill="BFBFBF" w:themeFill="background1" w:themeFillShade="BF"/>
            <w:vAlign w:val="center"/>
          </w:tcPr>
          <w:p w14:paraId="149064E9" w14:textId="77777777" w:rsidR="00C47639" w:rsidRPr="00F2295B" w:rsidRDefault="00C47639" w:rsidP="00C47639">
            <w:pPr>
              <w:pStyle w:val="Standaard-Tabellen"/>
              <w:rPr>
                <w:b/>
              </w:rPr>
            </w:pPr>
            <w:r w:rsidRPr="00F2295B">
              <w:rPr>
                <w:b/>
              </w:rPr>
              <w:t>Guideline  and Method</w:t>
            </w:r>
          </w:p>
        </w:tc>
        <w:tc>
          <w:tcPr>
            <w:tcW w:w="804" w:type="pct"/>
            <w:shd w:val="clear" w:color="auto" w:fill="BFBFBF" w:themeFill="background1" w:themeFillShade="BF"/>
            <w:vAlign w:val="center"/>
          </w:tcPr>
          <w:p w14:paraId="027BF07A" w14:textId="77777777" w:rsidR="00C47639" w:rsidRPr="00F2295B" w:rsidRDefault="00C47639" w:rsidP="00C47639">
            <w:pPr>
              <w:pStyle w:val="Standaard-Tabellen"/>
              <w:rPr>
                <w:b/>
              </w:rPr>
            </w:pPr>
            <w:r w:rsidRPr="00F2295B">
              <w:rPr>
                <w:b/>
              </w:rPr>
              <w:t>Purity of the test substance (% (w/w)</w:t>
            </w:r>
          </w:p>
        </w:tc>
        <w:tc>
          <w:tcPr>
            <w:tcW w:w="1392" w:type="pct"/>
            <w:shd w:val="clear" w:color="auto" w:fill="BFBFBF" w:themeFill="background1" w:themeFillShade="BF"/>
            <w:vAlign w:val="center"/>
          </w:tcPr>
          <w:p w14:paraId="67C523C7" w14:textId="77777777" w:rsidR="00C47639" w:rsidRPr="00F2295B" w:rsidRDefault="00C47639" w:rsidP="00C47639">
            <w:pPr>
              <w:pStyle w:val="Standaard-Tabellen"/>
              <w:rPr>
                <w:b/>
              </w:rPr>
            </w:pPr>
            <w:r w:rsidRPr="00F2295B">
              <w:rPr>
                <w:b/>
              </w:rPr>
              <w:t>Results</w:t>
            </w:r>
          </w:p>
        </w:tc>
        <w:tc>
          <w:tcPr>
            <w:tcW w:w="754" w:type="pct"/>
            <w:shd w:val="clear" w:color="auto" w:fill="BFBFBF" w:themeFill="background1" w:themeFillShade="BF"/>
            <w:vAlign w:val="center"/>
          </w:tcPr>
          <w:p w14:paraId="10FA70A0" w14:textId="77777777" w:rsidR="00C47639" w:rsidRPr="00F2295B" w:rsidRDefault="00C47639" w:rsidP="00C47639">
            <w:pPr>
              <w:pStyle w:val="Standaard-Tabellen"/>
              <w:rPr>
                <w:b/>
              </w:rPr>
            </w:pPr>
            <w:r w:rsidRPr="00F2295B">
              <w:rPr>
                <w:b/>
              </w:rPr>
              <w:t>Reference</w:t>
            </w:r>
          </w:p>
        </w:tc>
      </w:tr>
      <w:tr w:rsidR="00C47639" w:rsidRPr="00F2295B" w14:paraId="66FCB2A4" w14:textId="77777777" w:rsidTr="00C47639">
        <w:tc>
          <w:tcPr>
            <w:tcW w:w="1253" w:type="pct"/>
          </w:tcPr>
          <w:p w14:paraId="32EF6930" w14:textId="77777777" w:rsidR="00C47639" w:rsidRPr="00F2295B" w:rsidRDefault="00C47639" w:rsidP="00C47639">
            <w:pPr>
              <w:pStyle w:val="Standaard-Tabellen"/>
            </w:pPr>
            <w:r w:rsidRPr="00F2295B">
              <w:t>Explosives</w:t>
            </w:r>
          </w:p>
        </w:tc>
        <w:tc>
          <w:tcPr>
            <w:tcW w:w="796" w:type="pct"/>
          </w:tcPr>
          <w:p w14:paraId="25A31C33" w14:textId="77777777" w:rsidR="00C47639" w:rsidRPr="00F2295B" w:rsidRDefault="00C47639" w:rsidP="00C47639">
            <w:pPr>
              <w:pStyle w:val="Standaard-Tabellen"/>
            </w:pPr>
            <w:r w:rsidRPr="00F2295B">
              <w:t>Waived</w:t>
            </w:r>
          </w:p>
        </w:tc>
        <w:tc>
          <w:tcPr>
            <w:tcW w:w="804" w:type="pct"/>
          </w:tcPr>
          <w:p w14:paraId="7D7D881F" w14:textId="77777777" w:rsidR="00C47639" w:rsidRPr="00F2295B" w:rsidRDefault="00C47639" w:rsidP="00C47639">
            <w:pPr>
              <w:pStyle w:val="Standaard-Tabellen"/>
            </w:pPr>
            <w:r w:rsidRPr="00F2295B">
              <w:t>-</w:t>
            </w:r>
          </w:p>
        </w:tc>
        <w:tc>
          <w:tcPr>
            <w:tcW w:w="1392" w:type="pct"/>
          </w:tcPr>
          <w:p w14:paraId="53DC04EC" w14:textId="77777777" w:rsidR="00C47639" w:rsidRPr="00F2295B" w:rsidRDefault="00C47639" w:rsidP="00C47639">
            <w:pPr>
              <w:pStyle w:val="Standaard-Tabellen"/>
            </w:pPr>
            <w:r w:rsidRPr="00F2295B">
              <w:t>none of ingredients are classified as explosive substances</w:t>
            </w:r>
          </w:p>
        </w:tc>
        <w:tc>
          <w:tcPr>
            <w:tcW w:w="754" w:type="pct"/>
          </w:tcPr>
          <w:p w14:paraId="3AB5AEB9" w14:textId="77777777" w:rsidR="00C47639" w:rsidRPr="00F2295B" w:rsidRDefault="00C47639" w:rsidP="00C47639">
            <w:pPr>
              <w:pStyle w:val="Standaard-Tabellen"/>
            </w:pPr>
            <w:r w:rsidRPr="00F2295B">
              <w:t>-</w:t>
            </w:r>
          </w:p>
        </w:tc>
      </w:tr>
      <w:tr w:rsidR="00C47639" w:rsidRPr="00F2295B" w14:paraId="5FDBFC4F" w14:textId="77777777" w:rsidTr="00C47639">
        <w:tc>
          <w:tcPr>
            <w:tcW w:w="1253" w:type="pct"/>
          </w:tcPr>
          <w:p w14:paraId="075E29B4" w14:textId="77777777" w:rsidR="00C47639" w:rsidRPr="00F2295B" w:rsidRDefault="00C47639" w:rsidP="00C47639">
            <w:pPr>
              <w:pStyle w:val="Standaard-Tabellen"/>
            </w:pPr>
            <w:r w:rsidRPr="00F2295B">
              <w:t>Flammable gases</w:t>
            </w:r>
          </w:p>
        </w:tc>
        <w:tc>
          <w:tcPr>
            <w:tcW w:w="796" w:type="pct"/>
          </w:tcPr>
          <w:p w14:paraId="427295FD" w14:textId="77777777" w:rsidR="00C47639" w:rsidRPr="00F2295B" w:rsidRDefault="00C47639" w:rsidP="00C47639">
            <w:pPr>
              <w:pStyle w:val="Standaard-Tabellen"/>
            </w:pPr>
            <w:r w:rsidRPr="00F2295B">
              <w:t>Waived</w:t>
            </w:r>
          </w:p>
        </w:tc>
        <w:tc>
          <w:tcPr>
            <w:tcW w:w="804" w:type="pct"/>
          </w:tcPr>
          <w:p w14:paraId="40F0DC35" w14:textId="77777777" w:rsidR="00C47639" w:rsidRPr="00F2295B" w:rsidRDefault="00C47639" w:rsidP="00C47639">
            <w:pPr>
              <w:pStyle w:val="Standaard-Tabellen"/>
            </w:pPr>
            <w:r w:rsidRPr="00F2295B">
              <w:t>-</w:t>
            </w:r>
          </w:p>
        </w:tc>
        <w:tc>
          <w:tcPr>
            <w:tcW w:w="1392" w:type="pct"/>
          </w:tcPr>
          <w:p w14:paraId="733CBA2A" w14:textId="77777777" w:rsidR="00C47639" w:rsidRPr="00F2295B" w:rsidRDefault="00C47639" w:rsidP="00C47639">
            <w:pPr>
              <w:pStyle w:val="Standaard-Tabellen"/>
            </w:pPr>
            <w:r w:rsidRPr="00F2295B">
              <w:t>the product is liquid</w:t>
            </w:r>
          </w:p>
        </w:tc>
        <w:tc>
          <w:tcPr>
            <w:tcW w:w="754" w:type="pct"/>
          </w:tcPr>
          <w:p w14:paraId="7BBEC016" w14:textId="77777777" w:rsidR="00C47639" w:rsidRPr="00F2295B" w:rsidRDefault="00C47639" w:rsidP="00C47639">
            <w:pPr>
              <w:pStyle w:val="Standaard-Tabellen"/>
            </w:pPr>
            <w:r w:rsidRPr="00F2295B">
              <w:t>-</w:t>
            </w:r>
          </w:p>
        </w:tc>
      </w:tr>
      <w:tr w:rsidR="00C47639" w:rsidRPr="00F2295B" w14:paraId="5B69FB4A" w14:textId="77777777" w:rsidTr="00C47639">
        <w:tc>
          <w:tcPr>
            <w:tcW w:w="1253" w:type="pct"/>
          </w:tcPr>
          <w:p w14:paraId="156B4755" w14:textId="77777777" w:rsidR="00C47639" w:rsidRPr="00F2295B" w:rsidRDefault="00C47639" w:rsidP="00C47639">
            <w:pPr>
              <w:pStyle w:val="Standaard-Tabellen"/>
            </w:pPr>
            <w:r w:rsidRPr="00F2295B">
              <w:t>Flammable aerosols</w:t>
            </w:r>
          </w:p>
        </w:tc>
        <w:tc>
          <w:tcPr>
            <w:tcW w:w="796" w:type="pct"/>
          </w:tcPr>
          <w:p w14:paraId="4F9C392E" w14:textId="77777777" w:rsidR="00C47639" w:rsidRPr="00F2295B" w:rsidRDefault="00C47639" w:rsidP="00C47639">
            <w:pPr>
              <w:pStyle w:val="Standaard-Tabellen"/>
            </w:pPr>
            <w:r w:rsidRPr="00F2295B">
              <w:t>Waived</w:t>
            </w:r>
          </w:p>
        </w:tc>
        <w:tc>
          <w:tcPr>
            <w:tcW w:w="804" w:type="pct"/>
          </w:tcPr>
          <w:p w14:paraId="374A877B" w14:textId="77777777" w:rsidR="00C47639" w:rsidRPr="00F2295B" w:rsidRDefault="00C47639" w:rsidP="00C47639">
            <w:pPr>
              <w:pStyle w:val="Standaard-Tabellen"/>
            </w:pPr>
            <w:r w:rsidRPr="00F2295B">
              <w:t>-</w:t>
            </w:r>
          </w:p>
        </w:tc>
        <w:tc>
          <w:tcPr>
            <w:tcW w:w="1392" w:type="pct"/>
          </w:tcPr>
          <w:p w14:paraId="413C577E" w14:textId="77777777" w:rsidR="00C47639" w:rsidRPr="00F2295B" w:rsidRDefault="00C47639" w:rsidP="00C47639">
            <w:pPr>
              <w:pStyle w:val="Standaard-Tabellen"/>
            </w:pPr>
            <w:r w:rsidRPr="00F2295B">
              <w:t>the product is liquid</w:t>
            </w:r>
          </w:p>
        </w:tc>
        <w:tc>
          <w:tcPr>
            <w:tcW w:w="754" w:type="pct"/>
          </w:tcPr>
          <w:p w14:paraId="42F5667F" w14:textId="77777777" w:rsidR="00C47639" w:rsidRPr="00F2295B" w:rsidRDefault="00C47639" w:rsidP="00C47639">
            <w:pPr>
              <w:pStyle w:val="Standaard-Tabellen"/>
            </w:pPr>
            <w:r w:rsidRPr="00F2295B">
              <w:t>-</w:t>
            </w:r>
          </w:p>
        </w:tc>
      </w:tr>
      <w:tr w:rsidR="00C47639" w:rsidRPr="00F2295B" w14:paraId="2A45EEFC" w14:textId="77777777" w:rsidTr="00C47639">
        <w:tc>
          <w:tcPr>
            <w:tcW w:w="1253" w:type="pct"/>
          </w:tcPr>
          <w:p w14:paraId="0BDA27F8" w14:textId="77777777" w:rsidR="00C47639" w:rsidRPr="00F2295B" w:rsidRDefault="00C47639" w:rsidP="00C47639">
            <w:pPr>
              <w:pStyle w:val="Standaard-Tabellen"/>
            </w:pPr>
            <w:proofErr w:type="spellStart"/>
            <w:r w:rsidRPr="00F2295B">
              <w:t>Oxidising</w:t>
            </w:r>
            <w:proofErr w:type="spellEnd"/>
            <w:r w:rsidRPr="00F2295B">
              <w:t xml:space="preserve"> gases</w:t>
            </w:r>
          </w:p>
        </w:tc>
        <w:tc>
          <w:tcPr>
            <w:tcW w:w="796" w:type="pct"/>
          </w:tcPr>
          <w:p w14:paraId="4B3BFFA7" w14:textId="77777777" w:rsidR="00C47639" w:rsidRPr="00F2295B" w:rsidRDefault="00C47639" w:rsidP="00C47639">
            <w:pPr>
              <w:pStyle w:val="Standaard-Tabellen"/>
            </w:pPr>
            <w:r w:rsidRPr="00F2295B">
              <w:t>Waived</w:t>
            </w:r>
          </w:p>
        </w:tc>
        <w:tc>
          <w:tcPr>
            <w:tcW w:w="804" w:type="pct"/>
          </w:tcPr>
          <w:p w14:paraId="57CB8A19" w14:textId="77777777" w:rsidR="00C47639" w:rsidRPr="00F2295B" w:rsidRDefault="00C47639" w:rsidP="00C47639">
            <w:pPr>
              <w:pStyle w:val="Standaard-Tabellen"/>
            </w:pPr>
            <w:r w:rsidRPr="00F2295B">
              <w:t>-</w:t>
            </w:r>
          </w:p>
        </w:tc>
        <w:tc>
          <w:tcPr>
            <w:tcW w:w="1392" w:type="pct"/>
          </w:tcPr>
          <w:p w14:paraId="367DD885" w14:textId="77777777" w:rsidR="00C47639" w:rsidRPr="00F2295B" w:rsidRDefault="00C47639" w:rsidP="00C47639">
            <w:pPr>
              <w:pStyle w:val="Standaard-Tabellen"/>
            </w:pPr>
            <w:r w:rsidRPr="00F2295B">
              <w:t>the product is liquid</w:t>
            </w:r>
          </w:p>
        </w:tc>
        <w:tc>
          <w:tcPr>
            <w:tcW w:w="754" w:type="pct"/>
          </w:tcPr>
          <w:p w14:paraId="14E82E53" w14:textId="77777777" w:rsidR="00C47639" w:rsidRPr="00F2295B" w:rsidRDefault="00C47639" w:rsidP="00C47639">
            <w:pPr>
              <w:pStyle w:val="Standaard-Tabellen"/>
            </w:pPr>
            <w:r w:rsidRPr="00F2295B">
              <w:t>-</w:t>
            </w:r>
          </w:p>
        </w:tc>
      </w:tr>
      <w:tr w:rsidR="00C47639" w:rsidRPr="00F2295B" w14:paraId="703704FC" w14:textId="77777777" w:rsidTr="00C47639">
        <w:tc>
          <w:tcPr>
            <w:tcW w:w="1253" w:type="pct"/>
          </w:tcPr>
          <w:p w14:paraId="57EE024D" w14:textId="77777777" w:rsidR="00C47639" w:rsidRPr="00F2295B" w:rsidRDefault="00C47639" w:rsidP="00C47639">
            <w:pPr>
              <w:pStyle w:val="Standaard-Tabellen"/>
            </w:pPr>
            <w:r w:rsidRPr="00F2295B">
              <w:t>Gases under pressure</w:t>
            </w:r>
          </w:p>
        </w:tc>
        <w:tc>
          <w:tcPr>
            <w:tcW w:w="796" w:type="pct"/>
          </w:tcPr>
          <w:p w14:paraId="60DB2C1F" w14:textId="77777777" w:rsidR="00C47639" w:rsidRPr="00F2295B" w:rsidRDefault="00C47639" w:rsidP="00C47639">
            <w:pPr>
              <w:pStyle w:val="Standaard-Tabellen"/>
            </w:pPr>
            <w:r w:rsidRPr="00F2295B">
              <w:t>Waived</w:t>
            </w:r>
          </w:p>
        </w:tc>
        <w:tc>
          <w:tcPr>
            <w:tcW w:w="804" w:type="pct"/>
          </w:tcPr>
          <w:p w14:paraId="53388D88" w14:textId="77777777" w:rsidR="00C47639" w:rsidRPr="00F2295B" w:rsidRDefault="00C47639" w:rsidP="00C47639">
            <w:pPr>
              <w:pStyle w:val="Standaard-Tabellen"/>
            </w:pPr>
            <w:r w:rsidRPr="00F2295B">
              <w:t>-</w:t>
            </w:r>
          </w:p>
        </w:tc>
        <w:tc>
          <w:tcPr>
            <w:tcW w:w="1392" w:type="pct"/>
          </w:tcPr>
          <w:p w14:paraId="3B9A864E" w14:textId="77777777" w:rsidR="00C47639" w:rsidRPr="00F2295B" w:rsidRDefault="00C47639" w:rsidP="00C47639">
            <w:pPr>
              <w:pStyle w:val="Standaard-Tabellen"/>
            </w:pPr>
            <w:r w:rsidRPr="00F2295B">
              <w:t>the product is liquid</w:t>
            </w:r>
          </w:p>
        </w:tc>
        <w:tc>
          <w:tcPr>
            <w:tcW w:w="754" w:type="pct"/>
          </w:tcPr>
          <w:p w14:paraId="321F2764" w14:textId="77777777" w:rsidR="00C47639" w:rsidRPr="00F2295B" w:rsidRDefault="00C47639" w:rsidP="00C47639">
            <w:pPr>
              <w:pStyle w:val="Standaard-Tabellen"/>
            </w:pPr>
            <w:r w:rsidRPr="00F2295B">
              <w:t>-</w:t>
            </w:r>
          </w:p>
        </w:tc>
      </w:tr>
      <w:tr w:rsidR="00C47639" w:rsidRPr="00F2295B" w14:paraId="3D3F34B1" w14:textId="77777777" w:rsidTr="00C47639">
        <w:tc>
          <w:tcPr>
            <w:tcW w:w="1253" w:type="pct"/>
          </w:tcPr>
          <w:p w14:paraId="09C739B3" w14:textId="77777777" w:rsidR="00C47639" w:rsidRPr="00F2295B" w:rsidRDefault="00C47639" w:rsidP="00C47639">
            <w:pPr>
              <w:pStyle w:val="Standaard-Tabellen"/>
            </w:pPr>
            <w:r w:rsidRPr="00F2295B">
              <w:t>Flammable liquids</w:t>
            </w:r>
          </w:p>
        </w:tc>
        <w:tc>
          <w:tcPr>
            <w:tcW w:w="796" w:type="pct"/>
          </w:tcPr>
          <w:p w14:paraId="3AFD4F23" w14:textId="77777777" w:rsidR="00C47639" w:rsidRPr="00F2295B" w:rsidRDefault="00C47639" w:rsidP="00C47639">
            <w:pPr>
              <w:pStyle w:val="Standaard-Tabellen"/>
            </w:pPr>
            <w:r w:rsidRPr="00F2295B">
              <w:t xml:space="preserve">Closed cup flashpoint tester </w:t>
            </w:r>
          </w:p>
        </w:tc>
        <w:tc>
          <w:tcPr>
            <w:tcW w:w="804" w:type="pct"/>
          </w:tcPr>
          <w:p w14:paraId="22D1B3A7" w14:textId="77777777" w:rsidR="00C47639" w:rsidRPr="00F2295B" w:rsidRDefault="00C47639" w:rsidP="00C47639">
            <w:pPr>
              <w:pStyle w:val="Standaard-Tabellen"/>
            </w:pPr>
            <w:r>
              <w:t>Insect Repellent Pump Spray IR3535</w:t>
            </w:r>
            <w:r w:rsidRPr="00033493">
              <w:rPr>
                <w:vertAlign w:val="superscript"/>
              </w:rPr>
              <w:t>®</w:t>
            </w:r>
            <w:r>
              <w:t xml:space="preserve"> 20% without </w:t>
            </w:r>
            <w:proofErr w:type="spellStart"/>
            <w:r>
              <w:t>Bitrex</w:t>
            </w:r>
            <w:proofErr w:type="spellEnd"/>
            <w:r>
              <w:t xml:space="preserve"> </w:t>
            </w:r>
          </w:p>
        </w:tc>
        <w:tc>
          <w:tcPr>
            <w:tcW w:w="1392" w:type="pct"/>
          </w:tcPr>
          <w:p w14:paraId="61E5E183" w14:textId="77777777" w:rsidR="00C47639" w:rsidRPr="00F2295B" w:rsidRDefault="00C47639" w:rsidP="00C47639">
            <w:pPr>
              <w:pStyle w:val="Standaard-Tabellen"/>
            </w:pPr>
            <w:r w:rsidRPr="00F2295B">
              <w:t>Flash point : 28.7°C +-2°</w:t>
            </w:r>
            <w:r w:rsidRPr="00F2295B">
              <w:sym w:font="Wingdings" w:char="F0E0"/>
            </w:r>
            <w:r w:rsidRPr="00F2295B">
              <w:t xml:space="preserve"> Classification in Flam </w:t>
            </w:r>
            <w:proofErr w:type="spellStart"/>
            <w:r w:rsidRPr="00F2295B">
              <w:t>Liq</w:t>
            </w:r>
            <w:proofErr w:type="spellEnd"/>
            <w:r w:rsidRPr="00F2295B">
              <w:t xml:space="preserve"> 3</w:t>
            </w:r>
          </w:p>
        </w:tc>
        <w:tc>
          <w:tcPr>
            <w:tcW w:w="754" w:type="pct"/>
          </w:tcPr>
          <w:p w14:paraId="4B09423E" w14:textId="77777777" w:rsidR="00C47639" w:rsidRPr="00F2295B" w:rsidRDefault="00C47639" w:rsidP="00C47639">
            <w:pPr>
              <w:pStyle w:val="Standaard-Tabellen"/>
            </w:pPr>
            <w:r w:rsidRPr="00F2295B">
              <w:t xml:space="preserve">Study no 242-005, </w:t>
            </w:r>
            <w:proofErr w:type="spellStart"/>
            <w:r w:rsidRPr="00F2295B">
              <w:t>Fieseler</w:t>
            </w:r>
            <w:proofErr w:type="spellEnd"/>
            <w:r w:rsidRPr="00F2295B">
              <w:t xml:space="preserve"> A., 2011</w:t>
            </w:r>
          </w:p>
        </w:tc>
      </w:tr>
      <w:tr w:rsidR="00C47639" w:rsidRPr="00F2295B" w14:paraId="18213D5C" w14:textId="77777777" w:rsidTr="00C47639">
        <w:tc>
          <w:tcPr>
            <w:tcW w:w="1253" w:type="pct"/>
          </w:tcPr>
          <w:p w14:paraId="3CD540EB" w14:textId="77777777" w:rsidR="00C47639" w:rsidRPr="00F2295B" w:rsidRDefault="00C47639" w:rsidP="00C47639">
            <w:pPr>
              <w:pStyle w:val="Standaard-Tabellen"/>
            </w:pPr>
            <w:r w:rsidRPr="00F2295B">
              <w:t>Flammable solids</w:t>
            </w:r>
          </w:p>
        </w:tc>
        <w:tc>
          <w:tcPr>
            <w:tcW w:w="796" w:type="pct"/>
          </w:tcPr>
          <w:p w14:paraId="5C28504F" w14:textId="77777777" w:rsidR="00C47639" w:rsidRPr="00F2295B" w:rsidRDefault="00C47639" w:rsidP="00C47639">
            <w:pPr>
              <w:pStyle w:val="Standaard-Tabellen"/>
            </w:pPr>
            <w:r w:rsidRPr="00F2295B">
              <w:t>Waived</w:t>
            </w:r>
          </w:p>
        </w:tc>
        <w:tc>
          <w:tcPr>
            <w:tcW w:w="804" w:type="pct"/>
          </w:tcPr>
          <w:p w14:paraId="119DD7D8" w14:textId="77777777" w:rsidR="00C47639" w:rsidRPr="00F2295B" w:rsidRDefault="00C47639" w:rsidP="00C47639">
            <w:pPr>
              <w:pStyle w:val="Standaard-Tabellen"/>
            </w:pPr>
            <w:r w:rsidRPr="00F2295B">
              <w:t>-</w:t>
            </w:r>
          </w:p>
        </w:tc>
        <w:tc>
          <w:tcPr>
            <w:tcW w:w="1392" w:type="pct"/>
          </w:tcPr>
          <w:p w14:paraId="6F6E3795" w14:textId="77777777" w:rsidR="00C47639" w:rsidRPr="00F2295B" w:rsidRDefault="00C47639" w:rsidP="00C47639">
            <w:pPr>
              <w:pStyle w:val="Standaard-Tabellen"/>
            </w:pPr>
            <w:r w:rsidRPr="00F2295B">
              <w:t>the product is liquid</w:t>
            </w:r>
          </w:p>
        </w:tc>
        <w:tc>
          <w:tcPr>
            <w:tcW w:w="754" w:type="pct"/>
          </w:tcPr>
          <w:p w14:paraId="72573F38" w14:textId="77777777" w:rsidR="00C47639" w:rsidRPr="00F2295B" w:rsidRDefault="00C47639" w:rsidP="00C47639">
            <w:pPr>
              <w:pStyle w:val="Standaard-Tabellen"/>
            </w:pPr>
            <w:r w:rsidRPr="00F2295B">
              <w:t>-</w:t>
            </w:r>
          </w:p>
        </w:tc>
      </w:tr>
      <w:tr w:rsidR="00C47639" w:rsidRPr="00F2295B" w14:paraId="3250F2D2" w14:textId="77777777" w:rsidTr="00C47639">
        <w:tc>
          <w:tcPr>
            <w:tcW w:w="1253" w:type="pct"/>
          </w:tcPr>
          <w:p w14:paraId="4E3BA932" w14:textId="77777777" w:rsidR="00C47639" w:rsidRPr="00F2295B" w:rsidRDefault="00C47639" w:rsidP="00C47639">
            <w:pPr>
              <w:pStyle w:val="Standaard-Tabellen"/>
            </w:pPr>
            <w:r w:rsidRPr="00F2295B">
              <w:t>Self-reactive substances and mixtures</w:t>
            </w:r>
          </w:p>
        </w:tc>
        <w:tc>
          <w:tcPr>
            <w:tcW w:w="796" w:type="pct"/>
          </w:tcPr>
          <w:p w14:paraId="61D6B489" w14:textId="77777777" w:rsidR="00C47639" w:rsidRPr="00F2295B" w:rsidRDefault="00C47639" w:rsidP="00C47639">
            <w:pPr>
              <w:pStyle w:val="Standaard-Tabellen"/>
            </w:pPr>
            <w:r w:rsidRPr="00F2295B">
              <w:t>Waived</w:t>
            </w:r>
          </w:p>
        </w:tc>
        <w:tc>
          <w:tcPr>
            <w:tcW w:w="804" w:type="pct"/>
          </w:tcPr>
          <w:p w14:paraId="04D8CFA7" w14:textId="77777777" w:rsidR="00C47639" w:rsidRPr="00F2295B" w:rsidRDefault="00C47639" w:rsidP="00C47639">
            <w:pPr>
              <w:pStyle w:val="Standaard-Tabellen"/>
            </w:pPr>
            <w:r w:rsidRPr="00F2295B">
              <w:t>-</w:t>
            </w:r>
          </w:p>
        </w:tc>
        <w:tc>
          <w:tcPr>
            <w:tcW w:w="1392" w:type="pct"/>
          </w:tcPr>
          <w:p w14:paraId="0CA2F204" w14:textId="77777777" w:rsidR="00C47639" w:rsidRPr="00F2295B" w:rsidRDefault="00C47639" w:rsidP="00C47639">
            <w:pPr>
              <w:pStyle w:val="Standaard-Tabellen"/>
            </w:pPr>
            <w:r w:rsidRPr="00F2295B">
              <w:t>none of ingredients are classified as self-reactive substances</w:t>
            </w:r>
          </w:p>
        </w:tc>
        <w:tc>
          <w:tcPr>
            <w:tcW w:w="754" w:type="pct"/>
          </w:tcPr>
          <w:p w14:paraId="622B4DB5" w14:textId="77777777" w:rsidR="00C47639" w:rsidRPr="00F2295B" w:rsidRDefault="00C47639" w:rsidP="00C47639">
            <w:pPr>
              <w:pStyle w:val="Standaard-Tabellen"/>
            </w:pPr>
            <w:r w:rsidRPr="00F2295B">
              <w:t>-</w:t>
            </w:r>
          </w:p>
        </w:tc>
      </w:tr>
      <w:tr w:rsidR="00C47639" w:rsidRPr="00F2295B" w14:paraId="750C798D" w14:textId="77777777" w:rsidTr="00C47639">
        <w:tc>
          <w:tcPr>
            <w:tcW w:w="1253" w:type="pct"/>
          </w:tcPr>
          <w:p w14:paraId="66802280" w14:textId="77777777" w:rsidR="00C47639" w:rsidRPr="00F2295B" w:rsidRDefault="00C47639" w:rsidP="00C47639">
            <w:pPr>
              <w:pStyle w:val="Standaard-Tabellen"/>
            </w:pPr>
            <w:r w:rsidRPr="00F2295B">
              <w:t>Pyrophoric liquids</w:t>
            </w:r>
          </w:p>
        </w:tc>
        <w:tc>
          <w:tcPr>
            <w:tcW w:w="796" w:type="pct"/>
          </w:tcPr>
          <w:p w14:paraId="5CB87BE3" w14:textId="77777777" w:rsidR="00C47639" w:rsidRPr="00F2295B" w:rsidRDefault="00C47639" w:rsidP="00C47639">
            <w:pPr>
              <w:pStyle w:val="Standaard-Tabellen"/>
            </w:pPr>
            <w:r w:rsidRPr="00F2295B">
              <w:t>Waived</w:t>
            </w:r>
          </w:p>
        </w:tc>
        <w:tc>
          <w:tcPr>
            <w:tcW w:w="804" w:type="pct"/>
          </w:tcPr>
          <w:p w14:paraId="2C75A92E" w14:textId="77777777" w:rsidR="00C47639" w:rsidRPr="00F2295B" w:rsidRDefault="00C47639" w:rsidP="00C47639">
            <w:pPr>
              <w:pStyle w:val="Standaard-Tabellen"/>
            </w:pPr>
            <w:r w:rsidRPr="00F2295B">
              <w:t>-</w:t>
            </w:r>
          </w:p>
        </w:tc>
        <w:tc>
          <w:tcPr>
            <w:tcW w:w="1392" w:type="pct"/>
          </w:tcPr>
          <w:p w14:paraId="38E80AE6" w14:textId="77777777" w:rsidR="00C47639" w:rsidRPr="00F2295B" w:rsidRDefault="00C47639" w:rsidP="00C47639">
            <w:pPr>
              <w:pStyle w:val="Standaard-Tabellen"/>
            </w:pPr>
            <w:r w:rsidRPr="00F2295B">
              <w:t>none of ingredients are classified as pyrophoric substances</w:t>
            </w:r>
          </w:p>
        </w:tc>
        <w:tc>
          <w:tcPr>
            <w:tcW w:w="754" w:type="pct"/>
          </w:tcPr>
          <w:p w14:paraId="38F6F472" w14:textId="77777777" w:rsidR="00C47639" w:rsidRPr="00F2295B" w:rsidRDefault="00C47639" w:rsidP="00C47639">
            <w:pPr>
              <w:pStyle w:val="Standaard-Tabellen"/>
            </w:pPr>
            <w:r w:rsidRPr="00F2295B">
              <w:t>-</w:t>
            </w:r>
          </w:p>
        </w:tc>
      </w:tr>
      <w:tr w:rsidR="00C47639" w:rsidRPr="00F2295B" w14:paraId="3F9CAC01" w14:textId="77777777" w:rsidTr="00C47639">
        <w:tc>
          <w:tcPr>
            <w:tcW w:w="1253" w:type="pct"/>
          </w:tcPr>
          <w:p w14:paraId="7AA002A4" w14:textId="77777777" w:rsidR="00C47639" w:rsidRPr="00F2295B" w:rsidRDefault="00C47639" w:rsidP="00C47639">
            <w:pPr>
              <w:pStyle w:val="Standaard-Tabellen"/>
            </w:pPr>
            <w:r w:rsidRPr="00F2295B">
              <w:t>Pyrophoric solids</w:t>
            </w:r>
          </w:p>
        </w:tc>
        <w:tc>
          <w:tcPr>
            <w:tcW w:w="796" w:type="pct"/>
          </w:tcPr>
          <w:p w14:paraId="6792477C" w14:textId="77777777" w:rsidR="00C47639" w:rsidRPr="00F2295B" w:rsidRDefault="00C47639" w:rsidP="00C47639">
            <w:pPr>
              <w:pStyle w:val="Standaard-Tabellen"/>
            </w:pPr>
            <w:r w:rsidRPr="00F2295B">
              <w:t>Waived</w:t>
            </w:r>
          </w:p>
        </w:tc>
        <w:tc>
          <w:tcPr>
            <w:tcW w:w="804" w:type="pct"/>
          </w:tcPr>
          <w:p w14:paraId="71CD4E44" w14:textId="77777777" w:rsidR="00C47639" w:rsidRPr="00F2295B" w:rsidRDefault="00C47639" w:rsidP="00C47639">
            <w:pPr>
              <w:pStyle w:val="Standaard-Tabellen"/>
            </w:pPr>
            <w:r w:rsidRPr="00F2295B">
              <w:t>-</w:t>
            </w:r>
          </w:p>
        </w:tc>
        <w:tc>
          <w:tcPr>
            <w:tcW w:w="1392" w:type="pct"/>
          </w:tcPr>
          <w:p w14:paraId="6C4067F5" w14:textId="77777777" w:rsidR="00C47639" w:rsidRPr="00F2295B" w:rsidRDefault="00C47639" w:rsidP="00C47639">
            <w:pPr>
              <w:pStyle w:val="Standaard-Tabellen"/>
            </w:pPr>
            <w:r w:rsidRPr="00F2295B">
              <w:t>the product is liquid</w:t>
            </w:r>
          </w:p>
        </w:tc>
        <w:tc>
          <w:tcPr>
            <w:tcW w:w="754" w:type="pct"/>
          </w:tcPr>
          <w:p w14:paraId="7DE11983" w14:textId="77777777" w:rsidR="00C47639" w:rsidRPr="00F2295B" w:rsidRDefault="00C47639" w:rsidP="00C47639">
            <w:pPr>
              <w:pStyle w:val="Standaard-Tabellen"/>
            </w:pPr>
            <w:r w:rsidRPr="00F2295B">
              <w:t>-</w:t>
            </w:r>
          </w:p>
        </w:tc>
      </w:tr>
      <w:tr w:rsidR="00C47639" w:rsidRPr="00F2295B" w14:paraId="056F9F25" w14:textId="77777777" w:rsidTr="00C47639">
        <w:tc>
          <w:tcPr>
            <w:tcW w:w="1253" w:type="pct"/>
          </w:tcPr>
          <w:p w14:paraId="787F6E1D" w14:textId="77777777" w:rsidR="00C47639" w:rsidRPr="00F2295B" w:rsidRDefault="00C47639" w:rsidP="00C47639">
            <w:pPr>
              <w:pStyle w:val="Standaard-Tabellen"/>
            </w:pPr>
            <w:r w:rsidRPr="00F2295B">
              <w:t>Self-heating substances and mixtures</w:t>
            </w:r>
          </w:p>
        </w:tc>
        <w:tc>
          <w:tcPr>
            <w:tcW w:w="796" w:type="pct"/>
          </w:tcPr>
          <w:p w14:paraId="4BB040E0" w14:textId="77777777" w:rsidR="00C47639" w:rsidRPr="00F2295B" w:rsidRDefault="00C47639" w:rsidP="00C47639">
            <w:pPr>
              <w:pStyle w:val="Standaard-Tabellen"/>
            </w:pPr>
            <w:r w:rsidRPr="00F2295B">
              <w:t>Waived</w:t>
            </w:r>
          </w:p>
        </w:tc>
        <w:tc>
          <w:tcPr>
            <w:tcW w:w="804" w:type="pct"/>
          </w:tcPr>
          <w:p w14:paraId="43B5B268" w14:textId="77777777" w:rsidR="00C47639" w:rsidRPr="00F2295B" w:rsidRDefault="00C47639" w:rsidP="00C47639">
            <w:pPr>
              <w:pStyle w:val="Standaard-Tabellen"/>
            </w:pPr>
            <w:r w:rsidRPr="00F2295B">
              <w:t>-</w:t>
            </w:r>
          </w:p>
        </w:tc>
        <w:tc>
          <w:tcPr>
            <w:tcW w:w="1392" w:type="pct"/>
          </w:tcPr>
          <w:p w14:paraId="2C8A223D" w14:textId="77777777" w:rsidR="00C47639" w:rsidRPr="00F2295B" w:rsidRDefault="00C47639" w:rsidP="00C47639">
            <w:pPr>
              <w:pStyle w:val="Standaard-Tabellen"/>
            </w:pPr>
            <w:r w:rsidRPr="00F2295B">
              <w:t>none of ingredients are classified as self-heating substances</w:t>
            </w:r>
          </w:p>
        </w:tc>
        <w:tc>
          <w:tcPr>
            <w:tcW w:w="754" w:type="pct"/>
          </w:tcPr>
          <w:p w14:paraId="4A504B90" w14:textId="77777777" w:rsidR="00C47639" w:rsidRPr="00F2295B" w:rsidRDefault="00C47639" w:rsidP="00C47639">
            <w:pPr>
              <w:pStyle w:val="Standaard-Tabellen"/>
            </w:pPr>
            <w:r w:rsidRPr="00F2295B">
              <w:t>-</w:t>
            </w:r>
          </w:p>
        </w:tc>
      </w:tr>
      <w:tr w:rsidR="00C47639" w:rsidRPr="00F2295B" w14:paraId="7FCBAE0F" w14:textId="77777777" w:rsidTr="00C47639">
        <w:tc>
          <w:tcPr>
            <w:tcW w:w="1253" w:type="pct"/>
          </w:tcPr>
          <w:p w14:paraId="2638FB07" w14:textId="77777777" w:rsidR="00C47639" w:rsidRPr="00F2295B" w:rsidRDefault="00C47639" w:rsidP="00C47639">
            <w:pPr>
              <w:pStyle w:val="Standaard-Tabellen"/>
            </w:pPr>
            <w:r w:rsidRPr="00F2295B">
              <w:t>Substances and mixtures which in contact with water emit flammable gases</w:t>
            </w:r>
          </w:p>
        </w:tc>
        <w:tc>
          <w:tcPr>
            <w:tcW w:w="796" w:type="pct"/>
          </w:tcPr>
          <w:p w14:paraId="7302F1F0" w14:textId="77777777" w:rsidR="00C47639" w:rsidRPr="00F2295B" w:rsidRDefault="00C47639" w:rsidP="00C47639">
            <w:pPr>
              <w:pStyle w:val="Standaard-Tabellen"/>
            </w:pPr>
            <w:r w:rsidRPr="00F2295B">
              <w:t>Waived</w:t>
            </w:r>
          </w:p>
        </w:tc>
        <w:tc>
          <w:tcPr>
            <w:tcW w:w="804" w:type="pct"/>
          </w:tcPr>
          <w:p w14:paraId="53087F72" w14:textId="77777777" w:rsidR="00C47639" w:rsidRPr="00F2295B" w:rsidRDefault="00C47639" w:rsidP="00C47639">
            <w:pPr>
              <w:pStyle w:val="Standaard-Tabellen"/>
            </w:pPr>
            <w:r w:rsidRPr="00F2295B">
              <w:t>-</w:t>
            </w:r>
          </w:p>
        </w:tc>
        <w:tc>
          <w:tcPr>
            <w:tcW w:w="1392" w:type="pct"/>
          </w:tcPr>
          <w:p w14:paraId="080E0A9D" w14:textId="77777777" w:rsidR="00C47639" w:rsidRPr="00F2295B" w:rsidRDefault="00C47639" w:rsidP="00C47639">
            <w:pPr>
              <w:pStyle w:val="Standaard-Tabellen"/>
            </w:pPr>
            <w:r w:rsidRPr="00F2295B">
              <w:t>none of ingredients are classified as able to emit flammable gases in contact with water</w:t>
            </w:r>
          </w:p>
        </w:tc>
        <w:tc>
          <w:tcPr>
            <w:tcW w:w="754" w:type="pct"/>
          </w:tcPr>
          <w:p w14:paraId="1DB9E67B" w14:textId="77777777" w:rsidR="00C47639" w:rsidRPr="00F2295B" w:rsidRDefault="00C47639" w:rsidP="00C47639">
            <w:pPr>
              <w:pStyle w:val="Standaard-Tabellen"/>
            </w:pPr>
            <w:r w:rsidRPr="00F2295B">
              <w:t>-</w:t>
            </w:r>
          </w:p>
        </w:tc>
      </w:tr>
      <w:tr w:rsidR="00C47639" w:rsidRPr="00F2295B" w14:paraId="6E2236A9" w14:textId="77777777" w:rsidTr="00C47639">
        <w:tc>
          <w:tcPr>
            <w:tcW w:w="1253" w:type="pct"/>
          </w:tcPr>
          <w:p w14:paraId="43E16A30" w14:textId="77777777" w:rsidR="00C47639" w:rsidRPr="00F2295B" w:rsidRDefault="00C47639" w:rsidP="00C47639">
            <w:pPr>
              <w:pStyle w:val="Standaard-Tabellen"/>
            </w:pPr>
            <w:proofErr w:type="spellStart"/>
            <w:r w:rsidRPr="00F2295B">
              <w:t>Oxidising</w:t>
            </w:r>
            <w:proofErr w:type="spellEnd"/>
            <w:r w:rsidRPr="00F2295B">
              <w:t xml:space="preserve"> liquids</w:t>
            </w:r>
          </w:p>
        </w:tc>
        <w:tc>
          <w:tcPr>
            <w:tcW w:w="796" w:type="pct"/>
          </w:tcPr>
          <w:p w14:paraId="39B38D47" w14:textId="77777777" w:rsidR="00C47639" w:rsidRPr="00F2295B" w:rsidRDefault="00C47639" w:rsidP="00C47639">
            <w:pPr>
              <w:pStyle w:val="Standaard-Tabellen"/>
            </w:pPr>
            <w:r w:rsidRPr="00F2295B">
              <w:t>Waived</w:t>
            </w:r>
          </w:p>
        </w:tc>
        <w:tc>
          <w:tcPr>
            <w:tcW w:w="804" w:type="pct"/>
          </w:tcPr>
          <w:p w14:paraId="383FAE77" w14:textId="77777777" w:rsidR="00C47639" w:rsidRPr="00F2295B" w:rsidRDefault="00C47639" w:rsidP="00C47639">
            <w:pPr>
              <w:pStyle w:val="Standaard-Tabellen"/>
            </w:pPr>
            <w:r w:rsidRPr="00F2295B">
              <w:t>-</w:t>
            </w:r>
          </w:p>
        </w:tc>
        <w:tc>
          <w:tcPr>
            <w:tcW w:w="1392" w:type="pct"/>
          </w:tcPr>
          <w:p w14:paraId="7E14E49E" w14:textId="77777777" w:rsidR="00C47639" w:rsidRPr="00F2295B" w:rsidRDefault="00C47639" w:rsidP="00C47639">
            <w:pPr>
              <w:pStyle w:val="Standaard-Tabellen"/>
            </w:pPr>
            <w:r w:rsidRPr="00F2295B">
              <w:t xml:space="preserve">none of ingredients are classified as </w:t>
            </w:r>
            <w:proofErr w:type="spellStart"/>
            <w:r w:rsidRPr="00F2295B">
              <w:t>oxidising</w:t>
            </w:r>
            <w:proofErr w:type="spellEnd"/>
            <w:r w:rsidRPr="00F2295B">
              <w:t xml:space="preserve"> substances</w:t>
            </w:r>
          </w:p>
        </w:tc>
        <w:tc>
          <w:tcPr>
            <w:tcW w:w="754" w:type="pct"/>
          </w:tcPr>
          <w:p w14:paraId="029375FE" w14:textId="77777777" w:rsidR="00C47639" w:rsidRPr="00F2295B" w:rsidRDefault="00C47639" w:rsidP="00C47639">
            <w:pPr>
              <w:pStyle w:val="Standaard-Tabellen"/>
            </w:pPr>
            <w:r w:rsidRPr="00F2295B">
              <w:t>-</w:t>
            </w:r>
          </w:p>
        </w:tc>
      </w:tr>
      <w:tr w:rsidR="00C47639" w:rsidRPr="00F2295B" w14:paraId="130DBF9D" w14:textId="77777777" w:rsidTr="00C47639">
        <w:tc>
          <w:tcPr>
            <w:tcW w:w="1253" w:type="pct"/>
          </w:tcPr>
          <w:p w14:paraId="3197E3BD" w14:textId="77777777" w:rsidR="00C47639" w:rsidRPr="00F2295B" w:rsidRDefault="00C47639" w:rsidP="00C47639">
            <w:pPr>
              <w:pStyle w:val="Standaard-Tabellen"/>
            </w:pPr>
            <w:proofErr w:type="spellStart"/>
            <w:r w:rsidRPr="00F2295B">
              <w:t>Oxidising</w:t>
            </w:r>
            <w:proofErr w:type="spellEnd"/>
            <w:r w:rsidRPr="00F2295B">
              <w:t xml:space="preserve"> solids</w:t>
            </w:r>
          </w:p>
        </w:tc>
        <w:tc>
          <w:tcPr>
            <w:tcW w:w="796" w:type="pct"/>
          </w:tcPr>
          <w:p w14:paraId="2B089B42" w14:textId="77777777" w:rsidR="00C47639" w:rsidRPr="00F2295B" w:rsidRDefault="00C47639" w:rsidP="00C47639">
            <w:pPr>
              <w:pStyle w:val="Standaard-Tabellen"/>
            </w:pPr>
            <w:r w:rsidRPr="00F2295B">
              <w:t>Waived</w:t>
            </w:r>
          </w:p>
        </w:tc>
        <w:tc>
          <w:tcPr>
            <w:tcW w:w="804" w:type="pct"/>
          </w:tcPr>
          <w:p w14:paraId="04390567" w14:textId="77777777" w:rsidR="00C47639" w:rsidRPr="00F2295B" w:rsidRDefault="00C47639" w:rsidP="00C47639">
            <w:pPr>
              <w:pStyle w:val="Standaard-Tabellen"/>
            </w:pPr>
            <w:r w:rsidRPr="00F2295B">
              <w:t>-</w:t>
            </w:r>
          </w:p>
        </w:tc>
        <w:tc>
          <w:tcPr>
            <w:tcW w:w="1392" w:type="pct"/>
          </w:tcPr>
          <w:p w14:paraId="1A90EC67" w14:textId="77777777" w:rsidR="00C47639" w:rsidRPr="00F2295B" w:rsidRDefault="00C47639" w:rsidP="00C47639">
            <w:pPr>
              <w:pStyle w:val="Standaard-Tabellen"/>
            </w:pPr>
            <w:r w:rsidRPr="00F2295B">
              <w:t>the product is liquid</w:t>
            </w:r>
          </w:p>
        </w:tc>
        <w:tc>
          <w:tcPr>
            <w:tcW w:w="754" w:type="pct"/>
          </w:tcPr>
          <w:p w14:paraId="44C9F6CC" w14:textId="77777777" w:rsidR="00C47639" w:rsidRPr="00F2295B" w:rsidRDefault="00C47639" w:rsidP="00C47639">
            <w:pPr>
              <w:pStyle w:val="Standaard-Tabellen"/>
            </w:pPr>
            <w:r w:rsidRPr="00F2295B">
              <w:t>-</w:t>
            </w:r>
          </w:p>
        </w:tc>
      </w:tr>
      <w:tr w:rsidR="00C47639" w:rsidRPr="00F2295B" w14:paraId="4EDD6F71" w14:textId="77777777" w:rsidTr="00C47639">
        <w:tc>
          <w:tcPr>
            <w:tcW w:w="1253" w:type="pct"/>
          </w:tcPr>
          <w:p w14:paraId="117C92CD" w14:textId="77777777" w:rsidR="00C47639" w:rsidRPr="00F2295B" w:rsidRDefault="00C47639" w:rsidP="00C47639">
            <w:pPr>
              <w:pStyle w:val="Standaard-Tabellen"/>
            </w:pPr>
            <w:r w:rsidRPr="00F2295B">
              <w:lastRenderedPageBreak/>
              <w:t>Organic peroxides</w:t>
            </w:r>
          </w:p>
        </w:tc>
        <w:tc>
          <w:tcPr>
            <w:tcW w:w="796" w:type="pct"/>
          </w:tcPr>
          <w:p w14:paraId="73186EC1" w14:textId="77777777" w:rsidR="00C47639" w:rsidRPr="00F2295B" w:rsidRDefault="00C47639" w:rsidP="00C47639">
            <w:pPr>
              <w:pStyle w:val="Standaard-Tabellen"/>
            </w:pPr>
            <w:r w:rsidRPr="00F2295B">
              <w:t>Waived</w:t>
            </w:r>
          </w:p>
        </w:tc>
        <w:tc>
          <w:tcPr>
            <w:tcW w:w="804" w:type="pct"/>
          </w:tcPr>
          <w:p w14:paraId="0B5DC95E" w14:textId="77777777" w:rsidR="00C47639" w:rsidRPr="00F2295B" w:rsidRDefault="00C47639" w:rsidP="00C47639">
            <w:pPr>
              <w:pStyle w:val="Standaard-Tabellen"/>
            </w:pPr>
            <w:r w:rsidRPr="00F2295B">
              <w:t>-</w:t>
            </w:r>
          </w:p>
        </w:tc>
        <w:tc>
          <w:tcPr>
            <w:tcW w:w="1392" w:type="pct"/>
          </w:tcPr>
          <w:p w14:paraId="2802DA51" w14:textId="77777777" w:rsidR="00C47639" w:rsidRPr="00F2295B" w:rsidRDefault="00C47639" w:rsidP="00C47639">
            <w:pPr>
              <w:pStyle w:val="Standaard-Tabellen"/>
            </w:pPr>
            <w:r w:rsidRPr="00F2295B">
              <w:t>none of ingredients are classified as organic peroxides</w:t>
            </w:r>
          </w:p>
        </w:tc>
        <w:tc>
          <w:tcPr>
            <w:tcW w:w="754" w:type="pct"/>
          </w:tcPr>
          <w:p w14:paraId="107E0DA0" w14:textId="77777777" w:rsidR="00C47639" w:rsidRPr="00F2295B" w:rsidRDefault="00C47639" w:rsidP="00C47639">
            <w:pPr>
              <w:pStyle w:val="Standaard-Tabellen"/>
            </w:pPr>
            <w:r w:rsidRPr="00F2295B">
              <w:t>-</w:t>
            </w:r>
          </w:p>
        </w:tc>
      </w:tr>
      <w:tr w:rsidR="00C47639" w:rsidRPr="00F2295B" w14:paraId="0461BF84" w14:textId="77777777" w:rsidTr="00C47639">
        <w:tc>
          <w:tcPr>
            <w:tcW w:w="1253" w:type="pct"/>
          </w:tcPr>
          <w:p w14:paraId="2009245C" w14:textId="77777777" w:rsidR="00C47639" w:rsidRPr="00F2295B" w:rsidRDefault="00C47639" w:rsidP="00C47639">
            <w:pPr>
              <w:pStyle w:val="Standaard-Tabellen"/>
            </w:pPr>
            <w:r w:rsidRPr="00F2295B">
              <w:t>Corrosive to metals</w:t>
            </w:r>
          </w:p>
        </w:tc>
        <w:tc>
          <w:tcPr>
            <w:tcW w:w="796" w:type="pct"/>
          </w:tcPr>
          <w:p w14:paraId="19C49CE4" w14:textId="77777777" w:rsidR="00C47639" w:rsidRPr="00F2295B" w:rsidRDefault="00C47639" w:rsidP="00C47639">
            <w:pPr>
              <w:pStyle w:val="Standaard-Tabellen"/>
            </w:pPr>
            <w:r w:rsidRPr="00F2295B">
              <w:t>Waived</w:t>
            </w:r>
          </w:p>
        </w:tc>
        <w:tc>
          <w:tcPr>
            <w:tcW w:w="804" w:type="pct"/>
          </w:tcPr>
          <w:p w14:paraId="26C38489" w14:textId="77777777" w:rsidR="00C47639" w:rsidRPr="00F2295B" w:rsidRDefault="00C47639" w:rsidP="00C47639">
            <w:pPr>
              <w:pStyle w:val="Standaard-Tabellen"/>
            </w:pPr>
            <w:r w:rsidRPr="00F2295B">
              <w:t>-</w:t>
            </w:r>
          </w:p>
        </w:tc>
        <w:tc>
          <w:tcPr>
            <w:tcW w:w="1392" w:type="pct"/>
          </w:tcPr>
          <w:p w14:paraId="35C04DF8" w14:textId="77777777" w:rsidR="00C47639" w:rsidRPr="00F2295B" w:rsidRDefault="00C47639" w:rsidP="00C47639">
            <w:pPr>
              <w:pStyle w:val="Standaard-Tabellen"/>
            </w:pPr>
            <w:r w:rsidRPr="00F2295B">
              <w:t>none of ingredients are classified as corrosive to metals</w:t>
            </w:r>
          </w:p>
        </w:tc>
        <w:tc>
          <w:tcPr>
            <w:tcW w:w="754" w:type="pct"/>
          </w:tcPr>
          <w:p w14:paraId="2D7BE089" w14:textId="77777777" w:rsidR="00C47639" w:rsidRPr="00F2295B" w:rsidRDefault="00C47639" w:rsidP="00C47639">
            <w:pPr>
              <w:pStyle w:val="Standaard-Tabellen"/>
            </w:pPr>
            <w:r w:rsidRPr="00F2295B">
              <w:t>-</w:t>
            </w:r>
          </w:p>
        </w:tc>
      </w:tr>
      <w:tr w:rsidR="00C47639" w:rsidRPr="00F2295B" w14:paraId="7674AC4D" w14:textId="77777777" w:rsidTr="00C47639">
        <w:tc>
          <w:tcPr>
            <w:tcW w:w="1253" w:type="pct"/>
          </w:tcPr>
          <w:p w14:paraId="34FCD2F7" w14:textId="77777777" w:rsidR="00C47639" w:rsidRPr="00F2295B" w:rsidRDefault="00C47639" w:rsidP="00C47639">
            <w:pPr>
              <w:pStyle w:val="Standaard-Tabellen"/>
            </w:pPr>
            <w:r w:rsidRPr="00F2295B">
              <w:t>Auto-ignition temperatures of products (liquids and gases)</w:t>
            </w:r>
          </w:p>
        </w:tc>
        <w:tc>
          <w:tcPr>
            <w:tcW w:w="796" w:type="pct"/>
          </w:tcPr>
          <w:p w14:paraId="6236276B" w14:textId="77777777" w:rsidR="00C47639" w:rsidRPr="00F2295B" w:rsidRDefault="00C47639" w:rsidP="00C47639">
            <w:pPr>
              <w:pStyle w:val="Standaard-Tabellen"/>
            </w:pPr>
            <w:r w:rsidRPr="00F2295B">
              <w:t>EC A15 auto-ignition temperature (l &amp; g)</w:t>
            </w:r>
          </w:p>
        </w:tc>
        <w:tc>
          <w:tcPr>
            <w:tcW w:w="804" w:type="pct"/>
          </w:tcPr>
          <w:p w14:paraId="52931DF8" w14:textId="77777777" w:rsidR="00C47639" w:rsidRPr="00F2295B" w:rsidRDefault="00C47639" w:rsidP="00C47639">
            <w:pPr>
              <w:pStyle w:val="Standaard-Tabellen"/>
            </w:pPr>
            <w:r>
              <w:t>Insect Repellent Pump Spray IR3535</w:t>
            </w:r>
            <w:r w:rsidRPr="00033493">
              <w:rPr>
                <w:vertAlign w:val="superscript"/>
              </w:rPr>
              <w:t>®</w:t>
            </w:r>
            <w:r>
              <w:t xml:space="preserve"> 20% without </w:t>
            </w:r>
            <w:proofErr w:type="spellStart"/>
            <w:r>
              <w:t>Bitrex</w:t>
            </w:r>
            <w:proofErr w:type="spellEnd"/>
          </w:p>
        </w:tc>
        <w:tc>
          <w:tcPr>
            <w:tcW w:w="1392" w:type="pct"/>
          </w:tcPr>
          <w:p w14:paraId="70F194B9" w14:textId="77777777" w:rsidR="00C47639" w:rsidRPr="00F2295B" w:rsidRDefault="00C47639" w:rsidP="00C47639">
            <w:pPr>
              <w:pStyle w:val="Standaard-Tabellen"/>
            </w:pPr>
            <w:r w:rsidRPr="00F2295B">
              <w:t>Auto-ignition temperature = 440°C</w:t>
            </w:r>
          </w:p>
        </w:tc>
        <w:tc>
          <w:tcPr>
            <w:tcW w:w="754" w:type="pct"/>
          </w:tcPr>
          <w:p w14:paraId="7EE3710B" w14:textId="77777777" w:rsidR="00C47639" w:rsidRPr="00F2295B" w:rsidRDefault="00C47639" w:rsidP="00C47639">
            <w:pPr>
              <w:pStyle w:val="Standaard-Tabellen"/>
            </w:pPr>
            <w:r w:rsidRPr="00F2295B">
              <w:t xml:space="preserve">Study no 242-002, </w:t>
            </w:r>
            <w:proofErr w:type="spellStart"/>
            <w:r w:rsidRPr="00F2295B">
              <w:t>Dornhagen</w:t>
            </w:r>
            <w:proofErr w:type="spellEnd"/>
            <w:r w:rsidRPr="00F2295B">
              <w:t xml:space="preserve"> J., 2011</w:t>
            </w:r>
          </w:p>
        </w:tc>
      </w:tr>
      <w:tr w:rsidR="00C47639" w:rsidRPr="00F2295B" w14:paraId="632F547E" w14:textId="77777777" w:rsidTr="00C47639">
        <w:tc>
          <w:tcPr>
            <w:tcW w:w="1253" w:type="pct"/>
          </w:tcPr>
          <w:p w14:paraId="7503092B" w14:textId="77777777" w:rsidR="00C47639" w:rsidRPr="00F2295B" w:rsidRDefault="00C47639" w:rsidP="00C47639">
            <w:pPr>
              <w:pStyle w:val="Standaard-Tabellen"/>
            </w:pPr>
            <w:r w:rsidRPr="00F2295B">
              <w:t>Relative self-ignition temperature for solids</w:t>
            </w:r>
          </w:p>
        </w:tc>
        <w:tc>
          <w:tcPr>
            <w:tcW w:w="796" w:type="pct"/>
          </w:tcPr>
          <w:p w14:paraId="1083B8ED" w14:textId="77777777" w:rsidR="00C47639" w:rsidRPr="00F2295B" w:rsidRDefault="00C47639" w:rsidP="00C47639">
            <w:pPr>
              <w:pStyle w:val="Standaard-Tabellen"/>
            </w:pPr>
            <w:r w:rsidRPr="00F2295B">
              <w:t>Waived</w:t>
            </w:r>
          </w:p>
        </w:tc>
        <w:tc>
          <w:tcPr>
            <w:tcW w:w="804" w:type="pct"/>
          </w:tcPr>
          <w:p w14:paraId="285A0AC8" w14:textId="77777777" w:rsidR="00C47639" w:rsidRPr="00F2295B" w:rsidRDefault="00C47639" w:rsidP="00C47639">
            <w:pPr>
              <w:pStyle w:val="Standaard-Tabellen"/>
            </w:pPr>
            <w:r w:rsidRPr="00F2295B">
              <w:t>-</w:t>
            </w:r>
          </w:p>
        </w:tc>
        <w:tc>
          <w:tcPr>
            <w:tcW w:w="1392" w:type="pct"/>
          </w:tcPr>
          <w:p w14:paraId="215C545A" w14:textId="77777777" w:rsidR="00C47639" w:rsidRPr="00F2295B" w:rsidRDefault="00C47639" w:rsidP="00C47639">
            <w:pPr>
              <w:pStyle w:val="Standaard-Tabellen"/>
            </w:pPr>
            <w:r w:rsidRPr="00F2295B">
              <w:t>the product is liquid</w:t>
            </w:r>
          </w:p>
        </w:tc>
        <w:tc>
          <w:tcPr>
            <w:tcW w:w="754" w:type="pct"/>
          </w:tcPr>
          <w:p w14:paraId="6E1CD549" w14:textId="77777777" w:rsidR="00C47639" w:rsidRPr="00F2295B" w:rsidRDefault="00C47639" w:rsidP="00C47639">
            <w:pPr>
              <w:pStyle w:val="Standaard-Tabellen"/>
            </w:pPr>
            <w:r w:rsidRPr="00F2295B">
              <w:t>-</w:t>
            </w:r>
          </w:p>
        </w:tc>
      </w:tr>
      <w:tr w:rsidR="00C47639" w:rsidRPr="00F2295B" w14:paraId="78F51906" w14:textId="77777777" w:rsidTr="00C47639">
        <w:tc>
          <w:tcPr>
            <w:tcW w:w="1253" w:type="pct"/>
          </w:tcPr>
          <w:p w14:paraId="29C95318" w14:textId="77777777" w:rsidR="00C47639" w:rsidRPr="00F2295B" w:rsidRDefault="00C47639" w:rsidP="00C47639">
            <w:pPr>
              <w:pStyle w:val="Standaard-Tabellen"/>
            </w:pPr>
            <w:r w:rsidRPr="00F2295B">
              <w:t>Dust explosion hazard</w:t>
            </w:r>
          </w:p>
        </w:tc>
        <w:tc>
          <w:tcPr>
            <w:tcW w:w="796" w:type="pct"/>
          </w:tcPr>
          <w:p w14:paraId="2B859A15" w14:textId="77777777" w:rsidR="00C47639" w:rsidRPr="00F2295B" w:rsidRDefault="00C47639" w:rsidP="00C47639">
            <w:pPr>
              <w:pStyle w:val="Standaard-Tabellen"/>
            </w:pPr>
            <w:r w:rsidRPr="00F2295B">
              <w:t>Waived</w:t>
            </w:r>
          </w:p>
        </w:tc>
        <w:tc>
          <w:tcPr>
            <w:tcW w:w="804" w:type="pct"/>
          </w:tcPr>
          <w:p w14:paraId="3F74F3B7" w14:textId="77777777" w:rsidR="00C47639" w:rsidRPr="00F2295B" w:rsidRDefault="00C47639" w:rsidP="00C47639">
            <w:pPr>
              <w:pStyle w:val="Standaard-Tabellen"/>
            </w:pPr>
            <w:r w:rsidRPr="00F2295B">
              <w:t>-</w:t>
            </w:r>
          </w:p>
        </w:tc>
        <w:tc>
          <w:tcPr>
            <w:tcW w:w="1392" w:type="pct"/>
          </w:tcPr>
          <w:p w14:paraId="04B69664" w14:textId="77777777" w:rsidR="00C47639" w:rsidRPr="00F2295B" w:rsidRDefault="00C47639" w:rsidP="00C47639">
            <w:pPr>
              <w:pStyle w:val="Standaard-Tabellen"/>
            </w:pPr>
            <w:r w:rsidRPr="00F2295B">
              <w:t>the product is liquid</w:t>
            </w:r>
          </w:p>
        </w:tc>
        <w:tc>
          <w:tcPr>
            <w:tcW w:w="754" w:type="pct"/>
          </w:tcPr>
          <w:p w14:paraId="6BB424CF" w14:textId="77777777" w:rsidR="00C47639" w:rsidRPr="00F2295B" w:rsidRDefault="00C47639" w:rsidP="00C47639">
            <w:pPr>
              <w:pStyle w:val="Standaard-Tabellen"/>
            </w:pPr>
            <w:r w:rsidRPr="00F2295B">
              <w:t>-</w:t>
            </w:r>
          </w:p>
        </w:tc>
      </w:tr>
    </w:tbl>
    <w:p w14:paraId="6DCDF6E2"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C47639" w:rsidRPr="00BD2EF1" w14:paraId="3EC65553" w14:textId="77777777" w:rsidTr="00C47639">
        <w:tc>
          <w:tcPr>
            <w:tcW w:w="5000" w:type="pct"/>
            <w:tcBorders>
              <w:top w:val="single" w:sz="4" w:space="0" w:color="auto"/>
              <w:left w:val="single" w:sz="4" w:space="0" w:color="auto"/>
              <w:bottom w:val="single" w:sz="6" w:space="0" w:color="auto"/>
              <w:right w:val="single" w:sz="6" w:space="0" w:color="auto"/>
            </w:tcBorders>
            <w:shd w:val="clear" w:color="auto" w:fill="CCFFCC"/>
          </w:tcPr>
          <w:p w14:paraId="1185381C" w14:textId="77777777" w:rsidR="00C47639" w:rsidRPr="00DA0346" w:rsidRDefault="00C47639" w:rsidP="00C47639">
            <w:pPr>
              <w:rPr>
                <w:b/>
              </w:rPr>
            </w:pPr>
            <w:r w:rsidRPr="00DA0346">
              <w:rPr>
                <w:b/>
              </w:rPr>
              <w:t>Conclusion on the physical hazards and respective characteristics of the product</w:t>
            </w:r>
          </w:p>
        </w:tc>
      </w:tr>
      <w:tr w:rsidR="00C47639" w:rsidRPr="00BD2EF1" w14:paraId="56C337A9" w14:textId="77777777" w:rsidTr="00C476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9C4321C" w14:textId="77777777" w:rsidR="00C47639" w:rsidRPr="00BD2EF1" w:rsidRDefault="00C47639" w:rsidP="00C47639">
            <w:r>
              <w:t>The auto-ignition temperature of the solution is 440°C and the flashpoint of the solution is 28.7°C. The product has no self-reacting properties and does not react with air and is not self-heating since it is a liquid at room temperature. It is not able to react with metals and is not corrosive. The product is not oxidizing nor explosive but must be classified as flammable liquid, category 3 (H226).</w:t>
            </w:r>
          </w:p>
        </w:tc>
      </w:tr>
    </w:tbl>
    <w:p w14:paraId="1A3B1FEB" w14:textId="77777777" w:rsidR="00C47639" w:rsidRPr="00BD2EF1" w:rsidRDefault="00C47639" w:rsidP="00C47639"/>
    <w:p w14:paraId="694445D2" w14:textId="77777777" w:rsidR="00C47639" w:rsidRPr="00BD2EF1" w:rsidRDefault="00C47639" w:rsidP="00C47639">
      <w:pPr>
        <w:pStyle w:val="Titre3"/>
      </w:pPr>
      <w:bookmarkStart w:id="82" w:name="_Toc532391072"/>
      <w:bookmarkStart w:id="83" w:name="_Toc8296486"/>
      <w:r w:rsidRPr="00BD2EF1">
        <w:t>Methods for detection and identification</w:t>
      </w:r>
      <w:bookmarkEnd w:id="82"/>
      <w:bookmarkEnd w:id="8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96"/>
        <w:gridCol w:w="1777"/>
        <w:gridCol w:w="1720"/>
        <w:gridCol w:w="1772"/>
        <w:gridCol w:w="1729"/>
        <w:gridCol w:w="711"/>
        <w:gridCol w:w="622"/>
        <w:gridCol w:w="777"/>
        <w:gridCol w:w="1611"/>
        <w:gridCol w:w="1419"/>
      </w:tblGrid>
      <w:tr w:rsidR="00C47639" w:rsidRPr="00BD2EF1" w14:paraId="1C211E44" w14:textId="77777777" w:rsidTr="00C47639">
        <w:trPr>
          <w:cantSplit/>
          <w:trHeight w:val="439"/>
        </w:trPr>
        <w:tc>
          <w:tcPr>
            <w:tcW w:w="5000" w:type="pct"/>
            <w:gridSpan w:val="10"/>
            <w:shd w:val="clear" w:color="auto" w:fill="FFFFCC"/>
            <w:vAlign w:val="center"/>
          </w:tcPr>
          <w:p w14:paraId="7B37861E" w14:textId="77777777" w:rsidR="00C47639" w:rsidRPr="00BD2EF1" w:rsidRDefault="00C47639" w:rsidP="00C47639">
            <w:pPr>
              <w:pStyle w:val="Standaard-Tabellen"/>
              <w:jc w:val="center"/>
              <w:rPr>
                <w:b/>
              </w:rPr>
            </w:pPr>
            <w:r w:rsidRPr="00BD2EF1">
              <w:rPr>
                <w:b/>
              </w:rPr>
              <w:t>Analytical methods for the analysis of the product as such including the active substance, impurities and residues</w:t>
            </w:r>
          </w:p>
        </w:tc>
      </w:tr>
      <w:tr w:rsidR="00C47639" w:rsidRPr="00BD2EF1" w14:paraId="0A5FDA3E" w14:textId="77777777" w:rsidTr="00C47639">
        <w:trPr>
          <w:cantSplit/>
          <w:trHeight w:val="352"/>
        </w:trPr>
        <w:tc>
          <w:tcPr>
            <w:tcW w:w="766" w:type="pct"/>
            <w:vMerge w:val="restart"/>
            <w:shd w:val="clear" w:color="auto" w:fill="BFBFBF" w:themeFill="background1" w:themeFillShade="BF"/>
          </w:tcPr>
          <w:p w14:paraId="3D92E9CD" w14:textId="77777777" w:rsidR="00C47639" w:rsidRPr="00BD2EF1" w:rsidRDefault="00C47639" w:rsidP="00C47639">
            <w:pPr>
              <w:pStyle w:val="Standaard-Tabellen"/>
              <w:rPr>
                <w:b/>
              </w:rPr>
            </w:pPr>
            <w:proofErr w:type="spellStart"/>
            <w:r w:rsidRPr="00BD2EF1">
              <w:rPr>
                <w:b/>
              </w:rPr>
              <w:t>Analyte</w:t>
            </w:r>
            <w:proofErr w:type="spellEnd"/>
            <w:r w:rsidRPr="00BD2EF1">
              <w:rPr>
                <w:b/>
              </w:rPr>
              <w:t xml:space="preserve"> (type of </w:t>
            </w:r>
            <w:proofErr w:type="spellStart"/>
            <w:r w:rsidRPr="00BD2EF1">
              <w:rPr>
                <w:b/>
              </w:rPr>
              <w:t>analyte</w:t>
            </w:r>
            <w:proofErr w:type="spellEnd"/>
            <w:r w:rsidRPr="00BD2EF1">
              <w:rPr>
                <w:b/>
              </w:rPr>
              <w:t xml:space="preserve"> e.g. active substance)</w:t>
            </w:r>
          </w:p>
        </w:tc>
        <w:tc>
          <w:tcPr>
            <w:tcW w:w="620" w:type="pct"/>
            <w:vMerge w:val="restart"/>
            <w:shd w:val="clear" w:color="auto" w:fill="BFBFBF" w:themeFill="background1" w:themeFillShade="BF"/>
          </w:tcPr>
          <w:p w14:paraId="482021CF" w14:textId="77777777" w:rsidR="00C47639" w:rsidRPr="00BD2EF1" w:rsidRDefault="00C47639" w:rsidP="00C47639">
            <w:pPr>
              <w:pStyle w:val="Standaard-Tabellen"/>
              <w:rPr>
                <w:b/>
              </w:rPr>
            </w:pPr>
            <w:r w:rsidRPr="00BD2EF1">
              <w:rPr>
                <w:b/>
              </w:rPr>
              <w:t>Analytical method</w:t>
            </w:r>
          </w:p>
        </w:tc>
        <w:tc>
          <w:tcPr>
            <w:tcW w:w="600" w:type="pct"/>
            <w:vMerge w:val="restart"/>
            <w:shd w:val="clear" w:color="auto" w:fill="BFBFBF" w:themeFill="background1" w:themeFillShade="BF"/>
          </w:tcPr>
          <w:p w14:paraId="13BDCEDB" w14:textId="77777777" w:rsidR="00C47639" w:rsidRPr="00BD2EF1" w:rsidRDefault="00C47639" w:rsidP="00C47639">
            <w:pPr>
              <w:pStyle w:val="Standaard-Tabellen"/>
              <w:rPr>
                <w:b/>
              </w:rPr>
            </w:pPr>
            <w:r w:rsidRPr="00BD2EF1">
              <w:rPr>
                <w:b/>
              </w:rPr>
              <w:t>Fortification range / Number of measurements</w:t>
            </w:r>
          </w:p>
        </w:tc>
        <w:tc>
          <w:tcPr>
            <w:tcW w:w="618" w:type="pct"/>
            <w:vMerge w:val="restart"/>
            <w:shd w:val="clear" w:color="auto" w:fill="BFBFBF" w:themeFill="background1" w:themeFillShade="BF"/>
          </w:tcPr>
          <w:p w14:paraId="73B55410" w14:textId="77777777" w:rsidR="00C47639" w:rsidRPr="00BD2EF1" w:rsidRDefault="00C47639" w:rsidP="00C47639">
            <w:pPr>
              <w:pStyle w:val="Standaard-Tabellen"/>
              <w:rPr>
                <w:b/>
              </w:rPr>
            </w:pPr>
            <w:r w:rsidRPr="00BD2EF1">
              <w:rPr>
                <w:b/>
              </w:rPr>
              <w:t>Linearity</w:t>
            </w:r>
          </w:p>
        </w:tc>
        <w:tc>
          <w:tcPr>
            <w:tcW w:w="603" w:type="pct"/>
            <w:vMerge w:val="restart"/>
            <w:shd w:val="clear" w:color="auto" w:fill="BFBFBF" w:themeFill="background1" w:themeFillShade="BF"/>
          </w:tcPr>
          <w:p w14:paraId="0E66E5F9" w14:textId="77777777" w:rsidR="00C47639" w:rsidRPr="00BD2EF1" w:rsidRDefault="00C47639" w:rsidP="00C47639">
            <w:pPr>
              <w:pStyle w:val="Standaard-Tabellen"/>
              <w:rPr>
                <w:b/>
              </w:rPr>
            </w:pPr>
            <w:r w:rsidRPr="00BD2EF1">
              <w:rPr>
                <w:b/>
              </w:rPr>
              <w:t>Specificity</w:t>
            </w:r>
          </w:p>
        </w:tc>
        <w:tc>
          <w:tcPr>
            <w:tcW w:w="736" w:type="pct"/>
            <w:gridSpan w:val="3"/>
            <w:shd w:val="clear" w:color="auto" w:fill="BFBFBF" w:themeFill="background1" w:themeFillShade="BF"/>
          </w:tcPr>
          <w:p w14:paraId="1C913430" w14:textId="77777777" w:rsidR="00C47639" w:rsidRPr="00BD2EF1" w:rsidRDefault="00C47639" w:rsidP="00C47639">
            <w:pPr>
              <w:pStyle w:val="Standaard-Tabellen"/>
              <w:rPr>
                <w:b/>
              </w:rPr>
            </w:pPr>
            <w:r w:rsidRPr="00BD2EF1">
              <w:rPr>
                <w:b/>
              </w:rPr>
              <w:t>Recovery rate (%)</w:t>
            </w:r>
          </w:p>
        </w:tc>
        <w:tc>
          <w:tcPr>
            <w:tcW w:w="562" w:type="pct"/>
            <w:vMerge w:val="restart"/>
            <w:shd w:val="clear" w:color="auto" w:fill="BFBFBF" w:themeFill="background1" w:themeFillShade="BF"/>
          </w:tcPr>
          <w:p w14:paraId="098BC7CB" w14:textId="77777777" w:rsidR="00C47639" w:rsidRPr="00BD2EF1" w:rsidRDefault="00C47639" w:rsidP="00C47639">
            <w:pPr>
              <w:pStyle w:val="Standaard-Tabellen"/>
              <w:rPr>
                <w:b/>
              </w:rPr>
            </w:pPr>
            <w:r w:rsidRPr="00BD2EF1">
              <w:rPr>
                <w:b/>
              </w:rPr>
              <w:t>Limit of quantification (LOQ) or other limits</w:t>
            </w:r>
          </w:p>
        </w:tc>
        <w:tc>
          <w:tcPr>
            <w:tcW w:w="495" w:type="pct"/>
            <w:vMerge w:val="restart"/>
            <w:shd w:val="clear" w:color="auto" w:fill="BFBFBF" w:themeFill="background1" w:themeFillShade="BF"/>
          </w:tcPr>
          <w:p w14:paraId="527C6C9E" w14:textId="77777777" w:rsidR="00C47639" w:rsidRPr="00BD2EF1" w:rsidRDefault="00C47639" w:rsidP="00C47639">
            <w:pPr>
              <w:pStyle w:val="Standaard-Tabellen"/>
              <w:rPr>
                <w:b/>
              </w:rPr>
            </w:pPr>
            <w:r w:rsidRPr="00BD2EF1">
              <w:rPr>
                <w:b/>
              </w:rPr>
              <w:t>Reference</w:t>
            </w:r>
          </w:p>
        </w:tc>
      </w:tr>
      <w:tr w:rsidR="00C47639" w:rsidRPr="00BD2EF1" w14:paraId="0ABB0693" w14:textId="77777777" w:rsidTr="00C47639">
        <w:tc>
          <w:tcPr>
            <w:tcW w:w="766" w:type="pct"/>
            <w:vMerge/>
            <w:shd w:val="clear" w:color="auto" w:fill="BFBFBF" w:themeFill="background1" w:themeFillShade="BF"/>
          </w:tcPr>
          <w:p w14:paraId="1A444522" w14:textId="77777777" w:rsidR="00C47639" w:rsidRPr="00BD2EF1" w:rsidRDefault="00C47639" w:rsidP="00C47639">
            <w:pPr>
              <w:pStyle w:val="Standaard-Tabellen"/>
            </w:pPr>
          </w:p>
        </w:tc>
        <w:tc>
          <w:tcPr>
            <w:tcW w:w="620" w:type="pct"/>
            <w:vMerge/>
            <w:shd w:val="clear" w:color="auto" w:fill="BFBFBF" w:themeFill="background1" w:themeFillShade="BF"/>
          </w:tcPr>
          <w:p w14:paraId="481CDD34" w14:textId="77777777" w:rsidR="00C47639" w:rsidRPr="00BD2EF1" w:rsidRDefault="00C47639" w:rsidP="00C47639">
            <w:pPr>
              <w:pStyle w:val="Standaard-Tabellen"/>
            </w:pPr>
          </w:p>
        </w:tc>
        <w:tc>
          <w:tcPr>
            <w:tcW w:w="600" w:type="pct"/>
            <w:vMerge/>
            <w:shd w:val="clear" w:color="auto" w:fill="BFBFBF" w:themeFill="background1" w:themeFillShade="BF"/>
          </w:tcPr>
          <w:p w14:paraId="165EE20B" w14:textId="77777777" w:rsidR="00C47639" w:rsidRPr="00BD2EF1" w:rsidRDefault="00C47639" w:rsidP="00C47639">
            <w:pPr>
              <w:pStyle w:val="Standaard-Tabellen"/>
            </w:pPr>
          </w:p>
        </w:tc>
        <w:tc>
          <w:tcPr>
            <w:tcW w:w="618" w:type="pct"/>
            <w:vMerge/>
            <w:shd w:val="clear" w:color="auto" w:fill="BFBFBF" w:themeFill="background1" w:themeFillShade="BF"/>
          </w:tcPr>
          <w:p w14:paraId="511284C8" w14:textId="77777777" w:rsidR="00C47639" w:rsidRPr="00BD2EF1" w:rsidRDefault="00C47639" w:rsidP="00C47639">
            <w:pPr>
              <w:pStyle w:val="Standaard-Tabellen"/>
            </w:pPr>
          </w:p>
        </w:tc>
        <w:tc>
          <w:tcPr>
            <w:tcW w:w="603" w:type="pct"/>
            <w:vMerge/>
            <w:shd w:val="clear" w:color="auto" w:fill="BFBFBF" w:themeFill="background1" w:themeFillShade="BF"/>
          </w:tcPr>
          <w:p w14:paraId="4E7CBCC1" w14:textId="77777777" w:rsidR="00C47639" w:rsidRPr="00BD2EF1" w:rsidRDefault="00C47639" w:rsidP="00C47639">
            <w:pPr>
              <w:pStyle w:val="Standaard-Tabellen"/>
            </w:pPr>
          </w:p>
        </w:tc>
        <w:tc>
          <w:tcPr>
            <w:tcW w:w="248" w:type="pct"/>
            <w:shd w:val="clear" w:color="auto" w:fill="BFBFBF" w:themeFill="background1" w:themeFillShade="BF"/>
          </w:tcPr>
          <w:p w14:paraId="226218A0" w14:textId="77777777" w:rsidR="00C47639" w:rsidRPr="00BD2EF1" w:rsidRDefault="00C47639" w:rsidP="00C47639">
            <w:pPr>
              <w:pStyle w:val="Standaard-Tabellen"/>
            </w:pPr>
            <w:r w:rsidRPr="00BD2EF1">
              <w:t>Range</w:t>
            </w:r>
          </w:p>
        </w:tc>
        <w:tc>
          <w:tcPr>
            <w:tcW w:w="217" w:type="pct"/>
            <w:shd w:val="clear" w:color="auto" w:fill="BFBFBF" w:themeFill="background1" w:themeFillShade="BF"/>
          </w:tcPr>
          <w:p w14:paraId="285763CE" w14:textId="77777777" w:rsidR="00C47639" w:rsidRPr="00BD2EF1" w:rsidRDefault="00C47639" w:rsidP="00C47639">
            <w:pPr>
              <w:pStyle w:val="Standaard-Tabellen"/>
            </w:pPr>
            <w:r w:rsidRPr="00BD2EF1">
              <w:t>Mean</w:t>
            </w:r>
          </w:p>
        </w:tc>
        <w:tc>
          <w:tcPr>
            <w:tcW w:w="271" w:type="pct"/>
            <w:shd w:val="clear" w:color="auto" w:fill="BFBFBF" w:themeFill="background1" w:themeFillShade="BF"/>
          </w:tcPr>
          <w:p w14:paraId="3B9C99B9" w14:textId="77777777" w:rsidR="00C47639" w:rsidRPr="00BD2EF1" w:rsidRDefault="00C47639" w:rsidP="00C47639">
            <w:pPr>
              <w:pStyle w:val="Standaard-Tabellen"/>
            </w:pPr>
            <w:r w:rsidRPr="00BD2EF1">
              <w:t>RSD</w:t>
            </w:r>
          </w:p>
        </w:tc>
        <w:tc>
          <w:tcPr>
            <w:tcW w:w="562" w:type="pct"/>
            <w:vMerge/>
            <w:shd w:val="clear" w:color="auto" w:fill="BFBFBF" w:themeFill="background1" w:themeFillShade="BF"/>
          </w:tcPr>
          <w:p w14:paraId="01C2176B" w14:textId="77777777" w:rsidR="00C47639" w:rsidRPr="00BD2EF1" w:rsidRDefault="00C47639" w:rsidP="00C47639">
            <w:pPr>
              <w:pStyle w:val="Standaard-Tabellen"/>
            </w:pPr>
          </w:p>
        </w:tc>
        <w:tc>
          <w:tcPr>
            <w:tcW w:w="495" w:type="pct"/>
            <w:vMerge/>
            <w:shd w:val="clear" w:color="auto" w:fill="BFBFBF" w:themeFill="background1" w:themeFillShade="BF"/>
          </w:tcPr>
          <w:p w14:paraId="0E0902BF" w14:textId="77777777" w:rsidR="00C47639" w:rsidRPr="00BD2EF1" w:rsidRDefault="00C47639" w:rsidP="00C47639">
            <w:pPr>
              <w:pStyle w:val="Standaard-Tabellen"/>
            </w:pPr>
          </w:p>
        </w:tc>
      </w:tr>
      <w:tr w:rsidR="00C47639" w:rsidRPr="00BD2EF1" w14:paraId="666DCB30" w14:textId="77777777" w:rsidTr="00C47639">
        <w:tc>
          <w:tcPr>
            <w:tcW w:w="766" w:type="pct"/>
            <w:shd w:val="clear" w:color="auto" w:fill="auto"/>
          </w:tcPr>
          <w:p w14:paraId="43F7EDD3" w14:textId="77777777" w:rsidR="00C47639" w:rsidRPr="00F2295B" w:rsidRDefault="00C47639" w:rsidP="00C47639">
            <w:pPr>
              <w:pStyle w:val="Standaard-Tabellen"/>
              <w:rPr>
                <w:i/>
              </w:rPr>
            </w:pPr>
            <w:r w:rsidRPr="00F2295B">
              <w:rPr>
                <w:i/>
              </w:rPr>
              <w:t>IR3535</w:t>
            </w:r>
          </w:p>
        </w:tc>
        <w:tc>
          <w:tcPr>
            <w:tcW w:w="620" w:type="pct"/>
          </w:tcPr>
          <w:p w14:paraId="196B88E1" w14:textId="77777777" w:rsidR="00C47639" w:rsidRDefault="00C47639" w:rsidP="00C47639">
            <w:pPr>
              <w:pStyle w:val="Standaard-Tabellen"/>
            </w:pPr>
            <w:r>
              <w:t xml:space="preserve">HPLC method &amp; UV-visible spectroscopy. The identity of IR3535 was established by comparison of the retention time and by comparison of the UV spectra </w:t>
            </w:r>
            <w:r>
              <w:lastRenderedPageBreak/>
              <w:t>obtained from sample solution and reference material.</w:t>
            </w:r>
          </w:p>
          <w:p w14:paraId="4D6ECF51" w14:textId="77777777" w:rsidR="00C47639" w:rsidRPr="00FD2055" w:rsidRDefault="00C47639" w:rsidP="00C47639">
            <w:pPr>
              <w:pStyle w:val="Standaard-Tabellen"/>
            </w:pPr>
          </w:p>
        </w:tc>
        <w:tc>
          <w:tcPr>
            <w:tcW w:w="600" w:type="pct"/>
          </w:tcPr>
          <w:p w14:paraId="2F143D61" w14:textId="77777777" w:rsidR="00C47639" w:rsidRDefault="00C47639" w:rsidP="00C47639">
            <w:pPr>
              <w:pStyle w:val="Standaard-Tabellen"/>
            </w:pPr>
            <w:r>
              <w:lastRenderedPageBreak/>
              <w:t>1%/5</w:t>
            </w:r>
          </w:p>
          <w:p w14:paraId="36837BBE" w14:textId="77777777" w:rsidR="00C47639" w:rsidRDefault="00C47639" w:rsidP="00C47639">
            <w:pPr>
              <w:pStyle w:val="Standaard-Tabellen"/>
            </w:pPr>
            <w:r>
              <w:t>(1% IR3535 – 5% hydrolysis product)</w:t>
            </w:r>
          </w:p>
          <w:p w14:paraId="6D2F0921" w14:textId="77777777" w:rsidR="00C47639" w:rsidRDefault="00C47639" w:rsidP="00C47639">
            <w:pPr>
              <w:pStyle w:val="Standaard-Tabellen"/>
            </w:pPr>
          </w:p>
          <w:p w14:paraId="407E206A" w14:textId="77777777" w:rsidR="00C47639" w:rsidRDefault="00C47639" w:rsidP="00C47639">
            <w:pPr>
              <w:pStyle w:val="Standaard-Tabellen"/>
            </w:pPr>
            <w:r>
              <w:t>5%/5</w:t>
            </w:r>
          </w:p>
          <w:p w14:paraId="41AE4BDD" w14:textId="77777777" w:rsidR="00C47639" w:rsidRDefault="00C47639" w:rsidP="00C47639">
            <w:pPr>
              <w:pStyle w:val="Standaard-Tabellen"/>
            </w:pPr>
            <w:r>
              <w:t>(5% IR3535 – 5% hydrolysis product)</w:t>
            </w:r>
          </w:p>
          <w:p w14:paraId="56A13074" w14:textId="77777777" w:rsidR="00C47639" w:rsidRDefault="00C47639" w:rsidP="00C47639">
            <w:pPr>
              <w:pStyle w:val="Standaard-Tabellen"/>
            </w:pPr>
          </w:p>
          <w:p w14:paraId="00CCC3D0" w14:textId="77777777" w:rsidR="00C47639" w:rsidRDefault="00C47639" w:rsidP="00C47639">
            <w:pPr>
              <w:pStyle w:val="Standaard-Tabellen"/>
            </w:pPr>
          </w:p>
          <w:p w14:paraId="4A80A4BB" w14:textId="77777777" w:rsidR="00C47639" w:rsidRDefault="00C47639" w:rsidP="00C47639">
            <w:pPr>
              <w:pStyle w:val="Standaard-Tabellen"/>
            </w:pPr>
            <w:r>
              <w:lastRenderedPageBreak/>
              <w:t>10%/10</w:t>
            </w:r>
          </w:p>
          <w:p w14:paraId="443C6D2E" w14:textId="77777777" w:rsidR="00C47639" w:rsidRDefault="00C47639" w:rsidP="00C47639">
            <w:pPr>
              <w:pStyle w:val="Standaard-Tabellen"/>
            </w:pPr>
            <w:r>
              <w:t>(10% IR3535 – 1% hydrolysis product)</w:t>
            </w:r>
          </w:p>
          <w:p w14:paraId="5D355B72" w14:textId="77777777" w:rsidR="00C47639" w:rsidRDefault="00C47639" w:rsidP="00C47639">
            <w:pPr>
              <w:pStyle w:val="Standaard-Tabellen"/>
            </w:pPr>
          </w:p>
          <w:p w14:paraId="6302072B" w14:textId="77777777" w:rsidR="00C47639" w:rsidRDefault="00C47639" w:rsidP="00C47639">
            <w:pPr>
              <w:pStyle w:val="Standaard-Tabellen"/>
            </w:pPr>
          </w:p>
          <w:p w14:paraId="5FD9E5E5" w14:textId="77777777" w:rsidR="00C47639" w:rsidRDefault="00C47639" w:rsidP="00C47639">
            <w:pPr>
              <w:pStyle w:val="Standaard-Tabellen"/>
            </w:pPr>
          </w:p>
          <w:p w14:paraId="455563E6" w14:textId="77777777" w:rsidR="00C47639" w:rsidRDefault="00C47639" w:rsidP="00C47639">
            <w:pPr>
              <w:pStyle w:val="Standaard-Tabellen"/>
            </w:pPr>
            <w:r>
              <w:t>30%/ 10</w:t>
            </w:r>
          </w:p>
          <w:p w14:paraId="77E642FF" w14:textId="77777777" w:rsidR="00C47639" w:rsidRDefault="00C47639" w:rsidP="00C47639">
            <w:pPr>
              <w:pStyle w:val="Standaard-Tabellen"/>
            </w:pPr>
            <w:r w:rsidRPr="00414E69">
              <w:t>(30% IR3535 – 1% hydrolysis product)</w:t>
            </w:r>
          </w:p>
          <w:p w14:paraId="57A525AC" w14:textId="77777777" w:rsidR="00C47639" w:rsidRDefault="00C47639" w:rsidP="00C47639">
            <w:pPr>
              <w:pStyle w:val="Standaard-Tabellen"/>
            </w:pPr>
          </w:p>
          <w:p w14:paraId="75A32D32" w14:textId="77777777" w:rsidR="00C47639" w:rsidRDefault="00C47639" w:rsidP="00C47639">
            <w:pPr>
              <w:pStyle w:val="Standaard-Tabellen"/>
            </w:pPr>
            <w:r>
              <w:t xml:space="preserve">Validated concentration range 1 – 30% IR3535 </w:t>
            </w:r>
          </w:p>
          <w:p w14:paraId="1009BEB8" w14:textId="77777777" w:rsidR="00C47639" w:rsidRPr="00FD2055" w:rsidRDefault="00C47639" w:rsidP="00C47639">
            <w:pPr>
              <w:pStyle w:val="Standaard-Tabellen"/>
            </w:pPr>
          </w:p>
        </w:tc>
        <w:tc>
          <w:tcPr>
            <w:tcW w:w="618" w:type="pct"/>
          </w:tcPr>
          <w:p w14:paraId="60E64D84" w14:textId="77777777" w:rsidR="00C47639" w:rsidRDefault="00C47639" w:rsidP="00C47639">
            <w:pPr>
              <w:pStyle w:val="Standaard-Tabellen"/>
            </w:pPr>
            <w:r>
              <w:lastRenderedPageBreak/>
              <w:t xml:space="preserve">Correlation of the peak area of different standard solutions with their corresponding concentrations resulted in a linear regression with regression </w:t>
            </w:r>
            <w:r>
              <w:lastRenderedPageBreak/>
              <w:t xml:space="preserve">coefficient of at least 0.999. </w:t>
            </w:r>
          </w:p>
          <w:p w14:paraId="7E38B563" w14:textId="77777777" w:rsidR="00C47639" w:rsidRDefault="00C47639" w:rsidP="00C47639">
            <w:pPr>
              <w:pStyle w:val="Standaard-Tabellen"/>
            </w:pPr>
          </w:p>
          <w:p w14:paraId="6093A181" w14:textId="77777777" w:rsidR="00C47639" w:rsidRPr="00FD2055" w:rsidRDefault="00C47639" w:rsidP="00C47639">
            <w:pPr>
              <w:pStyle w:val="Standaard-Tabellen"/>
            </w:pPr>
            <w:r>
              <w:rPr>
                <w:color w:val="0070C0"/>
              </w:rPr>
              <w:t>C</w:t>
            </w:r>
            <w:r w:rsidRPr="00ED7CFD">
              <w:rPr>
                <w:color w:val="0070C0"/>
              </w:rPr>
              <w:t xml:space="preserve">oncentration range = from 25 to </w:t>
            </w:r>
            <w:r>
              <w:rPr>
                <w:color w:val="0070C0"/>
              </w:rPr>
              <w:t>175</w:t>
            </w:r>
            <w:r w:rsidRPr="00ED7CFD">
              <w:rPr>
                <w:color w:val="0070C0"/>
              </w:rPr>
              <w:t xml:space="preserve">0 mg/L, </w:t>
            </w:r>
            <w:r>
              <w:rPr>
                <w:color w:val="0070C0"/>
              </w:rPr>
              <w:t>N</w:t>
            </w:r>
            <w:r w:rsidRPr="00ED7CFD">
              <w:rPr>
                <w:color w:val="0070C0"/>
              </w:rPr>
              <w:t>umber of calibration points = 9</w:t>
            </w:r>
          </w:p>
        </w:tc>
        <w:tc>
          <w:tcPr>
            <w:tcW w:w="603" w:type="pct"/>
          </w:tcPr>
          <w:p w14:paraId="1AA7CC86" w14:textId="77777777" w:rsidR="00C47639" w:rsidRPr="00FD2055" w:rsidRDefault="00C47639" w:rsidP="00C47639">
            <w:pPr>
              <w:pStyle w:val="Standaard-Tabellen"/>
            </w:pPr>
            <w:r>
              <w:lastRenderedPageBreak/>
              <w:t xml:space="preserve">The retention time of the </w:t>
            </w:r>
            <w:proofErr w:type="spellStart"/>
            <w:r>
              <w:t>analyte</w:t>
            </w:r>
            <w:proofErr w:type="spellEnd"/>
            <w:r>
              <w:t xml:space="preserve"> IR3535 in the samples solution did not differ by more than 1% from the standard solution. In addition, the identity of the </w:t>
            </w:r>
            <w:proofErr w:type="spellStart"/>
            <w:r>
              <w:lastRenderedPageBreak/>
              <w:t>analyte</w:t>
            </w:r>
            <w:proofErr w:type="spellEnd"/>
            <w:r>
              <w:t xml:space="preserve"> was confirmed by comparison of the UV spectrum of the test item with the UV-spectrum of the fortified sample solution.</w:t>
            </w:r>
          </w:p>
        </w:tc>
        <w:tc>
          <w:tcPr>
            <w:tcW w:w="248" w:type="pct"/>
          </w:tcPr>
          <w:p w14:paraId="325DF16B" w14:textId="77777777" w:rsidR="00C47639" w:rsidRDefault="00C47639" w:rsidP="00C47639">
            <w:pPr>
              <w:pStyle w:val="Standaard-Tabellen"/>
            </w:pPr>
            <w:r>
              <w:lastRenderedPageBreak/>
              <w:t>1%</w:t>
            </w:r>
          </w:p>
          <w:p w14:paraId="59036D50" w14:textId="77777777" w:rsidR="00C47639" w:rsidRDefault="00C47639" w:rsidP="00C47639">
            <w:pPr>
              <w:pStyle w:val="Standaard-Tabellen"/>
            </w:pPr>
            <w:r>
              <w:t xml:space="preserve">94 – 110 </w:t>
            </w:r>
          </w:p>
          <w:p w14:paraId="73856EED" w14:textId="77777777" w:rsidR="00C47639" w:rsidRDefault="00C47639" w:rsidP="00C47639">
            <w:pPr>
              <w:pStyle w:val="Standaard-Tabellen"/>
            </w:pPr>
          </w:p>
          <w:p w14:paraId="60FD6445" w14:textId="77777777" w:rsidR="00C47639" w:rsidRDefault="00C47639" w:rsidP="00C47639">
            <w:pPr>
              <w:pStyle w:val="Standaard-Tabellen"/>
            </w:pPr>
          </w:p>
          <w:p w14:paraId="73FC93BD" w14:textId="77777777" w:rsidR="00C47639" w:rsidRDefault="00C47639" w:rsidP="00C47639">
            <w:pPr>
              <w:pStyle w:val="Standaard-Tabellen"/>
            </w:pPr>
            <w:r>
              <w:t>5%</w:t>
            </w:r>
          </w:p>
          <w:p w14:paraId="3BBCB059" w14:textId="77777777" w:rsidR="00C47639" w:rsidRDefault="00C47639" w:rsidP="00C47639">
            <w:pPr>
              <w:pStyle w:val="Standaard-Tabellen"/>
            </w:pPr>
            <w:r>
              <w:t>97-101</w:t>
            </w:r>
          </w:p>
          <w:p w14:paraId="50C61561" w14:textId="77777777" w:rsidR="00C47639" w:rsidRDefault="00C47639" w:rsidP="00C47639">
            <w:pPr>
              <w:pStyle w:val="Standaard-Tabellen"/>
            </w:pPr>
          </w:p>
          <w:p w14:paraId="5A2F1C47" w14:textId="77777777" w:rsidR="00C47639" w:rsidRDefault="00C47639" w:rsidP="00C47639">
            <w:pPr>
              <w:pStyle w:val="Standaard-Tabellen"/>
            </w:pPr>
          </w:p>
          <w:p w14:paraId="5C5CBB2A" w14:textId="77777777" w:rsidR="00C47639" w:rsidRDefault="00C47639" w:rsidP="00C47639">
            <w:pPr>
              <w:pStyle w:val="Standaard-Tabellen"/>
            </w:pPr>
          </w:p>
          <w:p w14:paraId="6C851F42" w14:textId="77777777" w:rsidR="00C47639" w:rsidRDefault="00C47639" w:rsidP="00C47639">
            <w:pPr>
              <w:pStyle w:val="Standaard-Tabellen"/>
            </w:pPr>
            <w:r>
              <w:lastRenderedPageBreak/>
              <w:t>10%</w:t>
            </w:r>
          </w:p>
          <w:p w14:paraId="4A0D217C" w14:textId="77777777" w:rsidR="00C47639" w:rsidRDefault="00C47639" w:rsidP="00C47639">
            <w:pPr>
              <w:pStyle w:val="Standaard-Tabellen"/>
            </w:pPr>
            <w:r>
              <w:t>97 – 101</w:t>
            </w:r>
          </w:p>
          <w:p w14:paraId="74CA6B49" w14:textId="77777777" w:rsidR="00C47639" w:rsidRDefault="00C47639" w:rsidP="00C47639">
            <w:pPr>
              <w:pStyle w:val="Standaard-Tabellen"/>
            </w:pPr>
          </w:p>
          <w:p w14:paraId="1482B62D" w14:textId="77777777" w:rsidR="00C47639" w:rsidRDefault="00C47639" w:rsidP="00C47639">
            <w:pPr>
              <w:pStyle w:val="Standaard-Tabellen"/>
            </w:pPr>
          </w:p>
          <w:p w14:paraId="75938A20" w14:textId="77777777" w:rsidR="00C47639" w:rsidRDefault="00C47639" w:rsidP="00C47639">
            <w:pPr>
              <w:pStyle w:val="Standaard-Tabellen"/>
            </w:pPr>
          </w:p>
          <w:p w14:paraId="3826ED27" w14:textId="77777777" w:rsidR="00C47639" w:rsidRDefault="00C47639" w:rsidP="00C47639">
            <w:pPr>
              <w:pStyle w:val="Standaard-Tabellen"/>
            </w:pPr>
            <w:r>
              <w:t>30%</w:t>
            </w:r>
          </w:p>
          <w:p w14:paraId="4864D100" w14:textId="77777777" w:rsidR="00C47639" w:rsidRPr="00FD2055" w:rsidRDefault="00C47639" w:rsidP="00C47639">
            <w:pPr>
              <w:pStyle w:val="Standaard-Tabellen"/>
            </w:pPr>
            <w:r>
              <w:t>97 – 101</w:t>
            </w:r>
          </w:p>
        </w:tc>
        <w:tc>
          <w:tcPr>
            <w:tcW w:w="217" w:type="pct"/>
          </w:tcPr>
          <w:p w14:paraId="5EB2D30D" w14:textId="77777777" w:rsidR="00C47639" w:rsidRDefault="00C47639" w:rsidP="00C47639">
            <w:pPr>
              <w:pStyle w:val="Standaard-Tabellen"/>
            </w:pPr>
          </w:p>
          <w:p w14:paraId="0D5782B3" w14:textId="77777777" w:rsidR="00C47639" w:rsidRPr="00E409C9" w:rsidRDefault="00C47639" w:rsidP="00C47639">
            <w:pPr>
              <w:pStyle w:val="Standaard-Tabellen"/>
            </w:pPr>
            <w:r>
              <w:t>110</w:t>
            </w:r>
          </w:p>
          <w:p w14:paraId="713DD2DC" w14:textId="77777777" w:rsidR="00C47639" w:rsidRPr="00E409C9" w:rsidRDefault="00C47639" w:rsidP="00C47639">
            <w:pPr>
              <w:pStyle w:val="Standaard-Tabellen"/>
            </w:pPr>
          </w:p>
          <w:p w14:paraId="6BCF26D9" w14:textId="77777777" w:rsidR="00C47639" w:rsidRPr="00E409C9" w:rsidRDefault="00C47639" w:rsidP="00C47639">
            <w:pPr>
              <w:pStyle w:val="Standaard-Tabellen"/>
            </w:pPr>
          </w:p>
          <w:p w14:paraId="05124673" w14:textId="77777777" w:rsidR="00C47639" w:rsidRPr="00E409C9" w:rsidRDefault="00C47639" w:rsidP="00C47639">
            <w:pPr>
              <w:pStyle w:val="Standaard-Tabellen"/>
            </w:pPr>
          </w:p>
          <w:p w14:paraId="292567BF" w14:textId="77777777" w:rsidR="00C47639" w:rsidRPr="00E409C9" w:rsidRDefault="00C47639" w:rsidP="00C47639">
            <w:pPr>
              <w:pStyle w:val="Standaard-Tabellen"/>
            </w:pPr>
          </w:p>
          <w:p w14:paraId="1B09C62F" w14:textId="77777777" w:rsidR="00C47639" w:rsidRPr="00E409C9" w:rsidRDefault="00C47639" w:rsidP="00C47639">
            <w:pPr>
              <w:pStyle w:val="Standaard-Tabellen"/>
            </w:pPr>
            <w:r>
              <w:t>100</w:t>
            </w:r>
          </w:p>
          <w:p w14:paraId="6104AA9A" w14:textId="77777777" w:rsidR="00C47639" w:rsidRPr="00E409C9" w:rsidRDefault="00C47639" w:rsidP="00C47639">
            <w:pPr>
              <w:pStyle w:val="Standaard-Tabellen"/>
            </w:pPr>
          </w:p>
          <w:p w14:paraId="0B11B243" w14:textId="77777777" w:rsidR="00C47639" w:rsidRDefault="00C47639" w:rsidP="00C47639">
            <w:pPr>
              <w:pStyle w:val="Standaard-Tabellen"/>
            </w:pPr>
          </w:p>
          <w:p w14:paraId="40F05F6D" w14:textId="77777777" w:rsidR="00C47639" w:rsidRDefault="00C47639" w:rsidP="00C47639">
            <w:pPr>
              <w:pStyle w:val="Standaard-Tabellen"/>
            </w:pPr>
          </w:p>
          <w:p w14:paraId="60899D15" w14:textId="77777777" w:rsidR="00C47639" w:rsidRPr="00E409C9" w:rsidRDefault="00C47639" w:rsidP="00C47639">
            <w:pPr>
              <w:pStyle w:val="Standaard-Tabellen"/>
            </w:pPr>
          </w:p>
          <w:p w14:paraId="1A5C0938" w14:textId="77777777" w:rsidR="00C47639" w:rsidRPr="00E409C9" w:rsidRDefault="00C47639" w:rsidP="00C47639">
            <w:pPr>
              <w:pStyle w:val="Standaard-Tabellen"/>
            </w:pPr>
            <w:r>
              <w:lastRenderedPageBreak/>
              <w:t>100</w:t>
            </w:r>
          </w:p>
          <w:p w14:paraId="57DA73F9" w14:textId="77777777" w:rsidR="00C47639" w:rsidRPr="00E409C9" w:rsidRDefault="00C47639" w:rsidP="00C47639">
            <w:pPr>
              <w:pStyle w:val="Standaard-Tabellen"/>
            </w:pPr>
          </w:p>
          <w:p w14:paraId="729FEDFF" w14:textId="77777777" w:rsidR="00C47639" w:rsidRPr="00E409C9" w:rsidRDefault="00C47639" w:rsidP="00C47639">
            <w:pPr>
              <w:pStyle w:val="Standaard-Tabellen"/>
            </w:pPr>
          </w:p>
          <w:p w14:paraId="7C7A47F8" w14:textId="77777777" w:rsidR="00C47639" w:rsidRDefault="00C47639" w:rsidP="00C47639">
            <w:pPr>
              <w:pStyle w:val="Standaard-Tabellen"/>
            </w:pPr>
          </w:p>
          <w:p w14:paraId="7A27EA81" w14:textId="77777777" w:rsidR="00C47639" w:rsidRPr="00E409C9" w:rsidRDefault="00C47639" w:rsidP="00C47639">
            <w:pPr>
              <w:pStyle w:val="Standaard-Tabellen"/>
            </w:pPr>
          </w:p>
          <w:p w14:paraId="685C48FA" w14:textId="77777777" w:rsidR="00C47639" w:rsidRPr="00E409C9" w:rsidRDefault="00C47639" w:rsidP="00C47639">
            <w:pPr>
              <w:pStyle w:val="Standaard-Tabellen"/>
            </w:pPr>
          </w:p>
          <w:p w14:paraId="3768913D" w14:textId="77777777" w:rsidR="00C47639" w:rsidRPr="00FD2055" w:rsidRDefault="00C47639" w:rsidP="00C47639">
            <w:pPr>
              <w:pStyle w:val="Standaard-Tabellen"/>
            </w:pPr>
            <w:r w:rsidRPr="00E409C9">
              <w:t>9</w:t>
            </w:r>
            <w:r>
              <w:t>8</w:t>
            </w:r>
          </w:p>
        </w:tc>
        <w:tc>
          <w:tcPr>
            <w:tcW w:w="271" w:type="pct"/>
          </w:tcPr>
          <w:p w14:paraId="419892A6" w14:textId="77777777" w:rsidR="00C47639" w:rsidRDefault="00C47639" w:rsidP="00C47639">
            <w:pPr>
              <w:pStyle w:val="Standaard-Tabellen"/>
            </w:pPr>
          </w:p>
          <w:p w14:paraId="153EBAB5" w14:textId="77777777" w:rsidR="00C47639" w:rsidRPr="00A323C9" w:rsidRDefault="00C47639" w:rsidP="00C47639">
            <w:pPr>
              <w:pStyle w:val="Standaard-Tabellen"/>
            </w:pPr>
            <w:r w:rsidRPr="00A323C9">
              <w:t>2.3</w:t>
            </w:r>
          </w:p>
          <w:p w14:paraId="228D6169" w14:textId="77777777" w:rsidR="00C47639" w:rsidRDefault="00C47639" w:rsidP="00C47639">
            <w:pPr>
              <w:pStyle w:val="Standaard-Tabellen"/>
            </w:pPr>
          </w:p>
          <w:p w14:paraId="24DEC0B4" w14:textId="77777777" w:rsidR="00C47639" w:rsidRDefault="00C47639" w:rsidP="00C47639">
            <w:pPr>
              <w:pStyle w:val="Standaard-Tabellen"/>
            </w:pPr>
          </w:p>
          <w:p w14:paraId="10937EC7" w14:textId="77777777" w:rsidR="00C47639" w:rsidRDefault="00C47639" w:rsidP="00C47639">
            <w:pPr>
              <w:pStyle w:val="Standaard-Tabellen"/>
            </w:pPr>
          </w:p>
          <w:p w14:paraId="0573536A" w14:textId="77777777" w:rsidR="00C47639" w:rsidRDefault="00C47639" w:rsidP="00C47639">
            <w:pPr>
              <w:pStyle w:val="Standaard-Tabellen"/>
            </w:pPr>
          </w:p>
          <w:p w14:paraId="3453C90C" w14:textId="77777777" w:rsidR="00C47639" w:rsidRDefault="00C47639" w:rsidP="00C47639">
            <w:pPr>
              <w:pStyle w:val="Standaard-Tabellen"/>
            </w:pPr>
            <w:r>
              <w:t>2.1</w:t>
            </w:r>
          </w:p>
          <w:p w14:paraId="0D54AC67" w14:textId="77777777" w:rsidR="00C47639" w:rsidRDefault="00C47639" w:rsidP="00C47639">
            <w:pPr>
              <w:pStyle w:val="Standaard-Tabellen"/>
            </w:pPr>
          </w:p>
          <w:p w14:paraId="04669322" w14:textId="77777777" w:rsidR="00C47639" w:rsidRDefault="00C47639" w:rsidP="00C47639">
            <w:pPr>
              <w:pStyle w:val="Standaard-Tabellen"/>
            </w:pPr>
          </w:p>
          <w:p w14:paraId="6E273D2A" w14:textId="77777777" w:rsidR="00C47639" w:rsidRDefault="00C47639" w:rsidP="00C47639">
            <w:pPr>
              <w:pStyle w:val="Standaard-Tabellen"/>
            </w:pPr>
          </w:p>
          <w:p w14:paraId="72626ED6" w14:textId="77777777" w:rsidR="00C47639" w:rsidRDefault="00C47639" w:rsidP="00C47639">
            <w:pPr>
              <w:pStyle w:val="Standaard-Tabellen"/>
            </w:pPr>
          </w:p>
          <w:p w14:paraId="45430E3D" w14:textId="77777777" w:rsidR="00C47639" w:rsidRDefault="00C47639" w:rsidP="00C47639">
            <w:pPr>
              <w:pStyle w:val="Standaard-Tabellen"/>
            </w:pPr>
            <w:r>
              <w:lastRenderedPageBreak/>
              <w:t>5.1</w:t>
            </w:r>
          </w:p>
          <w:p w14:paraId="388615CC" w14:textId="77777777" w:rsidR="00C47639" w:rsidRDefault="00C47639" w:rsidP="00C47639">
            <w:pPr>
              <w:pStyle w:val="Standaard-Tabellen"/>
            </w:pPr>
          </w:p>
          <w:p w14:paraId="0AFF1292" w14:textId="77777777" w:rsidR="00C47639" w:rsidRDefault="00C47639" w:rsidP="00C47639">
            <w:pPr>
              <w:pStyle w:val="Standaard-Tabellen"/>
            </w:pPr>
          </w:p>
          <w:p w14:paraId="76782E3F" w14:textId="77777777" w:rsidR="00C47639" w:rsidRDefault="00C47639" w:rsidP="00C47639">
            <w:pPr>
              <w:pStyle w:val="Standaard-Tabellen"/>
            </w:pPr>
          </w:p>
          <w:p w14:paraId="7B932477" w14:textId="77777777" w:rsidR="00C47639" w:rsidRDefault="00C47639" w:rsidP="00C47639">
            <w:pPr>
              <w:pStyle w:val="Standaard-Tabellen"/>
            </w:pPr>
          </w:p>
          <w:p w14:paraId="56EAD38D" w14:textId="77777777" w:rsidR="00C47639" w:rsidRDefault="00C47639" w:rsidP="00C47639">
            <w:pPr>
              <w:pStyle w:val="Standaard-Tabellen"/>
            </w:pPr>
          </w:p>
          <w:p w14:paraId="09C2BED6" w14:textId="77777777" w:rsidR="00C47639" w:rsidRPr="00FD2055" w:rsidRDefault="00C47639" w:rsidP="00C47639">
            <w:pPr>
              <w:pStyle w:val="Standaard-Tabellen"/>
            </w:pPr>
            <w:r>
              <w:t>2.1</w:t>
            </w:r>
          </w:p>
        </w:tc>
        <w:tc>
          <w:tcPr>
            <w:tcW w:w="562" w:type="pct"/>
          </w:tcPr>
          <w:p w14:paraId="0F1FDFD4" w14:textId="77777777" w:rsidR="00C47639" w:rsidRDefault="00C47639" w:rsidP="00C47639">
            <w:pPr>
              <w:pStyle w:val="Standaard-Tabellen"/>
            </w:pPr>
            <w:r>
              <w:lastRenderedPageBreak/>
              <w:t>LOD = 7 mg/L</w:t>
            </w:r>
          </w:p>
          <w:p w14:paraId="54DA7173" w14:textId="77777777" w:rsidR="00C47639" w:rsidRDefault="00C47639" w:rsidP="00C47639">
            <w:pPr>
              <w:pStyle w:val="Standaard-Tabellen"/>
            </w:pPr>
          </w:p>
          <w:p w14:paraId="5B3F33C6" w14:textId="77777777" w:rsidR="00C47639" w:rsidRPr="00FD2055" w:rsidRDefault="00C47639" w:rsidP="00C47639">
            <w:pPr>
              <w:pStyle w:val="Standaard-Tabellen"/>
            </w:pPr>
            <w:r>
              <w:t>LOQ = 250 mg/L (corresponding to 5% w/w)</w:t>
            </w:r>
          </w:p>
        </w:tc>
        <w:tc>
          <w:tcPr>
            <w:tcW w:w="495" w:type="pct"/>
          </w:tcPr>
          <w:p w14:paraId="22B21B75" w14:textId="77777777" w:rsidR="00C47639" w:rsidRDefault="00C47639" w:rsidP="00C47639">
            <w:pPr>
              <w:pStyle w:val="Standaard-Tabellen"/>
            </w:pPr>
            <w:r>
              <w:t xml:space="preserve">Study no 421-001, </w:t>
            </w:r>
            <w:proofErr w:type="spellStart"/>
            <w:r>
              <w:t>Meinerling</w:t>
            </w:r>
            <w:proofErr w:type="spellEnd"/>
            <w:r>
              <w:t xml:space="preserve"> M., 2007</w:t>
            </w:r>
          </w:p>
          <w:p w14:paraId="25D419E4" w14:textId="77777777" w:rsidR="00C47639" w:rsidRDefault="00C47639" w:rsidP="00C47639">
            <w:pPr>
              <w:pStyle w:val="Standaard-Tabellen"/>
            </w:pPr>
          </w:p>
          <w:p w14:paraId="54F2171E" w14:textId="77777777" w:rsidR="00C47639" w:rsidRPr="00FD2055" w:rsidRDefault="00C47639" w:rsidP="00C47639">
            <w:pPr>
              <w:pStyle w:val="Standaard-Tabellen"/>
            </w:pPr>
            <w:r>
              <w:t>1</w:t>
            </w:r>
            <w:r w:rsidRPr="00414E69">
              <w:rPr>
                <w:vertAlign w:val="superscript"/>
              </w:rPr>
              <w:t>st</w:t>
            </w:r>
            <w:r>
              <w:t xml:space="preserve"> Final Report </w:t>
            </w:r>
            <w:proofErr w:type="spellStart"/>
            <w:r>
              <w:t>Amendement</w:t>
            </w:r>
            <w:proofErr w:type="spellEnd"/>
            <w:r>
              <w:t xml:space="preserve"> from 14</w:t>
            </w:r>
            <w:r w:rsidRPr="00414E69">
              <w:rPr>
                <w:vertAlign w:val="superscript"/>
              </w:rPr>
              <w:t>th</w:t>
            </w:r>
            <w:r>
              <w:t xml:space="preserve"> of June 2016</w:t>
            </w:r>
          </w:p>
        </w:tc>
      </w:tr>
      <w:tr w:rsidR="00C47639" w:rsidRPr="00BD2EF1" w14:paraId="38237EEE" w14:textId="77777777" w:rsidTr="00C47639">
        <w:trPr>
          <w:trHeight w:val="300"/>
        </w:trPr>
        <w:tc>
          <w:tcPr>
            <w:tcW w:w="766" w:type="pct"/>
            <w:shd w:val="clear" w:color="auto" w:fill="auto"/>
          </w:tcPr>
          <w:p w14:paraId="1D18E2DB" w14:textId="77777777" w:rsidR="00C47639" w:rsidRPr="00F2295B" w:rsidRDefault="00C47639" w:rsidP="00C47639">
            <w:pPr>
              <w:pStyle w:val="Standaard-Tabellen"/>
              <w:rPr>
                <w:i/>
              </w:rPr>
            </w:pPr>
            <w:r w:rsidRPr="00F2295B">
              <w:rPr>
                <w:i/>
              </w:rPr>
              <w:t xml:space="preserve">Hydrolysis product of IR3535: </w:t>
            </w:r>
          </w:p>
          <w:p w14:paraId="5EC3AD0B" w14:textId="77777777" w:rsidR="00C47639" w:rsidRPr="00F2295B" w:rsidRDefault="00C47639" w:rsidP="00C47639">
            <w:pPr>
              <w:pStyle w:val="Standaard-Tabellen"/>
              <w:rPr>
                <w:i/>
              </w:rPr>
            </w:pPr>
            <w:r w:rsidRPr="00F2295B">
              <w:rPr>
                <w:i/>
              </w:rPr>
              <w:t>3-(N-n-butyl-n-acetyl)</w:t>
            </w:r>
            <w:proofErr w:type="spellStart"/>
            <w:r w:rsidRPr="00F2295B">
              <w:rPr>
                <w:i/>
              </w:rPr>
              <w:t>aminopropionic</w:t>
            </w:r>
            <w:proofErr w:type="spellEnd"/>
            <w:r w:rsidRPr="00F2295B">
              <w:rPr>
                <w:i/>
              </w:rPr>
              <w:t xml:space="preserve"> acid</w:t>
            </w:r>
          </w:p>
        </w:tc>
        <w:tc>
          <w:tcPr>
            <w:tcW w:w="620" w:type="pct"/>
          </w:tcPr>
          <w:p w14:paraId="13D275C3" w14:textId="77777777" w:rsidR="00C47639" w:rsidRDefault="00C47639" w:rsidP="00C47639">
            <w:pPr>
              <w:pStyle w:val="Standaard-Tabellen"/>
            </w:pPr>
            <w:r>
              <w:t>HPLC method &amp; UV-visible spectroscopy. The identity of hydrolysis product was established by comparison of the retention time and by comparison of the UV spectra obtained from sample solution and reference material.</w:t>
            </w:r>
          </w:p>
          <w:p w14:paraId="0BFC697F" w14:textId="77777777" w:rsidR="00C47639" w:rsidRPr="00FD2055" w:rsidRDefault="00C47639" w:rsidP="00C47639">
            <w:pPr>
              <w:pStyle w:val="Standaard-Tabellen"/>
            </w:pPr>
          </w:p>
        </w:tc>
        <w:tc>
          <w:tcPr>
            <w:tcW w:w="600" w:type="pct"/>
          </w:tcPr>
          <w:p w14:paraId="6D67F4B1" w14:textId="77777777" w:rsidR="00C47639" w:rsidRDefault="00C47639" w:rsidP="00C47639">
            <w:pPr>
              <w:pStyle w:val="Standaard-Tabellen"/>
            </w:pPr>
            <w:r>
              <w:t>1%/10</w:t>
            </w:r>
          </w:p>
          <w:p w14:paraId="4823160C" w14:textId="77777777" w:rsidR="00C47639" w:rsidRDefault="00C47639" w:rsidP="00C47639">
            <w:pPr>
              <w:pStyle w:val="Standaard-Tabellen"/>
            </w:pPr>
            <w:r>
              <w:t>(10% IR3535 – 1% hydrolysis product)</w:t>
            </w:r>
          </w:p>
          <w:p w14:paraId="0511ABFF" w14:textId="77777777" w:rsidR="00C47639" w:rsidRDefault="00C47639" w:rsidP="00C47639">
            <w:pPr>
              <w:pStyle w:val="Standaard-Tabellen"/>
            </w:pPr>
          </w:p>
          <w:p w14:paraId="11FFFCC1" w14:textId="77777777" w:rsidR="00C47639" w:rsidRDefault="00C47639" w:rsidP="00C47639">
            <w:pPr>
              <w:pStyle w:val="Standaard-Tabellen"/>
            </w:pPr>
            <w:r>
              <w:t>1%/10</w:t>
            </w:r>
          </w:p>
          <w:p w14:paraId="2490248C" w14:textId="77777777" w:rsidR="00C47639" w:rsidRDefault="00C47639" w:rsidP="00C47639">
            <w:pPr>
              <w:pStyle w:val="Standaard-Tabellen"/>
            </w:pPr>
            <w:r>
              <w:t>(30% IR3535 – 1% hydrolysis product)</w:t>
            </w:r>
          </w:p>
          <w:p w14:paraId="48D6DDAF" w14:textId="77777777" w:rsidR="00C47639" w:rsidRDefault="00C47639" w:rsidP="00C47639">
            <w:pPr>
              <w:pStyle w:val="Standaard-Tabellen"/>
            </w:pPr>
          </w:p>
          <w:p w14:paraId="76035FB5" w14:textId="77777777" w:rsidR="00C47639" w:rsidRDefault="00C47639" w:rsidP="00C47639">
            <w:pPr>
              <w:pStyle w:val="Standaard-Tabellen"/>
            </w:pPr>
          </w:p>
          <w:p w14:paraId="7A7B9A7C" w14:textId="77777777" w:rsidR="00C47639" w:rsidRDefault="00C47639" w:rsidP="00C47639">
            <w:pPr>
              <w:pStyle w:val="Standaard-Tabellen"/>
            </w:pPr>
            <w:r>
              <w:t>5%/5</w:t>
            </w:r>
          </w:p>
          <w:p w14:paraId="72E29170" w14:textId="77777777" w:rsidR="00C47639" w:rsidRDefault="00C47639" w:rsidP="00C47639">
            <w:pPr>
              <w:pStyle w:val="Standaard-Tabellen"/>
            </w:pPr>
            <w:r>
              <w:t>(1% IR3535 – 5% hydrolysis product)</w:t>
            </w:r>
          </w:p>
          <w:p w14:paraId="78F26268" w14:textId="77777777" w:rsidR="00C47639" w:rsidRDefault="00C47639" w:rsidP="00C47639">
            <w:pPr>
              <w:pStyle w:val="Standaard-Tabellen"/>
            </w:pPr>
          </w:p>
          <w:p w14:paraId="05B61F34" w14:textId="77777777" w:rsidR="00C47639" w:rsidRDefault="00C47639" w:rsidP="00C47639">
            <w:pPr>
              <w:pStyle w:val="Standaard-Tabellen"/>
            </w:pPr>
            <w:r>
              <w:t>5%/5</w:t>
            </w:r>
          </w:p>
          <w:p w14:paraId="36D7C543" w14:textId="77777777" w:rsidR="00C47639" w:rsidRDefault="00C47639" w:rsidP="00C47639">
            <w:pPr>
              <w:pStyle w:val="Standaard-Tabellen"/>
            </w:pPr>
            <w:r>
              <w:t>(5% IR3535 – 5% hydrolysis product)</w:t>
            </w:r>
          </w:p>
          <w:p w14:paraId="0EB77E19" w14:textId="77777777" w:rsidR="00C47639" w:rsidRDefault="00C47639" w:rsidP="00C47639">
            <w:pPr>
              <w:pStyle w:val="Standaard-Tabellen"/>
            </w:pPr>
          </w:p>
          <w:p w14:paraId="306D47FF" w14:textId="77777777" w:rsidR="00C47639" w:rsidRDefault="00C47639" w:rsidP="00C47639">
            <w:pPr>
              <w:pStyle w:val="Standaard-Tabellen"/>
            </w:pPr>
          </w:p>
          <w:p w14:paraId="6B6FBCFA" w14:textId="77777777" w:rsidR="00C47639" w:rsidRDefault="00C47639" w:rsidP="00C47639">
            <w:pPr>
              <w:pStyle w:val="Standaard-Tabellen"/>
            </w:pPr>
            <w:r>
              <w:t xml:space="preserve">Validated concentration </w:t>
            </w:r>
            <w:r>
              <w:lastRenderedPageBreak/>
              <w:t xml:space="preserve">range 0.1 – 5% hydrolysis </w:t>
            </w:r>
            <w:proofErr w:type="spellStart"/>
            <w:r>
              <w:t>product.</w:t>
            </w:r>
            <w:r>
              <w:rPr>
                <w:noProof/>
              </w:rPr>
              <w:t>The</w:t>
            </w:r>
            <w:proofErr w:type="spellEnd"/>
            <w:r>
              <w:rPr>
                <w:noProof/>
              </w:rPr>
              <w:t xml:space="preserve"> lowest concentration comes from report 98322204 with 10% IR3535 solution (READ ACROSS from IR3535 Lotion).</w:t>
            </w:r>
          </w:p>
          <w:p w14:paraId="38B1BDA1" w14:textId="77777777" w:rsidR="00C47639" w:rsidRPr="00FD2055" w:rsidRDefault="00C47639" w:rsidP="00C47639">
            <w:pPr>
              <w:pStyle w:val="Standaard-Tabellen"/>
            </w:pPr>
          </w:p>
        </w:tc>
        <w:tc>
          <w:tcPr>
            <w:tcW w:w="618" w:type="pct"/>
          </w:tcPr>
          <w:p w14:paraId="15C4983E" w14:textId="77777777" w:rsidR="00C47639" w:rsidRDefault="00C47639" w:rsidP="00C47639">
            <w:pPr>
              <w:pStyle w:val="Standaard-Tabellen"/>
            </w:pPr>
            <w:r>
              <w:lastRenderedPageBreak/>
              <w:t xml:space="preserve">Correlation of the peak area of different standard solutions with their corresponding concentrations resulted in a linear regression with regression coefficient of at least 0.999. </w:t>
            </w:r>
          </w:p>
          <w:p w14:paraId="32113254" w14:textId="77777777" w:rsidR="00C47639" w:rsidRDefault="00C47639" w:rsidP="00C47639">
            <w:pPr>
              <w:pStyle w:val="Standaard-Tabellen"/>
            </w:pPr>
          </w:p>
          <w:p w14:paraId="58C49602" w14:textId="77777777" w:rsidR="00C47639" w:rsidRDefault="00C47639" w:rsidP="00C47639">
            <w:pPr>
              <w:pStyle w:val="Standaard-Tabellen"/>
            </w:pPr>
          </w:p>
          <w:p w14:paraId="08BBAE3C" w14:textId="77777777" w:rsidR="00C47639" w:rsidRPr="00FD2055" w:rsidRDefault="00C47639" w:rsidP="00C47639">
            <w:pPr>
              <w:pStyle w:val="Standaard-Tabellen"/>
            </w:pPr>
            <w:r>
              <w:rPr>
                <w:color w:val="0070C0"/>
              </w:rPr>
              <w:t>C</w:t>
            </w:r>
            <w:r w:rsidRPr="00ED7CFD">
              <w:rPr>
                <w:color w:val="0070C0"/>
              </w:rPr>
              <w:t xml:space="preserve">oncentration range = from 25 to </w:t>
            </w:r>
            <w:r>
              <w:rPr>
                <w:color w:val="0070C0"/>
              </w:rPr>
              <w:t>30</w:t>
            </w:r>
            <w:r w:rsidRPr="00ED7CFD">
              <w:rPr>
                <w:color w:val="0070C0"/>
              </w:rPr>
              <w:t>0 mg/L</w:t>
            </w:r>
            <w:r>
              <w:rPr>
                <w:color w:val="0070C0"/>
              </w:rPr>
              <w:t>, number of C</w:t>
            </w:r>
            <w:r w:rsidRPr="00ED7CFD">
              <w:rPr>
                <w:color w:val="0070C0"/>
              </w:rPr>
              <w:t>alibration points = 9</w:t>
            </w:r>
          </w:p>
        </w:tc>
        <w:tc>
          <w:tcPr>
            <w:tcW w:w="603" w:type="pct"/>
          </w:tcPr>
          <w:p w14:paraId="2317EFAB" w14:textId="77777777" w:rsidR="00C47639" w:rsidRPr="00FD2055" w:rsidRDefault="00C47639" w:rsidP="00C47639">
            <w:pPr>
              <w:pStyle w:val="Standaard-Tabellen"/>
            </w:pPr>
            <w:r>
              <w:t xml:space="preserve">The retention time of the </w:t>
            </w:r>
            <w:proofErr w:type="spellStart"/>
            <w:r>
              <w:t>analyte</w:t>
            </w:r>
            <w:proofErr w:type="spellEnd"/>
            <w:r>
              <w:t xml:space="preserve"> hydrolysis product in the samples solution did not differ by more than 1% from the standard solution. In addition, the identity of the </w:t>
            </w:r>
            <w:proofErr w:type="spellStart"/>
            <w:r>
              <w:t>analyte</w:t>
            </w:r>
            <w:proofErr w:type="spellEnd"/>
            <w:r>
              <w:t xml:space="preserve"> was confirmed by comparison of the UV spectrum of the test item with the UV-spectrum of the fortified sample solution.</w:t>
            </w:r>
          </w:p>
        </w:tc>
        <w:tc>
          <w:tcPr>
            <w:tcW w:w="248" w:type="pct"/>
          </w:tcPr>
          <w:p w14:paraId="68522B9D" w14:textId="77777777" w:rsidR="00C47639" w:rsidRDefault="00C47639" w:rsidP="00C47639">
            <w:pPr>
              <w:pStyle w:val="Standaard-Tabellen"/>
            </w:pPr>
            <w:r>
              <w:t>1%</w:t>
            </w:r>
          </w:p>
          <w:p w14:paraId="33602497" w14:textId="77777777" w:rsidR="00C47639" w:rsidRDefault="00C47639" w:rsidP="00C47639">
            <w:pPr>
              <w:pStyle w:val="Standaard-Tabellen"/>
            </w:pPr>
            <w:r>
              <w:t xml:space="preserve">99 – 104 </w:t>
            </w:r>
          </w:p>
          <w:p w14:paraId="0A6886AE" w14:textId="77777777" w:rsidR="00C47639" w:rsidRDefault="00C47639" w:rsidP="00C47639">
            <w:pPr>
              <w:pStyle w:val="Standaard-Tabellen"/>
            </w:pPr>
          </w:p>
          <w:p w14:paraId="6703822C" w14:textId="77777777" w:rsidR="00C47639" w:rsidRDefault="00C47639" w:rsidP="00C47639">
            <w:pPr>
              <w:pStyle w:val="Standaard-Tabellen"/>
            </w:pPr>
          </w:p>
          <w:p w14:paraId="0CA5BE56" w14:textId="77777777" w:rsidR="00C47639" w:rsidRDefault="00C47639" w:rsidP="00C47639">
            <w:pPr>
              <w:pStyle w:val="Standaard-Tabellen"/>
            </w:pPr>
          </w:p>
          <w:p w14:paraId="4D838F61" w14:textId="77777777" w:rsidR="00C47639" w:rsidRDefault="00C47639" w:rsidP="00C47639">
            <w:pPr>
              <w:pStyle w:val="Standaard-Tabellen"/>
            </w:pPr>
          </w:p>
          <w:p w14:paraId="4B206789" w14:textId="77777777" w:rsidR="00C47639" w:rsidRDefault="00C47639" w:rsidP="00C47639">
            <w:pPr>
              <w:pStyle w:val="Standaard-Tabellen"/>
            </w:pPr>
          </w:p>
          <w:p w14:paraId="3530D0CE" w14:textId="77777777" w:rsidR="00C47639" w:rsidRDefault="00C47639" w:rsidP="00C47639">
            <w:pPr>
              <w:pStyle w:val="Standaard-Tabellen"/>
            </w:pPr>
          </w:p>
          <w:p w14:paraId="2CC7471A" w14:textId="77777777" w:rsidR="00C47639" w:rsidRDefault="00C47639" w:rsidP="00C47639">
            <w:pPr>
              <w:pStyle w:val="Standaard-Tabellen"/>
            </w:pPr>
          </w:p>
          <w:p w14:paraId="73FF893C" w14:textId="77777777" w:rsidR="00C47639" w:rsidRDefault="00C47639" w:rsidP="00C47639">
            <w:pPr>
              <w:pStyle w:val="Standaard-Tabellen"/>
            </w:pPr>
            <w:r>
              <w:t>5%</w:t>
            </w:r>
          </w:p>
          <w:p w14:paraId="2D40A601" w14:textId="77777777" w:rsidR="00C47639" w:rsidRPr="00FD2055" w:rsidRDefault="00C47639" w:rsidP="00C47639">
            <w:pPr>
              <w:pStyle w:val="Standaard-Tabellen"/>
            </w:pPr>
            <w:r>
              <w:t xml:space="preserve">99-104 </w:t>
            </w:r>
          </w:p>
          <w:p w14:paraId="242D3AB9" w14:textId="77777777" w:rsidR="00C47639" w:rsidRPr="00FD2055" w:rsidRDefault="00C47639" w:rsidP="00C47639">
            <w:pPr>
              <w:pStyle w:val="Standaard-Tabellen"/>
            </w:pPr>
          </w:p>
        </w:tc>
        <w:tc>
          <w:tcPr>
            <w:tcW w:w="217" w:type="pct"/>
          </w:tcPr>
          <w:p w14:paraId="7632942F" w14:textId="77777777" w:rsidR="00C47639" w:rsidRDefault="00C47639" w:rsidP="00C47639">
            <w:pPr>
              <w:pStyle w:val="Standaard-Tabellen"/>
              <w:rPr>
                <w:color w:val="FF0000"/>
              </w:rPr>
            </w:pPr>
          </w:p>
          <w:p w14:paraId="0D6BCC22" w14:textId="77777777" w:rsidR="00C47639" w:rsidRPr="009A2BE9" w:rsidRDefault="00C47639" w:rsidP="00C47639">
            <w:pPr>
              <w:pStyle w:val="Standaard-Tabellen"/>
            </w:pPr>
            <w:r>
              <w:t>103</w:t>
            </w:r>
          </w:p>
          <w:p w14:paraId="7B82EDF8" w14:textId="77777777" w:rsidR="00C47639" w:rsidRPr="009A2BE9" w:rsidRDefault="00C47639" w:rsidP="00C47639">
            <w:pPr>
              <w:pStyle w:val="Standaard-Tabellen"/>
            </w:pPr>
          </w:p>
          <w:p w14:paraId="68F03715" w14:textId="77777777" w:rsidR="00C47639" w:rsidRDefault="00C47639" w:rsidP="00C47639">
            <w:pPr>
              <w:pStyle w:val="Standaard-Tabellen"/>
            </w:pPr>
          </w:p>
          <w:p w14:paraId="627E015C" w14:textId="77777777" w:rsidR="00C47639" w:rsidRDefault="00C47639" w:rsidP="00C47639">
            <w:pPr>
              <w:pStyle w:val="Standaard-Tabellen"/>
            </w:pPr>
          </w:p>
          <w:p w14:paraId="1707135F" w14:textId="77777777" w:rsidR="00C47639" w:rsidRDefault="00C47639" w:rsidP="00C47639">
            <w:pPr>
              <w:pStyle w:val="Standaard-Tabellen"/>
            </w:pPr>
          </w:p>
          <w:p w14:paraId="057EDB0A" w14:textId="77777777" w:rsidR="00C47639" w:rsidRDefault="00C47639" w:rsidP="00C47639">
            <w:pPr>
              <w:pStyle w:val="Standaard-Tabellen"/>
            </w:pPr>
          </w:p>
          <w:p w14:paraId="6EA5B299" w14:textId="77777777" w:rsidR="00C47639" w:rsidRDefault="00C47639" w:rsidP="00C47639">
            <w:pPr>
              <w:pStyle w:val="Standaard-Tabellen"/>
            </w:pPr>
          </w:p>
          <w:p w14:paraId="65C1789D" w14:textId="77777777" w:rsidR="00C47639" w:rsidRDefault="00C47639" w:rsidP="00C47639">
            <w:pPr>
              <w:pStyle w:val="Standaard-Tabellen"/>
            </w:pPr>
          </w:p>
          <w:p w14:paraId="4A3D0191" w14:textId="77777777" w:rsidR="00C47639" w:rsidRPr="009A2BE9" w:rsidRDefault="00C47639" w:rsidP="00C47639">
            <w:pPr>
              <w:pStyle w:val="Standaard-Tabellen"/>
            </w:pPr>
          </w:p>
          <w:p w14:paraId="2171EC0C" w14:textId="77777777" w:rsidR="00C47639" w:rsidRPr="009A2BE9" w:rsidRDefault="00C47639" w:rsidP="00C47639">
            <w:pPr>
              <w:pStyle w:val="Standaard-Tabellen"/>
            </w:pPr>
          </w:p>
          <w:p w14:paraId="2A795011" w14:textId="77777777" w:rsidR="00C47639" w:rsidRPr="00644F7E" w:rsidRDefault="00C47639" w:rsidP="00C47639">
            <w:pPr>
              <w:pStyle w:val="Standaard-Tabellen"/>
              <w:rPr>
                <w:color w:val="FF0000"/>
              </w:rPr>
            </w:pPr>
            <w:r>
              <w:t>99</w:t>
            </w:r>
          </w:p>
        </w:tc>
        <w:tc>
          <w:tcPr>
            <w:tcW w:w="271" w:type="pct"/>
          </w:tcPr>
          <w:p w14:paraId="0B016F80" w14:textId="77777777" w:rsidR="00C47639" w:rsidRDefault="00C47639" w:rsidP="00C47639">
            <w:pPr>
              <w:pStyle w:val="Standaard-Tabellen"/>
            </w:pPr>
          </w:p>
          <w:p w14:paraId="511F3460" w14:textId="77777777" w:rsidR="00C47639" w:rsidRDefault="00C47639" w:rsidP="00C47639">
            <w:pPr>
              <w:pStyle w:val="Standaard-Tabellen"/>
            </w:pPr>
            <w:r>
              <w:t>&lt;2.2%</w:t>
            </w:r>
          </w:p>
          <w:p w14:paraId="35292D87" w14:textId="77777777" w:rsidR="00C47639" w:rsidRDefault="00C47639" w:rsidP="00C47639">
            <w:pPr>
              <w:pStyle w:val="Standaard-Tabellen"/>
            </w:pPr>
          </w:p>
          <w:p w14:paraId="07C4680B" w14:textId="77777777" w:rsidR="00C47639" w:rsidRDefault="00C47639" w:rsidP="00C47639">
            <w:pPr>
              <w:pStyle w:val="Standaard-Tabellen"/>
            </w:pPr>
          </w:p>
          <w:p w14:paraId="14D812DD" w14:textId="77777777" w:rsidR="00C47639" w:rsidRDefault="00C47639" w:rsidP="00C47639">
            <w:pPr>
              <w:pStyle w:val="Standaard-Tabellen"/>
            </w:pPr>
          </w:p>
          <w:p w14:paraId="405869D9" w14:textId="77777777" w:rsidR="00C47639" w:rsidRDefault="00C47639" w:rsidP="00C47639">
            <w:pPr>
              <w:pStyle w:val="Standaard-Tabellen"/>
            </w:pPr>
          </w:p>
          <w:p w14:paraId="1AE18133" w14:textId="77777777" w:rsidR="00C47639" w:rsidRDefault="00C47639" w:rsidP="00C47639">
            <w:pPr>
              <w:pStyle w:val="Standaard-Tabellen"/>
            </w:pPr>
          </w:p>
          <w:p w14:paraId="5826536C" w14:textId="77777777" w:rsidR="00C47639" w:rsidRDefault="00C47639" w:rsidP="00C47639">
            <w:pPr>
              <w:pStyle w:val="Standaard-Tabellen"/>
            </w:pPr>
          </w:p>
          <w:p w14:paraId="515B4487" w14:textId="77777777" w:rsidR="00C47639" w:rsidRDefault="00C47639" w:rsidP="00C47639">
            <w:pPr>
              <w:pStyle w:val="Standaard-Tabellen"/>
            </w:pPr>
          </w:p>
          <w:p w14:paraId="3560D745" w14:textId="77777777" w:rsidR="00C47639" w:rsidRDefault="00C47639" w:rsidP="00C47639">
            <w:pPr>
              <w:pStyle w:val="Standaard-Tabellen"/>
            </w:pPr>
          </w:p>
          <w:p w14:paraId="5F2F3EF1" w14:textId="77777777" w:rsidR="00C47639" w:rsidRDefault="00C47639" w:rsidP="00C47639">
            <w:pPr>
              <w:pStyle w:val="Standaard-Tabellen"/>
            </w:pPr>
          </w:p>
          <w:p w14:paraId="328E8B54" w14:textId="77777777" w:rsidR="00C47639" w:rsidRPr="00FD2055" w:rsidRDefault="00C47639" w:rsidP="00C47639">
            <w:pPr>
              <w:pStyle w:val="Standaard-Tabellen"/>
            </w:pPr>
            <w:r>
              <w:t>&lt;2.7%</w:t>
            </w:r>
          </w:p>
        </w:tc>
        <w:tc>
          <w:tcPr>
            <w:tcW w:w="562" w:type="pct"/>
          </w:tcPr>
          <w:p w14:paraId="2183DEF3" w14:textId="77777777" w:rsidR="00C47639" w:rsidRDefault="00C47639" w:rsidP="00C47639">
            <w:pPr>
              <w:pStyle w:val="Standaard-Tabellen"/>
            </w:pPr>
            <w:r>
              <w:t>LOD = 3 mg/L</w:t>
            </w:r>
          </w:p>
          <w:p w14:paraId="5B0CC40D" w14:textId="77777777" w:rsidR="00C47639" w:rsidRDefault="00C47639" w:rsidP="00C47639">
            <w:pPr>
              <w:pStyle w:val="Standaard-Tabellen"/>
            </w:pPr>
          </w:p>
          <w:p w14:paraId="13CA1445" w14:textId="77777777" w:rsidR="00C47639" w:rsidRPr="00FD2055" w:rsidRDefault="00C47639" w:rsidP="00C47639">
            <w:pPr>
              <w:pStyle w:val="Standaard-Tabellen"/>
            </w:pPr>
            <w:r>
              <w:t>LOQ = 50 mg/L (corresponding to 1% w/w)</w:t>
            </w:r>
          </w:p>
        </w:tc>
        <w:tc>
          <w:tcPr>
            <w:tcW w:w="495" w:type="pct"/>
          </w:tcPr>
          <w:p w14:paraId="4A7863F9" w14:textId="77777777" w:rsidR="00C47639" w:rsidRDefault="00C47639" w:rsidP="00C47639">
            <w:pPr>
              <w:pStyle w:val="Standaard-Tabellen"/>
            </w:pPr>
            <w:r>
              <w:t xml:space="preserve">Study no 421-001, </w:t>
            </w:r>
            <w:proofErr w:type="spellStart"/>
            <w:r>
              <w:t>Meinerling</w:t>
            </w:r>
            <w:proofErr w:type="spellEnd"/>
            <w:r>
              <w:t xml:space="preserve"> M., 2007</w:t>
            </w:r>
          </w:p>
          <w:p w14:paraId="07A0172F" w14:textId="77777777" w:rsidR="00C47639" w:rsidRDefault="00C47639" w:rsidP="00C47639">
            <w:pPr>
              <w:pStyle w:val="Standaard-Tabellen"/>
            </w:pPr>
          </w:p>
          <w:p w14:paraId="23A623BE" w14:textId="77777777" w:rsidR="00C47639" w:rsidRDefault="00C47639" w:rsidP="00C47639">
            <w:pPr>
              <w:pStyle w:val="Standaard-Tabellen"/>
            </w:pPr>
            <w:r>
              <w:t xml:space="preserve">Statement </w:t>
            </w:r>
            <w:proofErr w:type="spellStart"/>
            <w:r>
              <w:t>Ibacon</w:t>
            </w:r>
            <w:proofErr w:type="spellEnd"/>
            <w:r>
              <w:t>, 2016</w:t>
            </w:r>
          </w:p>
          <w:p w14:paraId="37B5F64F" w14:textId="77777777" w:rsidR="00C47639" w:rsidRDefault="00C47639" w:rsidP="00C47639">
            <w:pPr>
              <w:pStyle w:val="Standaard-Tabellen"/>
            </w:pPr>
          </w:p>
          <w:p w14:paraId="5AB6F6B6" w14:textId="77777777" w:rsidR="00C47639" w:rsidRPr="00FD2055" w:rsidRDefault="00C47639" w:rsidP="00C47639">
            <w:pPr>
              <w:pStyle w:val="Standaard-Tabellen"/>
            </w:pPr>
            <w:r>
              <w:t>Study no 98322204, Fieseler,2015</w:t>
            </w:r>
          </w:p>
        </w:tc>
      </w:tr>
    </w:tbl>
    <w:p w14:paraId="44C94FFF"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C47639" w:rsidRPr="00BD2EF1" w14:paraId="21152C06" w14:textId="77777777" w:rsidTr="00C47639">
        <w:tc>
          <w:tcPr>
            <w:tcW w:w="5000" w:type="pct"/>
            <w:tcBorders>
              <w:top w:val="single" w:sz="4" w:space="0" w:color="auto"/>
              <w:left w:val="single" w:sz="4" w:space="0" w:color="auto"/>
              <w:bottom w:val="single" w:sz="6" w:space="0" w:color="auto"/>
              <w:right w:val="single" w:sz="6" w:space="0" w:color="auto"/>
            </w:tcBorders>
            <w:shd w:val="clear" w:color="auto" w:fill="CCFFCC"/>
          </w:tcPr>
          <w:p w14:paraId="7A0EB3D0" w14:textId="77777777" w:rsidR="00C47639" w:rsidRPr="00BD2EF1" w:rsidRDefault="00C47639" w:rsidP="00C47639">
            <w:pPr>
              <w:rPr>
                <w:b/>
              </w:rPr>
            </w:pPr>
            <w:r w:rsidRPr="00BD2EF1">
              <w:rPr>
                <w:b/>
              </w:rPr>
              <w:t>Conclusion on the methods for detection and identification</w:t>
            </w:r>
            <w:r>
              <w:rPr>
                <w:b/>
              </w:rPr>
              <w:t xml:space="preserve"> </w:t>
            </w:r>
            <w:r w:rsidRPr="00BD2EF1">
              <w:rPr>
                <w:b/>
              </w:rPr>
              <w:t>of the product</w:t>
            </w:r>
          </w:p>
        </w:tc>
      </w:tr>
      <w:tr w:rsidR="00C47639" w:rsidRPr="00BD2EF1" w14:paraId="6729363F" w14:textId="77777777" w:rsidTr="00C476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446A697" w14:textId="77777777" w:rsidR="00C47639" w:rsidRDefault="00C47639" w:rsidP="00C47639">
            <w:pPr>
              <w:rPr>
                <w:rFonts w:ascii="Times New Roman" w:hAnsi="Times New Roman"/>
              </w:rPr>
            </w:pPr>
            <w:r>
              <w:t>IR3535</w:t>
            </w:r>
            <w:r w:rsidRPr="0004367B">
              <w:rPr>
                <w:vertAlign w:val="superscript"/>
                <w:lang w:eastAsia="fr-FR"/>
              </w:rPr>
              <w:t>®</w:t>
            </w:r>
            <w:r>
              <w:t xml:space="preserve"> and its metabolite IR3535</w:t>
            </w:r>
            <w:r w:rsidRPr="0004367B">
              <w:rPr>
                <w:vertAlign w:val="superscript"/>
                <w:lang w:eastAsia="fr-FR"/>
              </w:rPr>
              <w:t>®</w:t>
            </w:r>
            <w:r>
              <w:t xml:space="preserve"> free acid (hydrolysis product) can both be determined in the product Insect Repellent Pump Spray IR3535</w:t>
            </w:r>
            <w:r w:rsidRPr="0004367B">
              <w:rPr>
                <w:vertAlign w:val="superscript"/>
                <w:lang w:eastAsia="fr-FR"/>
              </w:rPr>
              <w:t>®</w:t>
            </w:r>
            <w:r>
              <w:rPr>
                <w:vertAlign w:val="superscript"/>
                <w:lang w:eastAsia="fr-FR"/>
              </w:rPr>
              <w:t xml:space="preserve"> </w:t>
            </w:r>
            <w:r>
              <w:rPr>
                <w:lang w:eastAsia="fr-FR"/>
              </w:rPr>
              <w:t>20%</w:t>
            </w:r>
            <w:r>
              <w:t xml:space="preserve"> with an HPLC-Diode Array Detector/UV-VIS detector (at 220nm) and a RP18 (250*4 mm) column. </w:t>
            </w:r>
          </w:p>
          <w:p w14:paraId="6571C279" w14:textId="77777777" w:rsidR="00C47639" w:rsidRDefault="00C47639" w:rsidP="00C47639">
            <w:pPr>
              <w:rPr>
                <w:sz w:val="24"/>
                <w:szCs w:val="24"/>
              </w:rPr>
            </w:pPr>
            <w:r>
              <w:t xml:space="preserve">The identity of the </w:t>
            </w:r>
            <w:proofErr w:type="spellStart"/>
            <w:r>
              <w:t>analyte</w:t>
            </w:r>
            <w:proofErr w:type="spellEnd"/>
            <w:r>
              <w:t xml:space="preserve"> is confirmed by comparison of the retention times. The standard regression is linear. The method is repeatable. The mean recovery rates at each spiking level are in the range of 92 – 104%. Repeated injection of the samples resulted in a coefficient of variation which was less than 2.7 %. The limit of quantification (LOQ) is 5% for IR3535</w:t>
            </w:r>
            <w:r w:rsidRPr="0004367B">
              <w:rPr>
                <w:vertAlign w:val="superscript"/>
                <w:lang w:eastAsia="fr-FR"/>
              </w:rPr>
              <w:t>®</w:t>
            </w:r>
            <w:r>
              <w:t xml:space="preserve"> corresponding to 250 mg/L and the limit of detection (LOD) is 7 mg/L for IR3535</w:t>
            </w:r>
            <w:r w:rsidRPr="0004367B">
              <w:rPr>
                <w:vertAlign w:val="superscript"/>
                <w:lang w:eastAsia="fr-FR"/>
              </w:rPr>
              <w:t>®</w:t>
            </w:r>
            <w:r>
              <w:t>. The limit of quantification (LOQ) is 0.1% for IR3535</w:t>
            </w:r>
            <w:r w:rsidRPr="0004367B">
              <w:rPr>
                <w:vertAlign w:val="superscript"/>
                <w:lang w:eastAsia="fr-FR"/>
              </w:rPr>
              <w:t>®</w:t>
            </w:r>
            <w:r>
              <w:t xml:space="preserve"> free acid corresponding to 5 mg/L and the limit of detection (LOD) is 3 mg/L for IR3535</w:t>
            </w:r>
            <w:r w:rsidRPr="0004367B">
              <w:rPr>
                <w:vertAlign w:val="superscript"/>
                <w:lang w:eastAsia="fr-FR"/>
              </w:rPr>
              <w:t>®</w:t>
            </w:r>
            <w:r>
              <w:t xml:space="preserve"> free acid. The overall mean recovery rate for IR3535</w:t>
            </w:r>
            <w:r w:rsidRPr="0004367B">
              <w:rPr>
                <w:vertAlign w:val="superscript"/>
                <w:lang w:eastAsia="fr-FR"/>
              </w:rPr>
              <w:t>®</w:t>
            </w:r>
            <w:r>
              <w:t xml:space="preserve"> and IR3535</w:t>
            </w:r>
            <w:r w:rsidRPr="0004367B">
              <w:rPr>
                <w:vertAlign w:val="superscript"/>
                <w:lang w:eastAsia="fr-FR"/>
              </w:rPr>
              <w:t>®</w:t>
            </w:r>
            <w:r>
              <w:t xml:space="preserve"> free acid was ≥ 94%.</w:t>
            </w:r>
          </w:p>
          <w:p w14:paraId="583E9112" w14:textId="77777777" w:rsidR="00C47639" w:rsidRDefault="00C47639" w:rsidP="00C47639"/>
          <w:p w14:paraId="735035B4" w14:textId="77777777" w:rsidR="00C47639" w:rsidRPr="00152EF4" w:rsidRDefault="00C47639" w:rsidP="00C47639">
            <w:r w:rsidRPr="00152EF4">
              <w:t>F</w:t>
            </w:r>
            <w:r>
              <w:t>or other analytical methods</w:t>
            </w:r>
            <w:r w:rsidRPr="00152EF4">
              <w:t xml:space="preserve"> refer to the CAR of active substance</w:t>
            </w:r>
            <w:r>
              <w:t>.</w:t>
            </w:r>
          </w:p>
        </w:tc>
      </w:tr>
    </w:tbl>
    <w:p w14:paraId="3312F278" w14:textId="77777777" w:rsidR="00C47639" w:rsidRPr="00BD2EF1" w:rsidRDefault="00C47639" w:rsidP="00C47639"/>
    <w:p w14:paraId="78ECA86D" w14:textId="77777777" w:rsidR="00C47639" w:rsidRPr="00BD2EF1" w:rsidRDefault="00C47639" w:rsidP="00C47639">
      <w:pPr>
        <w:spacing w:before="0" w:after="160" w:line="259" w:lineRule="auto"/>
        <w:sectPr w:rsidR="00C47639" w:rsidRPr="00BD2EF1" w:rsidSect="00F2295B">
          <w:pgSz w:w="16838" w:h="11906" w:orient="landscape"/>
          <w:pgMar w:top="1247" w:right="1247" w:bottom="1247" w:left="1247" w:header="709" w:footer="709" w:gutter="0"/>
          <w:cols w:space="708"/>
          <w:docGrid w:linePitch="360"/>
        </w:sectPr>
      </w:pPr>
    </w:p>
    <w:p w14:paraId="0D96B317" w14:textId="77777777" w:rsidR="00900DBB" w:rsidRPr="00BD2EF1" w:rsidRDefault="00900DBB" w:rsidP="00496A65">
      <w:pPr>
        <w:pStyle w:val="Titre3"/>
      </w:pPr>
      <w:bookmarkStart w:id="84" w:name="_Toc8296487"/>
      <w:r w:rsidRPr="00BD2EF1">
        <w:lastRenderedPageBreak/>
        <w:t>Efficacy against target organisms</w:t>
      </w:r>
      <w:bookmarkEnd w:id="84"/>
    </w:p>
    <w:p w14:paraId="69612543" w14:textId="77777777" w:rsidR="003839E7" w:rsidRPr="00BD2EF1" w:rsidRDefault="003839E7" w:rsidP="00496A65">
      <w:pPr>
        <w:pStyle w:val="Titre4"/>
      </w:pPr>
      <w:bookmarkStart w:id="85" w:name="_Toc8296488"/>
      <w:r w:rsidRPr="00BD2EF1">
        <w:t>Function and field of use</w:t>
      </w:r>
      <w:bookmarkEnd w:id="85"/>
    </w:p>
    <w:p w14:paraId="4EDF661D" w14:textId="77777777" w:rsidR="000C6F2C" w:rsidRPr="003F1D97" w:rsidRDefault="000C6F2C" w:rsidP="00496A65">
      <w:r w:rsidRPr="003F1D97">
        <w:t xml:space="preserve">Main Group </w:t>
      </w:r>
      <w:proofErr w:type="gramStart"/>
      <w:r w:rsidRPr="003F1D97">
        <w:t>03 :</w:t>
      </w:r>
      <w:proofErr w:type="gramEnd"/>
      <w:r w:rsidRPr="003F1D97">
        <w:t xml:space="preserve"> Pest Control</w:t>
      </w:r>
    </w:p>
    <w:p w14:paraId="6B5D3A27" w14:textId="77777777" w:rsidR="000C6F2C" w:rsidRPr="003F1D97" w:rsidRDefault="000C6F2C" w:rsidP="00496A65">
      <w:r w:rsidRPr="003F1D97">
        <w:t xml:space="preserve">Product Type </w:t>
      </w:r>
      <w:proofErr w:type="gramStart"/>
      <w:r w:rsidRPr="003F1D97">
        <w:t>19 :</w:t>
      </w:r>
      <w:proofErr w:type="gramEnd"/>
      <w:r w:rsidRPr="003F1D97">
        <w:t xml:space="preserve"> Repellents and attractants</w:t>
      </w:r>
    </w:p>
    <w:p w14:paraId="728CDF47" w14:textId="77777777" w:rsidR="000C6F2C" w:rsidRPr="003F1D97" w:rsidRDefault="000C6F2C" w:rsidP="00496A65"/>
    <w:p w14:paraId="32E5C1A6" w14:textId="2E642563" w:rsidR="001221F5" w:rsidRPr="003F1D97" w:rsidRDefault="001221F5" w:rsidP="00496A65">
      <w:r w:rsidRPr="003F1D97">
        <w:t xml:space="preserve">According to the </w:t>
      </w:r>
      <w:r>
        <w:t xml:space="preserve">concept </w:t>
      </w:r>
      <w:r w:rsidRPr="003F1D97">
        <w:t>label submitted by</w:t>
      </w:r>
      <w:r>
        <w:t xml:space="preserve"> Merck (please note that Merck does not market these products)</w:t>
      </w:r>
      <w:r w:rsidRPr="003F1D97">
        <w:t>:</w:t>
      </w:r>
    </w:p>
    <w:p w14:paraId="46AF5C97" w14:textId="77AAB656" w:rsidR="000C6F2C" w:rsidRPr="003F1D97" w:rsidRDefault="000C6F2C" w:rsidP="00496A65">
      <w:r w:rsidRPr="003F1D97">
        <w:t xml:space="preserve">The product </w:t>
      </w:r>
      <w:r w:rsidRPr="003F1D97">
        <w:rPr>
          <w:b/>
          <w:i/>
        </w:rPr>
        <w:t>Insect Repellent Pump Spray IR3535</w:t>
      </w:r>
      <w:r w:rsidR="00AC0EA0" w:rsidRPr="00AC0EA0">
        <w:rPr>
          <w:b/>
          <w:i/>
          <w:vertAlign w:val="superscript"/>
        </w:rPr>
        <w:t>®</w:t>
      </w:r>
      <w:r w:rsidRPr="003F1D97">
        <w:rPr>
          <w:b/>
          <w:i/>
        </w:rPr>
        <w:t xml:space="preserve"> 20% </w:t>
      </w:r>
      <w:r w:rsidRPr="003F1D97">
        <w:t>is presented as a ready-to-use pump spray to be applied on uncovered human skin (</w:t>
      </w:r>
      <w:r>
        <w:t xml:space="preserve">to </w:t>
      </w:r>
      <w:r w:rsidRPr="003F1D97">
        <w:t>face, arms, hands</w:t>
      </w:r>
      <w:r w:rsidR="007A77B5">
        <w:t>,</w:t>
      </w:r>
      <w:r w:rsidRPr="003F1D97">
        <w:t xml:space="preserve"> legs </w:t>
      </w:r>
      <w:r w:rsidR="007A77B5">
        <w:t xml:space="preserve">and feet </w:t>
      </w:r>
      <w:r w:rsidRPr="003F1D97">
        <w:t>only) and on clothes.</w:t>
      </w:r>
    </w:p>
    <w:p w14:paraId="507FF335" w14:textId="77777777" w:rsidR="000C6F2C" w:rsidRDefault="000C6F2C" w:rsidP="00496A65">
      <w:r w:rsidRPr="003F1D97">
        <w:t>The product is intended to be used by general public (children from 1 year old and adults) in temperate and tropical areas.</w:t>
      </w:r>
      <w:r>
        <w:t xml:space="preserve"> </w:t>
      </w:r>
      <w:r w:rsidRPr="00241813">
        <w:t>An adult should apply this product to children under 10 years of age.</w:t>
      </w:r>
    </w:p>
    <w:p w14:paraId="57A216BD" w14:textId="77777777" w:rsidR="000C6F2C" w:rsidRDefault="000C6F2C" w:rsidP="00496A65">
      <w:r w:rsidRPr="00241813">
        <w:t>For an adult 3 gram product suffice.</w:t>
      </w:r>
    </w:p>
    <w:p w14:paraId="004F2C60" w14:textId="77777777" w:rsidR="000C6F2C" w:rsidRDefault="000C6F2C" w:rsidP="00496A65"/>
    <w:p w14:paraId="1A9255CD" w14:textId="77777777" w:rsidR="003839E7" w:rsidRPr="00BD2EF1" w:rsidRDefault="003839E7" w:rsidP="00496A65">
      <w:pPr>
        <w:pStyle w:val="Titre4"/>
      </w:pPr>
      <w:bookmarkStart w:id="86" w:name="_Toc389729036"/>
      <w:bookmarkStart w:id="87" w:name="_Toc403472745"/>
      <w:bookmarkStart w:id="88" w:name="_Toc403566566"/>
      <w:bookmarkStart w:id="89" w:name="_Toc425344107"/>
      <w:bookmarkStart w:id="90" w:name="_Toc8296489"/>
      <w:r w:rsidRPr="00BD2EF1">
        <w:t>Organisms to be controlled and products, organisms or objects to be protected</w:t>
      </w:r>
      <w:bookmarkEnd w:id="86"/>
      <w:bookmarkEnd w:id="87"/>
      <w:bookmarkEnd w:id="88"/>
      <w:bookmarkEnd w:id="89"/>
      <w:bookmarkEnd w:id="90"/>
    </w:p>
    <w:p w14:paraId="7AF261ED" w14:textId="77777777" w:rsidR="000C5593" w:rsidRPr="003F1D97" w:rsidRDefault="000C5593" w:rsidP="00496A65">
      <w:r w:rsidRPr="003F1D97">
        <w:t xml:space="preserve">According to the use claimed by the </w:t>
      </w:r>
      <w:proofErr w:type="gramStart"/>
      <w:r w:rsidR="001074E3">
        <w:t>a</w:t>
      </w:r>
      <w:r w:rsidR="001074E3" w:rsidRPr="003F1D97">
        <w:t xml:space="preserve">pplicant </w:t>
      </w:r>
      <w:r w:rsidRPr="003F1D97">
        <w:t>:</w:t>
      </w:r>
      <w:proofErr w:type="gramEnd"/>
    </w:p>
    <w:p w14:paraId="3FA3B3BD" w14:textId="77777777" w:rsidR="000C5593" w:rsidRPr="003F1D97" w:rsidRDefault="000C5593" w:rsidP="00496A65"/>
    <w:p w14:paraId="06333035" w14:textId="77777777" w:rsidR="000C5593" w:rsidRPr="000C5593" w:rsidRDefault="000C5593" w:rsidP="00496A65">
      <w:pPr>
        <w:pStyle w:val="Paragraphedeliste"/>
        <w:numPr>
          <w:ilvl w:val="0"/>
          <w:numId w:val="7"/>
        </w:numPr>
      </w:pPr>
      <w:r w:rsidRPr="000C5593">
        <w:t xml:space="preserve">The product </w:t>
      </w:r>
      <w:r w:rsidRPr="000C5593">
        <w:rPr>
          <w:b/>
          <w:i/>
        </w:rPr>
        <w:t>Insect Repellent Pump Spray IR3535</w:t>
      </w:r>
      <w:r w:rsidR="00AC0EA0" w:rsidRPr="00AC0EA0">
        <w:rPr>
          <w:b/>
          <w:i/>
          <w:vertAlign w:val="superscript"/>
        </w:rPr>
        <w:t>®</w:t>
      </w:r>
      <w:r w:rsidRPr="000C5593">
        <w:rPr>
          <w:b/>
          <w:i/>
        </w:rPr>
        <w:t xml:space="preserve"> 20% </w:t>
      </w:r>
      <w:r w:rsidRPr="000C5593">
        <w:t>is intended to be used to repel arthropods on skin and clothes.</w:t>
      </w:r>
    </w:p>
    <w:p w14:paraId="74CD0CDC" w14:textId="77777777" w:rsidR="000C5593" w:rsidRPr="003F1D97" w:rsidRDefault="000C5593" w:rsidP="00496A65"/>
    <w:p w14:paraId="7973492E" w14:textId="77777777" w:rsidR="000C5593" w:rsidRPr="000C5593" w:rsidRDefault="000C5593" w:rsidP="00496A65">
      <w:pPr>
        <w:pStyle w:val="Paragraphedeliste"/>
        <w:numPr>
          <w:ilvl w:val="0"/>
          <w:numId w:val="7"/>
        </w:numPr>
      </w:pPr>
      <w:r w:rsidRPr="000C5593">
        <w:t xml:space="preserve">The target organisms to be </w:t>
      </w:r>
      <w:r w:rsidR="00404F90" w:rsidRPr="000C5593">
        <w:t>control</w:t>
      </w:r>
      <w:r w:rsidR="00404F90">
        <w:t>led</w:t>
      </w:r>
      <w:r w:rsidRPr="000C5593">
        <w:t xml:space="preserve"> are mainly mosquitoes and ticks. This product is also intended to repel biting flies (stable flies, black flies, </w:t>
      </w:r>
      <w:proofErr w:type="gramStart"/>
      <w:r w:rsidRPr="000C5593">
        <w:t>sand</w:t>
      </w:r>
      <w:proofErr w:type="gramEnd"/>
      <w:r w:rsidRPr="000C5593">
        <w:t xml:space="preserve"> flies), deer flies, biting midges, house flies, wasps and bees from treated skin and clothing preventing respective consequences.</w:t>
      </w:r>
    </w:p>
    <w:p w14:paraId="56CB7441" w14:textId="77777777" w:rsidR="000C5593" w:rsidRPr="003F1D97" w:rsidRDefault="000C5593" w:rsidP="00496A65"/>
    <w:p w14:paraId="6C2CC30A" w14:textId="77777777" w:rsidR="000C5593" w:rsidRPr="003F1D97" w:rsidRDefault="000C5593" w:rsidP="00496A65">
      <w:pPr>
        <w:pStyle w:val="Paragraphedeliste"/>
        <w:numPr>
          <w:ilvl w:val="0"/>
          <w:numId w:val="7"/>
        </w:numPr>
      </w:pPr>
      <w:r w:rsidRPr="003F1D97">
        <w:t>The organisms to be protected are humans.</w:t>
      </w:r>
    </w:p>
    <w:p w14:paraId="0C4355DD" w14:textId="77777777" w:rsidR="003839E7" w:rsidRPr="00BD2EF1" w:rsidRDefault="003839E7" w:rsidP="00496A65">
      <w:pPr>
        <w:pStyle w:val="Titre4"/>
      </w:pPr>
      <w:bookmarkStart w:id="91" w:name="_Toc389729037"/>
      <w:bookmarkStart w:id="92" w:name="_Toc403472746"/>
      <w:bookmarkStart w:id="93" w:name="_Toc403566567"/>
      <w:bookmarkStart w:id="94" w:name="_Toc425344108"/>
      <w:bookmarkStart w:id="95" w:name="_Toc8296490"/>
      <w:r w:rsidRPr="00BD2EF1">
        <w:t>Effects on target organisms, including unacceptable suffering</w:t>
      </w:r>
      <w:bookmarkEnd w:id="91"/>
      <w:bookmarkEnd w:id="92"/>
      <w:bookmarkEnd w:id="93"/>
      <w:bookmarkEnd w:id="94"/>
      <w:bookmarkEnd w:id="95"/>
    </w:p>
    <w:p w14:paraId="0E41C340" w14:textId="052855E6" w:rsidR="000C5593" w:rsidRDefault="000C5593" w:rsidP="00496A65">
      <w:r>
        <w:t>The applicant submitted 4 studies.</w:t>
      </w:r>
      <w:r w:rsidR="001E005B">
        <w:t xml:space="preserve"> Please see the summary (and comments) of all the studies submitted in the table section 2.2.6.5.</w:t>
      </w:r>
    </w:p>
    <w:p w14:paraId="678B39F0" w14:textId="1572736E" w:rsidR="000B2A29" w:rsidRPr="003F1D97" w:rsidRDefault="000B2A29" w:rsidP="00496A65"/>
    <w:p w14:paraId="633A9DC7" w14:textId="77777777" w:rsidR="003839E7" w:rsidRPr="00BD2EF1" w:rsidRDefault="003839E7" w:rsidP="00496A65">
      <w:pPr>
        <w:pStyle w:val="Titre4"/>
      </w:pPr>
      <w:bookmarkStart w:id="96" w:name="_Toc389729038"/>
      <w:bookmarkStart w:id="97" w:name="_Toc403472747"/>
      <w:bookmarkStart w:id="98" w:name="_Toc403566568"/>
      <w:bookmarkStart w:id="99" w:name="_Toc425344109"/>
      <w:bookmarkStart w:id="100" w:name="_Toc8296491"/>
      <w:r w:rsidRPr="00BD2EF1">
        <w:t>Mode of action, including time delay</w:t>
      </w:r>
      <w:bookmarkEnd w:id="96"/>
      <w:bookmarkEnd w:id="97"/>
      <w:bookmarkEnd w:id="98"/>
      <w:bookmarkEnd w:id="99"/>
      <w:bookmarkEnd w:id="100"/>
    </w:p>
    <w:p w14:paraId="5AC3C338" w14:textId="77777777" w:rsidR="007D427C" w:rsidRDefault="007D427C" w:rsidP="00496A65">
      <w:r w:rsidRPr="003F1D97">
        <w:t>The mode of action of IR3535</w:t>
      </w:r>
      <w:r w:rsidRPr="003F1D97">
        <w:rPr>
          <w:vertAlign w:val="superscript"/>
        </w:rPr>
        <w:t>®</w:t>
      </w:r>
      <w:r w:rsidRPr="003F1D97">
        <w:t xml:space="preserve"> is not a passive masking of an attracting </w:t>
      </w:r>
      <w:proofErr w:type="spellStart"/>
      <w:r w:rsidRPr="003F1D97">
        <w:t>odour</w:t>
      </w:r>
      <w:proofErr w:type="spellEnd"/>
      <w:r w:rsidRPr="003F1D97">
        <w:t xml:space="preserve"> of a victim, but an active repellent effect as insects avoid entering regions with IR3535</w:t>
      </w:r>
      <w:r w:rsidRPr="003F1D97">
        <w:rPr>
          <w:vertAlign w:val="superscript"/>
        </w:rPr>
        <w:t>®</w:t>
      </w:r>
      <w:r w:rsidRPr="003F1D97">
        <w:t xml:space="preserve"> </w:t>
      </w:r>
      <w:proofErr w:type="spellStart"/>
      <w:r w:rsidRPr="003F1D97">
        <w:t>vapours</w:t>
      </w:r>
      <w:proofErr w:type="spellEnd"/>
      <w:r w:rsidRPr="003F1D97">
        <w:t>. The exact biochemical mode of action of IR3535</w:t>
      </w:r>
      <w:r w:rsidRPr="003F1D97">
        <w:rPr>
          <w:vertAlign w:val="superscript"/>
        </w:rPr>
        <w:t>®</w:t>
      </w:r>
      <w:r w:rsidRPr="003F1D97">
        <w:t xml:space="preserve"> on insects is not well known yet, but it is most self-evident to assume that IR3535</w:t>
      </w:r>
      <w:r w:rsidRPr="003F1D97">
        <w:rPr>
          <w:vertAlign w:val="superscript"/>
        </w:rPr>
        <w:t>®</w:t>
      </w:r>
      <w:r w:rsidRPr="003F1D97">
        <w:t xml:space="preserve"> has an olfactory-based effect.</w:t>
      </w:r>
    </w:p>
    <w:p w14:paraId="232512B6" w14:textId="77777777" w:rsidR="00890941" w:rsidRDefault="00890941" w:rsidP="00496A65">
      <w:pPr>
        <w:sectPr w:rsidR="00890941" w:rsidSect="006456DE">
          <w:pgSz w:w="11906" w:h="16838"/>
          <w:pgMar w:top="1247" w:right="1247" w:bottom="1247" w:left="1247" w:header="709" w:footer="709" w:gutter="0"/>
          <w:cols w:space="708"/>
          <w:docGrid w:linePitch="360"/>
        </w:sectPr>
      </w:pPr>
    </w:p>
    <w:p w14:paraId="0CAC2887" w14:textId="77777777" w:rsidR="00C47639" w:rsidRPr="00BD2EF1" w:rsidRDefault="00C47639" w:rsidP="00C47639">
      <w:pPr>
        <w:pStyle w:val="Titre4"/>
      </w:pPr>
      <w:bookmarkStart w:id="101" w:name="_Toc389729039"/>
      <w:bookmarkStart w:id="102" w:name="_Toc403472748"/>
      <w:bookmarkStart w:id="103" w:name="_Toc403566569"/>
      <w:bookmarkStart w:id="104" w:name="_Toc425344110"/>
      <w:bookmarkStart w:id="105" w:name="_Toc532391078"/>
      <w:bookmarkStart w:id="106" w:name="_Toc8296492"/>
      <w:bookmarkStart w:id="107" w:name="_Toc389729040"/>
      <w:bookmarkStart w:id="108" w:name="_Toc403472749"/>
      <w:bookmarkStart w:id="109" w:name="_Toc403566570"/>
      <w:bookmarkStart w:id="110" w:name="_Toc425344111"/>
      <w:r w:rsidRPr="00BD2EF1">
        <w:lastRenderedPageBreak/>
        <w:t>Efficacy data</w:t>
      </w:r>
      <w:bookmarkEnd w:id="101"/>
      <w:bookmarkEnd w:id="102"/>
      <w:bookmarkEnd w:id="103"/>
      <w:bookmarkEnd w:id="104"/>
      <w:bookmarkEnd w:id="105"/>
      <w:bookmarkEnd w:id="106"/>
      <w:r w:rsidRPr="00BD2EF1">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8"/>
        <w:gridCol w:w="1241"/>
        <w:gridCol w:w="1803"/>
        <w:gridCol w:w="2821"/>
        <w:gridCol w:w="1537"/>
        <w:gridCol w:w="3291"/>
        <w:gridCol w:w="1075"/>
        <w:gridCol w:w="1468"/>
      </w:tblGrid>
      <w:tr w:rsidR="00C47639" w:rsidRPr="00BD2EF1" w14:paraId="3CC2E4A1" w14:textId="77777777" w:rsidTr="00C47639">
        <w:trPr>
          <w:trHeight w:val="303"/>
        </w:trPr>
        <w:tc>
          <w:tcPr>
            <w:tcW w:w="5000" w:type="pct"/>
            <w:gridSpan w:val="8"/>
            <w:shd w:val="clear" w:color="auto" w:fill="FFFFCC"/>
            <w:vAlign w:val="center"/>
          </w:tcPr>
          <w:p w14:paraId="439B6D74" w14:textId="77777777" w:rsidR="00C47639" w:rsidRPr="00BD2EF1" w:rsidRDefault="00C47639" w:rsidP="00C47639">
            <w:pPr>
              <w:pStyle w:val="Standaard-Tabellen"/>
              <w:jc w:val="center"/>
              <w:rPr>
                <w:b/>
              </w:rPr>
            </w:pPr>
            <w:r w:rsidRPr="00BD2EF1">
              <w:rPr>
                <w:b/>
              </w:rPr>
              <w:t>Experimental data on the efficacy of the biocidal product against target organism(s)</w:t>
            </w:r>
          </w:p>
        </w:tc>
      </w:tr>
      <w:tr w:rsidR="00C47639" w:rsidRPr="00BD2EF1" w14:paraId="131ECEA5" w14:textId="77777777" w:rsidTr="00C47639">
        <w:tc>
          <w:tcPr>
            <w:tcW w:w="383" w:type="pct"/>
            <w:shd w:val="clear" w:color="auto" w:fill="BFBFBF" w:themeFill="background1" w:themeFillShade="BF"/>
          </w:tcPr>
          <w:p w14:paraId="1BC9DBD1" w14:textId="77777777" w:rsidR="00C47639" w:rsidRPr="00BD2EF1" w:rsidRDefault="00C47639" w:rsidP="00C47639">
            <w:pPr>
              <w:pStyle w:val="Standaard-Tabellen"/>
              <w:rPr>
                <w:b/>
              </w:rPr>
            </w:pPr>
            <w:r w:rsidRPr="00BD2EF1">
              <w:rPr>
                <w:b/>
              </w:rPr>
              <w:t>Function</w:t>
            </w:r>
          </w:p>
        </w:tc>
        <w:tc>
          <w:tcPr>
            <w:tcW w:w="433" w:type="pct"/>
            <w:shd w:val="clear" w:color="auto" w:fill="BFBFBF" w:themeFill="background1" w:themeFillShade="BF"/>
          </w:tcPr>
          <w:p w14:paraId="2A02A6E9" w14:textId="77777777" w:rsidR="00C47639" w:rsidRPr="00BD2EF1" w:rsidRDefault="00C47639" w:rsidP="00C47639">
            <w:pPr>
              <w:pStyle w:val="Standaard-Tabellen"/>
              <w:rPr>
                <w:b/>
              </w:rPr>
            </w:pPr>
            <w:r w:rsidRPr="00BD2EF1">
              <w:rPr>
                <w:b/>
              </w:rPr>
              <w:t>Field of use envisaged</w:t>
            </w:r>
          </w:p>
        </w:tc>
        <w:tc>
          <w:tcPr>
            <w:tcW w:w="629" w:type="pct"/>
            <w:shd w:val="clear" w:color="auto" w:fill="BFBFBF" w:themeFill="background1" w:themeFillShade="BF"/>
          </w:tcPr>
          <w:p w14:paraId="42CA0525" w14:textId="77777777" w:rsidR="00C47639" w:rsidRPr="00BD2EF1" w:rsidRDefault="00C47639" w:rsidP="00C47639">
            <w:pPr>
              <w:pStyle w:val="Standaard-Tabellen"/>
              <w:rPr>
                <w:b/>
                <w:i/>
              </w:rPr>
            </w:pPr>
            <w:r w:rsidRPr="00BD2EF1">
              <w:rPr>
                <w:b/>
              </w:rPr>
              <w:t>Test substance</w:t>
            </w:r>
          </w:p>
        </w:tc>
        <w:tc>
          <w:tcPr>
            <w:tcW w:w="984" w:type="pct"/>
            <w:shd w:val="clear" w:color="auto" w:fill="BFBFBF" w:themeFill="background1" w:themeFillShade="BF"/>
          </w:tcPr>
          <w:p w14:paraId="5B3447BD" w14:textId="77777777" w:rsidR="00C47639" w:rsidRPr="00BD2EF1" w:rsidRDefault="00C47639" w:rsidP="00C47639">
            <w:pPr>
              <w:pStyle w:val="Standaard-Tabellen"/>
              <w:rPr>
                <w:b/>
                <w:i/>
              </w:rPr>
            </w:pPr>
            <w:r w:rsidRPr="00BD2EF1">
              <w:rPr>
                <w:b/>
              </w:rPr>
              <w:t>Test organism(s)</w:t>
            </w:r>
          </w:p>
        </w:tc>
        <w:tc>
          <w:tcPr>
            <w:tcW w:w="536" w:type="pct"/>
            <w:shd w:val="clear" w:color="auto" w:fill="BFBFBF" w:themeFill="background1" w:themeFillShade="BF"/>
          </w:tcPr>
          <w:p w14:paraId="7FB0FBB1" w14:textId="77777777" w:rsidR="00C47639" w:rsidRPr="00BD2EF1" w:rsidRDefault="00C47639" w:rsidP="00C47639">
            <w:pPr>
              <w:pStyle w:val="Standaard-Tabellen"/>
              <w:rPr>
                <w:b/>
              </w:rPr>
            </w:pPr>
            <w:r w:rsidRPr="00BD2EF1">
              <w:rPr>
                <w:b/>
              </w:rPr>
              <w:t>Test method</w:t>
            </w:r>
          </w:p>
        </w:tc>
        <w:tc>
          <w:tcPr>
            <w:tcW w:w="1148" w:type="pct"/>
            <w:shd w:val="clear" w:color="auto" w:fill="BFBFBF" w:themeFill="background1" w:themeFillShade="BF"/>
          </w:tcPr>
          <w:p w14:paraId="43B4B3EE" w14:textId="77777777" w:rsidR="00C47639" w:rsidRPr="00BD2EF1" w:rsidRDefault="00C47639" w:rsidP="00C47639">
            <w:pPr>
              <w:pStyle w:val="Standaard-Tabellen"/>
              <w:rPr>
                <w:b/>
              </w:rPr>
            </w:pPr>
            <w:r w:rsidRPr="00BD2EF1">
              <w:rPr>
                <w:b/>
              </w:rPr>
              <w:t>Test system / concentrations applied / exposure time</w:t>
            </w:r>
          </w:p>
        </w:tc>
        <w:tc>
          <w:tcPr>
            <w:tcW w:w="375" w:type="pct"/>
            <w:shd w:val="clear" w:color="auto" w:fill="BFBFBF" w:themeFill="background1" w:themeFillShade="BF"/>
          </w:tcPr>
          <w:p w14:paraId="06678A68" w14:textId="77777777" w:rsidR="00C47639" w:rsidRPr="00BD2EF1" w:rsidRDefault="00C47639" w:rsidP="00C47639">
            <w:pPr>
              <w:pStyle w:val="Standaard-Tabellen"/>
              <w:rPr>
                <w:b/>
              </w:rPr>
            </w:pPr>
            <w:r w:rsidRPr="00BD2EF1">
              <w:rPr>
                <w:b/>
              </w:rPr>
              <w:t>Test results: effects</w:t>
            </w:r>
          </w:p>
        </w:tc>
        <w:tc>
          <w:tcPr>
            <w:tcW w:w="511" w:type="pct"/>
            <w:shd w:val="clear" w:color="auto" w:fill="BFBFBF" w:themeFill="background1" w:themeFillShade="BF"/>
          </w:tcPr>
          <w:p w14:paraId="4D355C32" w14:textId="77777777" w:rsidR="00C47639" w:rsidRPr="00BD2EF1" w:rsidRDefault="00C47639" w:rsidP="00C47639">
            <w:pPr>
              <w:pStyle w:val="Standaard-Tabellen"/>
              <w:rPr>
                <w:b/>
              </w:rPr>
            </w:pPr>
            <w:r w:rsidRPr="00BD2EF1">
              <w:rPr>
                <w:b/>
              </w:rPr>
              <w:t>Reference</w:t>
            </w:r>
          </w:p>
        </w:tc>
      </w:tr>
      <w:tr w:rsidR="00C47639" w:rsidRPr="00BD2EF1" w14:paraId="09187CD0" w14:textId="77777777" w:rsidTr="00C47639">
        <w:tc>
          <w:tcPr>
            <w:tcW w:w="383" w:type="pct"/>
            <w:vAlign w:val="center"/>
          </w:tcPr>
          <w:p w14:paraId="1FEA59AC" w14:textId="77777777" w:rsidR="00C47639" w:rsidRPr="00890941" w:rsidRDefault="00C47639" w:rsidP="00C47639">
            <w:pPr>
              <w:pStyle w:val="Standaard-Tabellen"/>
              <w:rPr>
                <w:b/>
                <w:i/>
              </w:rPr>
            </w:pPr>
            <w:r w:rsidRPr="00890941">
              <w:rPr>
                <w:b/>
                <w:i/>
              </w:rPr>
              <w:t>PT19</w:t>
            </w:r>
          </w:p>
          <w:p w14:paraId="7C7EEB21" w14:textId="77777777" w:rsidR="00C47639" w:rsidRPr="00890941" w:rsidRDefault="00C47639" w:rsidP="00C47639">
            <w:pPr>
              <w:pStyle w:val="Standaard-Tabellen"/>
              <w:rPr>
                <w:b/>
                <w:i/>
              </w:rPr>
            </w:pPr>
            <w:r w:rsidRPr="00890941">
              <w:rPr>
                <w:b/>
                <w:i/>
              </w:rPr>
              <w:t>Repellent</w:t>
            </w:r>
          </w:p>
          <w:p w14:paraId="2C0F546A" w14:textId="77777777" w:rsidR="00C47639" w:rsidRPr="00890941" w:rsidRDefault="00C47639" w:rsidP="00C47639">
            <w:pPr>
              <w:pStyle w:val="Standaard-Tabellen"/>
              <w:rPr>
                <w:b/>
                <w:i/>
              </w:rPr>
            </w:pPr>
          </w:p>
        </w:tc>
        <w:tc>
          <w:tcPr>
            <w:tcW w:w="433" w:type="pct"/>
            <w:vAlign w:val="center"/>
          </w:tcPr>
          <w:p w14:paraId="6326310F" w14:textId="77777777" w:rsidR="00C47639" w:rsidRPr="00C069CF" w:rsidRDefault="00C47639" w:rsidP="00C47639">
            <w:pPr>
              <w:pStyle w:val="Standaard-Tabellen"/>
            </w:pPr>
            <w:r w:rsidRPr="00C069CF">
              <w:t xml:space="preserve">- RTU pump spray </w:t>
            </w:r>
          </w:p>
          <w:p w14:paraId="4B350263" w14:textId="77777777" w:rsidR="00C47639" w:rsidRPr="00C069CF" w:rsidRDefault="00C47639" w:rsidP="00C47639">
            <w:pPr>
              <w:pStyle w:val="Standaard-Tabellen"/>
            </w:pPr>
            <w:r w:rsidRPr="00C069CF">
              <w:t>- Applied on uncovered human skin</w:t>
            </w:r>
          </w:p>
          <w:p w14:paraId="4BA9660F" w14:textId="77777777" w:rsidR="00C47639" w:rsidRPr="00C069CF" w:rsidRDefault="00C47639" w:rsidP="00C47639">
            <w:pPr>
              <w:pStyle w:val="Standaard-Tabellen"/>
            </w:pPr>
            <w:r w:rsidRPr="00C069CF">
              <w:t>- For consumers</w:t>
            </w:r>
          </w:p>
          <w:p w14:paraId="3CBD1BF9" w14:textId="77777777" w:rsidR="00C47639" w:rsidRPr="00BD2EF1" w:rsidRDefault="00C47639" w:rsidP="00C47639">
            <w:pPr>
              <w:pStyle w:val="Standaard-Tabellen"/>
            </w:pPr>
            <w:r w:rsidRPr="00C069CF">
              <w:t xml:space="preserve">- In temperate and tropical areas </w:t>
            </w:r>
          </w:p>
        </w:tc>
        <w:tc>
          <w:tcPr>
            <w:tcW w:w="629" w:type="pct"/>
            <w:vAlign w:val="center"/>
          </w:tcPr>
          <w:p w14:paraId="3DE70715" w14:textId="77777777" w:rsidR="00C47639" w:rsidRPr="00890941" w:rsidRDefault="00C47639" w:rsidP="00C47639">
            <w:pPr>
              <w:pStyle w:val="Standaard-Tabellen"/>
              <w:rPr>
                <w:b/>
              </w:rPr>
            </w:pPr>
            <w:r>
              <w:rPr>
                <w:b/>
              </w:rPr>
              <w:t>US Pump Spray Formulation</w:t>
            </w:r>
          </w:p>
          <w:p w14:paraId="6307927C" w14:textId="77777777" w:rsidR="00C47639" w:rsidRPr="00C069CF" w:rsidRDefault="00C47639" w:rsidP="00C47639">
            <w:pPr>
              <w:pStyle w:val="Standaard-Tabellen"/>
              <w:rPr>
                <w:iCs/>
              </w:rPr>
            </w:pPr>
          </w:p>
          <w:p w14:paraId="348B816E" w14:textId="77777777" w:rsidR="00C47639" w:rsidRPr="00BD2EF1" w:rsidRDefault="00C47639" w:rsidP="00C47639">
            <w:pPr>
              <w:pStyle w:val="Standaard-Tabellen"/>
            </w:pPr>
            <w:proofErr w:type="spellStart"/>
            <w:r w:rsidRPr="00C069CF">
              <w:rPr>
                <w:iCs/>
              </w:rPr>
              <w:t>Hydroalcoholic</w:t>
            </w:r>
            <w:proofErr w:type="spellEnd"/>
            <w:r w:rsidRPr="00C069CF">
              <w:rPr>
                <w:iCs/>
              </w:rPr>
              <w:t xml:space="preserve"> solution</w:t>
            </w:r>
          </w:p>
        </w:tc>
        <w:tc>
          <w:tcPr>
            <w:tcW w:w="984" w:type="pct"/>
            <w:vAlign w:val="center"/>
          </w:tcPr>
          <w:p w14:paraId="66F11F64" w14:textId="77777777" w:rsidR="00C47639" w:rsidRPr="00890941" w:rsidRDefault="00C47639" w:rsidP="00C47639">
            <w:pPr>
              <w:pStyle w:val="Standaard-Tabellen"/>
              <w:rPr>
                <w:b/>
              </w:rPr>
            </w:pPr>
            <w:r w:rsidRPr="00890941">
              <w:rPr>
                <w:b/>
              </w:rPr>
              <w:t>TICKS</w:t>
            </w:r>
          </w:p>
          <w:p w14:paraId="4B4E35A4" w14:textId="77777777" w:rsidR="00C47639" w:rsidRDefault="00C47639" w:rsidP="00C47639">
            <w:pPr>
              <w:pStyle w:val="Standaard-Tabellen"/>
            </w:pPr>
            <w:proofErr w:type="spellStart"/>
            <w:r w:rsidRPr="00890941">
              <w:rPr>
                <w:i/>
              </w:rPr>
              <w:t>Ixodes</w:t>
            </w:r>
            <w:proofErr w:type="spellEnd"/>
            <w:r w:rsidRPr="00890941">
              <w:rPr>
                <w:i/>
              </w:rPr>
              <w:t xml:space="preserve"> </w:t>
            </w:r>
            <w:proofErr w:type="spellStart"/>
            <w:r w:rsidRPr="00890941">
              <w:rPr>
                <w:i/>
              </w:rPr>
              <w:t>scapularis</w:t>
            </w:r>
            <w:proofErr w:type="spellEnd"/>
            <w:r w:rsidRPr="00C069CF">
              <w:t xml:space="preserve"> (US deer ticks) nymphs</w:t>
            </w:r>
          </w:p>
          <w:p w14:paraId="126CA727" w14:textId="77777777" w:rsidR="00C47639" w:rsidRDefault="00C47639" w:rsidP="00C47639">
            <w:pPr>
              <w:pStyle w:val="Standaard-Tabellen"/>
            </w:pPr>
          </w:p>
          <w:p w14:paraId="6D553D16" w14:textId="77777777" w:rsidR="00C47639" w:rsidRPr="00324077" w:rsidRDefault="00C47639" w:rsidP="00C47639">
            <w:pPr>
              <w:pStyle w:val="Commentaire"/>
              <w:rPr>
                <w:sz w:val="16"/>
                <w:szCs w:val="16"/>
              </w:rPr>
            </w:pPr>
            <w:r w:rsidRPr="00324077">
              <w:rPr>
                <w:sz w:val="16"/>
                <w:szCs w:val="16"/>
              </w:rPr>
              <w:t xml:space="preserve">Given the information provided by DE </w:t>
            </w:r>
            <w:proofErr w:type="spellStart"/>
            <w:r w:rsidRPr="00324077">
              <w:rPr>
                <w:sz w:val="16"/>
                <w:szCs w:val="16"/>
              </w:rPr>
              <w:t>eCA</w:t>
            </w:r>
            <w:proofErr w:type="spellEnd"/>
            <w:r w:rsidRPr="00324077">
              <w:rPr>
                <w:sz w:val="16"/>
                <w:szCs w:val="16"/>
              </w:rPr>
              <w:t xml:space="preserve"> (</w:t>
            </w:r>
            <w:proofErr w:type="spellStart"/>
            <w:r w:rsidRPr="00324077">
              <w:rPr>
                <w:sz w:val="16"/>
                <w:szCs w:val="16"/>
              </w:rPr>
              <w:t>Büchel</w:t>
            </w:r>
            <w:proofErr w:type="spellEnd"/>
            <w:r w:rsidRPr="00324077">
              <w:rPr>
                <w:sz w:val="16"/>
                <w:szCs w:val="16"/>
              </w:rPr>
              <w:t xml:space="preserve"> et al. - 2015 - “Repellent efficacy of</w:t>
            </w:r>
          </w:p>
          <w:p w14:paraId="7A155E7D" w14:textId="77777777" w:rsidR="00C47639" w:rsidRPr="00E05A80" w:rsidRDefault="00C47639" w:rsidP="00C47639">
            <w:pPr>
              <w:pStyle w:val="Commentaire"/>
              <w:rPr>
                <w:sz w:val="16"/>
                <w:szCs w:val="16"/>
                <w:lang w:eastAsia="de-DE"/>
              </w:rPr>
            </w:pPr>
            <w:r w:rsidRPr="00324077">
              <w:rPr>
                <w:sz w:val="16"/>
                <w:szCs w:val="16"/>
              </w:rPr>
              <w:t xml:space="preserve">DEET, </w:t>
            </w:r>
            <w:proofErr w:type="spellStart"/>
            <w:r w:rsidRPr="00324077">
              <w:rPr>
                <w:sz w:val="16"/>
                <w:szCs w:val="16"/>
              </w:rPr>
              <w:t>Icaridin</w:t>
            </w:r>
            <w:proofErr w:type="spellEnd"/>
            <w:r w:rsidRPr="00324077">
              <w:rPr>
                <w:sz w:val="16"/>
                <w:szCs w:val="16"/>
              </w:rPr>
              <w:t xml:space="preserve">, and EBAAP against </w:t>
            </w:r>
            <w:proofErr w:type="spellStart"/>
            <w:r w:rsidRPr="00324077">
              <w:rPr>
                <w:sz w:val="16"/>
                <w:szCs w:val="16"/>
              </w:rPr>
              <w:t>Ixodes</w:t>
            </w:r>
            <w:proofErr w:type="spellEnd"/>
            <w:r w:rsidRPr="00324077">
              <w:rPr>
                <w:sz w:val="16"/>
                <w:szCs w:val="16"/>
              </w:rPr>
              <w:t xml:space="preserve"> </w:t>
            </w:r>
            <w:proofErr w:type="spellStart"/>
            <w:r w:rsidRPr="00324077">
              <w:rPr>
                <w:sz w:val="16"/>
                <w:szCs w:val="16"/>
              </w:rPr>
              <w:t>ricinus</w:t>
            </w:r>
            <w:proofErr w:type="spellEnd"/>
            <w:r w:rsidRPr="00324077">
              <w:rPr>
                <w:sz w:val="16"/>
                <w:szCs w:val="16"/>
              </w:rPr>
              <w:t xml:space="preserve"> and </w:t>
            </w:r>
            <w:proofErr w:type="spellStart"/>
            <w:r w:rsidRPr="00324077">
              <w:rPr>
                <w:sz w:val="16"/>
                <w:szCs w:val="16"/>
              </w:rPr>
              <w:t>Ixodes</w:t>
            </w:r>
            <w:proofErr w:type="spellEnd"/>
            <w:r w:rsidRPr="00324077">
              <w:rPr>
                <w:sz w:val="16"/>
                <w:szCs w:val="16"/>
              </w:rPr>
              <w:t xml:space="preserve"> </w:t>
            </w:r>
            <w:proofErr w:type="spellStart"/>
            <w:r w:rsidRPr="00324077">
              <w:rPr>
                <w:sz w:val="16"/>
                <w:szCs w:val="16"/>
              </w:rPr>
              <w:t>scapularis</w:t>
            </w:r>
            <w:proofErr w:type="spellEnd"/>
            <w:r w:rsidRPr="00324077">
              <w:rPr>
                <w:sz w:val="16"/>
                <w:szCs w:val="16"/>
              </w:rPr>
              <w:t xml:space="preserve"> nymphs (</w:t>
            </w:r>
            <w:proofErr w:type="spellStart"/>
            <w:r w:rsidRPr="00324077">
              <w:rPr>
                <w:sz w:val="16"/>
                <w:szCs w:val="16"/>
              </w:rPr>
              <w:t>Acari</w:t>
            </w:r>
            <w:proofErr w:type="spellEnd"/>
            <w:r w:rsidRPr="00324077">
              <w:rPr>
                <w:sz w:val="16"/>
                <w:szCs w:val="16"/>
              </w:rPr>
              <w:t xml:space="preserve">, </w:t>
            </w:r>
            <w:proofErr w:type="spellStart"/>
            <w:r w:rsidRPr="00324077">
              <w:rPr>
                <w:sz w:val="16"/>
                <w:szCs w:val="16"/>
              </w:rPr>
              <w:t>Ixodidae</w:t>
            </w:r>
            <w:proofErr w:type="spellEnd"/>
            <w:r w:rsidRPr="00324077">
              <w:rPr>
                <w:sz w:val="16"/>
                <w:szCs w:val="16"/>
              </w:rPr>
              <w:t xml:space="preserve">).”) </w:t>
            </w:r>
            <w:proofErr w:type="gramStart"/>
            <w:r w:rsidRPr="00324077">
              <w:rPr>
                <w:sz w:val="16"/>
                <w:szCs w:val="16"/>
              </w:rPr>
              <w:t>during</w:t>
            </w:r>
            <w:proofErr w:type="gramEnd"/>
            <w:r w:rsidRPr="00324077">
              <w:rPr>
                <w:sz w:val="16"/>
                <w:szCs w:val="16"/>
              </w:rPr>
              <w:t xml:space="preserve"> the commenting phase, no significant differences in repellent efficacy were found between the two species tested (when compared the repellent efficacy of 10% EBAAP =IR3535).”</w:t>
            </w:r>
          </w:p>
        </w:tc>
        <w:tc>
          <w:tcPr>
            <w:tcW w:w="536" w:type="pct"/>
            <w:vAlign w:val="center"/>
          </w:tcPr>
          <w:p w14:paraId="20D6D806" w14:textId="77777777" w:rsidR="00C47639" w:rsidRPr="00BD2EF1" w:rsidRDefault="00C47639" w:rsidP="00C47639">
            <w:pPr>
              <w:pStyle w:val="Standaard-Tabellen"/>
            </w:pPr>
            <w:r w:rsidRPr="00C069CF">
              <w:t>Lab test</w:t>
            </w:r>
          </w:p>
        </w:tc>
        <w:tc>
          <w:tcPr>
            <w:tcW w:w="1148" w:type="pct"/>
            <w:vAlign w:val="center"/>
          </w:tcPr>
          <w:p w14:paraId="6D2A2655" w14:textId="77777777" w:rsidR="00C47639" w:rsidRPr="00C069CF" w:rsidRDefault="00C47639" w:rsidP="00C47639">
            <w:pPr>
              <w:pStyle w:val="Standaard-Tabellen"/>
            </w:pPr>
            <w:r w:rsidRPr="00C069CF">
              <w:t>- with 10 volunteers</w:t>
            </w:r>
          </w:p>
          <w:p w14:paraId="050D8803" w14:textId="77777777" w:rsidR="00C47639" w:rsidRPr="00C069CF" w:rsidRDefault="00C47639" w:rsidP="00C47639">
            <w:pPr>
              <w:pStyle w:val="Standaard-Tabellen"/>
            </w:pPr>
            <w:r w:rsidRPr="00C069CF">
              <w:t>- 0.00067 g BP/cm</w:t>
            </w:r>
            <w:r w:rsidRPr="00C069CF">
              <w:rPr>
                <w:vertAlign w:val="superscript"/>
              </w:rPr>
              <w:t>2</w:t>
            </w:r>
            <w:r w:rsidRPr="00C069CF">
              <w:t xml:space="preserve"> on the lower arm</w:t>
            </w:r>
          </w:p>
          <w:p w14:paraId="73279BC0" w14:textId="77777777" w:rsidR="00C47639" w:rsidRPr="00C069CF" w:rsidRDefault="00C47639" w:rsidP="00C47639">
            <w:pPr>
              <w:pStyle w:val="Standaard-Tabellen"/>
            </w:pPr>
            <w:r w:rsidRPr="00C069CF">
              <w:t>- Exposure started 15 minutes after application</w:t>
            </w:r>
          </w:p>
          <w:p w14:paraId="518F0B96" w14:textId="77777777" w:rsidR="00C47639" w:rsidRPr="00C069CF" w:rsidRDefault="00C47639" w:rsidP="00C47639">
            <w:pPr>
              <w:pStyle w:val="Standaard-Tabellen"/>
            </w:pPr>
            <w:r w:rsidRPr="00C069CF">
              <w:t>- 3 min exposure time, every 15 min until 14 hours</w:t>
            </w:r>
          </w:p>
          <w:p w14:paraId="77BC56A0" w14:textId="77777777" w:rsidR="00C47639" w:rsidRPr="00BD2EF1" w:rsidRDefault="00C47639" w:rsidP="00C47639">
            <w:pPr>
              <w:pStyle w:val="Standaard-Tabellen"/>
            </w:pPr>
            <w:r w:rsidRPr="00C069CF">
              <w:t xml:space="preserve">- “normal” climatic conditions for temperate areas (+19-26°C ; 31-52% </w:t>
            </w:r>
            <w:proofErr w:type="spellStart"/>
            <w:r w:rsidRPr="00C069CF">
              <w:t>rH</w:t>
            </w:r>
            <w:proofErr w:type="spellEnd"/>
            <w:r w:rsidRPr="00C069CF">
              <w:t>)</w:t>
            </w:r>
          </w:p>
        </w:tc>
        <w:tc>
          <w:tcPr>
            <w:tcW w:w="375" w:type="pct"/>
            <w:vAlign w:val="center"/>
          </w:tcPr>
          <w:p w14:paraId="0F542FDD" w14:textId="77777777" w:rsidR="00C47639" w:rsidRDefault="00C47639" w:rsidP="00C47639">
            <w:pPr>
              <w:pStyle w:val="Standaard-Tabellen"/>
            </w:pPr>
            <w:r w:rsidRPr="00C069CF">
              <w:t xml:space="preserve">12 hours </w:t>
            </w:r>
            <w:r>
              <w:t xml:space="preserve">complete </w:t>
            </w:r>
            <w:r w:rsidRPr="00C069CF">
              <w:t>protection</w:t>
            </w:r>
          </w:p>
          <w:p w14:paraId="2BBCEEF4" w14:textId="77777777" w:rsidR="00C47639" w:rsidRDefault="00C47639" w:rsidP="00C47639">
            <w:pPr>
              <w:pStyle w:val="Standaard-Tabellen"/>
            </w:pPr>
          </w:p>
          <w:p w14:paraId="0A27CCED" w14:textId="77777777" w:rsidR="00C47639" w:rsidRPr="00BD2EF1" w:rsidRDefault="00C47639" w:rsidP="00C47639">
            <w:pPr>
              <w:pStyle w:val="Standaard-Tabellen"/>
            </w:pPr>
            <w:r w:rsidRPr="00C069CF">
              <w:t>In temperate areas</w:t>
            </w:r>
            <w:r>
              <w:t xml:space="preserve"> only</w:t>
            </w:r>
          </w:p>
        </w:tc>
        <w:tc>
          <w:tcPr>
            <w:tcW w:w="511" w:type="pct"/>
            <w:vAlign w:val="center"/>
          </w:tcPr>
          <w:p w14:paraId="33ED621C" w14:textId="77777777" w:rsidR="00C47639" w:rsidRPr="00890941" w:rsidRDefault="00C47639" w:rsidP="00C47639">
            <w:pPr>
              <w:pStyle w:val="Standaard-Tabellen"/>
              <w:rPr>
                <w:b/>
                <w:iCs/>
              </w:rPr>
            </w:pPr>
            <w:r w:rsidRPr="00890941">
              <w:rPr>
                <w:b/>
                <w:iCs/>
              </w:rPr>
              <w:t>Doc N° 336-1918/2006</w:t>
            </w:r>
          </w:p>
          <w:p w14:paraId="34D9A6FC" w14:textId="77777777" w:rsidR="00C47639" w:rsidRPr="00890941" w:rsidRDefault="00C47639" w:rsidP="00C47639">
            <w:pPr>
              <w:pStyle w:val="Standaard-Tabellen"/>
              <w:rPr>
                <w:b/>
                <w:iCs/>
              </w:rPr>
            </w:pPr>
          </w:p>
          <w:p w14:paraId="1CE7F115" w14:textId="77777777" w:rsidR="00C47639" w:rsidRPr="00890941" w:rsidRDefault="00C47639" w:rsidP="00C47639">
            <w:pPr>
              <w:pStyle w:val="Standaard-Tabellen"/>
              <w:rPr>
                <w:b/>
              </w:rPr>
            </w:pPr>
            <w:r w:rsidRPr="008E6144">
              <w:rPr>
                <w:b/>
              </w:rPr>
              <w:t xml:space="preserve">Reliability </w:t>
            </w:r>
            <w:r>
              <w:rPr>
                <w:b/>
              </w:rPr>
              <w:t>1 Key study</w:t>
            </w:r>
          </w:p>
        </w:tc>
      </w:tr>
      <w:tr w:rsidR="00C47639" w:rsidRPr="00BD2EF1" w14:paraId="32D1A5CD" w14:textId="77777777" w:rsidTr="00C47639">
        <w:tc>
          <w:tcPr>
            <w:tcW w:w="383" w:type="pct"/>
            <w:vAlign w:val="center"/>
          </w:tcPr>
          <w:p w14:paraId="0B78E44C" w14:textId="77777777" w:rsidR="00C47639" w:rsidRPr="00890941" w:rsidRDefault="00C47639" w:rsidP="00C47639">
            <w:pPr>
              <w:pStyle w:val="Standaard-Tabellen"/>
              <w:rPr>
                <w:b/>
                <w:i/>
              </w:rPr>
            </w:pPr>
            <w:r>
              <w:rPr>
                <w:b/>
                <w:i/>
              </w:rPr>
              <w:t>1</w:t>
            </w:r>
            <w:r w:rsidRPr="00890941">
              <w:rPr>
                <w:b/>
                <w:i/>
              </w:rPr>
              <w:t>PT19</w:t>
            </w:r>
          </w:p>
          <w:p w14:paraId="37DAFBF2" w14:textId="77777777" w:rsidR="00C47639" w:rsidRPr="00890941" w:rsidRDefault="00C47639" w:rsidP="00C47639">
            <w:pPr>
              <w:pStyle w:val="Standaard-Tabellen"/>
              <w:rPr>
                <w:b/>
                <w:i/>
              </w:rPr>
            </w:pPr>
            <w:r w:rsidRPr="00890941">
              <w:rPr>
                <w:b/>
                <w:i/>
              </w:rPr>
              <w:t>Repellent</w:t>
            </w:r>
          </w:p>
          <w:p w14:paraId="67003F90" w14:textId="77777777" w:rsidR="00C47639" w:rsidRPr="00890941" w:rsidRDefault="00C47639" w:rsidP="00C47639">
            <w:pPr>
              <w:pStyle w:val="Standaard-Tabellen"/>
              <w:rPr>
                <w:b/>
                <w:i/>
              </w:rPr>
            </w:pPr>
          </w:p>
        </w:tc>
        <w:tc>
          <w:tcPr>
            <w:tcW w:w="433" w:type="pct"/>
            <w:vAlign w:val="center"/>
          </w:tcPr>
          <w:p w14:paraId="0F93708D" w14:textId="77777777" w:rsidR="00C47639" w:rsidRPr="00C069CF" w:rsidRDefault="00C47639" w:rsidP="00C47639">
            <w:pPr>
              <w:pStyle w:val="Standaard-Tabellen"/>
            </w:pPr>
            <w:r w:rsidRPr="00C069CF">
              <w:t xml:space="preserve">- RTU spray </w:t>
            </w:r>
          </w:p>
          <w:p w14:paraId="265180A7" w14:textId="77777777" w:rsidR="00C47639" w:rsidRPr="00C069CF" w:rsidRDefault="00C47639" w:rsidP="00C47639">
            <w:pPr>
              <w:pStyle w:val="Standaard-Tabellen"/>
            </w:pPr>
            <w:r w:rsidRPr="00C069CF">
              <w:t>- Applied on uncovered human skin</w:t>
            </w:r>
          </w:p>
          <w:p w14:paraId="1FC15FAF" w14:textId="77777777" w:rsidR="00C47639" w:rsidRPr="00C069CF" w:rsidRDefault="00C47639" w:rsidP="00C47639">
            <w:pPr>
              <w:pStyle w:val="Standaard-Tabellen"/>
            </w:pPr>
            <w:r w:rsidRPr="00C069CF">
              <w:t>- For consumers</w:t>
            </w:r>
          </w:p>
          <w:p w14:paraId="58808E52" w14:textId="77777777" w:rsidR="00C47639" w:rsidRPr="00BD2EF1" w:rsidRDefault="00C47639" w:rsidP="00C47639">
            <w:pPr>
              <w:pStyle w:val="Standaard-Tabellen"/>
            </w:pPr>
            <w:r w:rsidRPr="00C069CF">
              <w:t>- In temperate and tropical areas</w:t>
            </w:r>
          </w:p>
        </w:tc>
        <w:tc>
          <w:tcPr>
            <w:tcW w:w="629" w:type="pct"/>
            <w:vAlign w:val="center"/>
          </w:tcPr>
          <w:p w14:paraId="56E0C025" w14:textId="77777777" w:rsidR="00C47639" w:rsidRPr="00C069CF" w:rsidRDefault="00C47639" w:rsidP="00C47639">
            <w:pPr>
              <w:pStyle w:val="Standaard-Tabellen"/>
              <w:rPr>
                <w:iCs/>
              </w:rPr>
            </w:pPr>
            <w:r>
              <w:rPr>
                <w:b/>
              </w:rPr>
              <w:t>US Pump Spray Formulation</w:t>
            </w:r>
            <w:r w:rsidRPr="00890941" w:rsidDel="00BA1DE1">
              <w:rPr>
                <w:b/>
              </w:rPr>
              <w:t xml:space="preserve"> </w:t>
            </w:r>
          </w:p>
          <w:p w14:paraId="07383BEA" w14:textId="77777777" w:rsidR="00C47639" w:rsidRPr="00BD2EF1" w:rsidRDefault="00C47639" w:rsidP="00C47639">
            <w:pPr>
              <w:pStyle w:val="Standaard-Tabellen"/>
            </w:pPr>
            <w:proofErr w:type="spellStart"/>
            <w:r w:rsidRPr="00C069CF">
              <w:rPr>
                <w:iCs/>
              </w:rPr>
              <w:t>Hydroalcoholic</w:t>
            </w:r>
            <w:proofErr w:type="spellEnd"/>
            <w:r w:rsidRPr="00C069CF">
              <w:rPr>
                <w:iCs/>
              </w:rPr>
              <w:t xml:space="preserve"> solution</w:t>
            </w:r>
          </w:p>
        </w:tc>
        <w:tc>
          <w:tcPr>
            <w:tcW w:w="984" w:type="pct"/>
            <w:vAlign w:val="center"/>
          </w:tcPr>
          <w:p w14:paraId="135F25C6" w14:textId="77777777" w:rsidR="00C47639" w:rsidRPr="004C0A78" w:rsidRDefault="00C47639" w:rsidP="00C47639">
            <w:pPr>
              <w:pStyle w:val="Standaard-Tabellen"/>
              <w:rPr>
                <w:b/>
              </w:rPr>
            </w:pPr>
            <w:r w:rsidRPr="004C0A78">
              <w:rPr>
                <w:b/>
              </w:rPr>
              <w:t>MOSQUITOES</w:t>
            </w:r>
          </w:p>
          <w:p w14:paraId="4438E563" w14:textId="77777777" w:rsidR="00C47639" w:rsidRPr="004C0A78" w:rsidRDefault="00C47639" w:rsidP="00C47639">
            <w:pPr>
              <w:pStyle w:val="Standaard-Tabellen"/>
              <w:rPr>
                <w:i/>
              </w:rPr>
            </w:pPr>
            <w:proofErr w:type="spellStart"/>
            <w:r w:rsidRPr="004C0A78">
              <w:rPr>
                <w:i/>
                <w:iCs/>
              </w:rPr>
              <w:t>Aedes</w:t>
            </w:r>
            <w:proofErr w:type="spellEnd"/>
            <w:r w:rsidRPr="004C0A78">
              <w:rPr>
                <w:i/>
                <w:iCs/>
              </w:rPr>
              <w:t xml:space="preserve"> </w:t>
            </w:r>
            <w:proofErr w:type="spellStart"/>
            <w:r w:rsidRPr="004C0A78">
              <w:rPr>
                <w:i/>
                <w:iCs/>
              </w:rPr>
              <w:t>melanimon</w:t>
            </w:r>
            <w:proofErr w:type="spellEnd"/>
            <w:r w:rsidRPr="00C069CF">
              <w:rPr>
                <w:iCs/>
              </w:rPr>
              <w:t xml:space="preserve"> (predominant species</w:t>
            </w:r>
            <w:r w:rsidRPr="004C0A78">
              <w:rPr>
                <w:i/>
                <w:iCs/>
              </w:rPr>
              <w:t xml:space="preserve">), </w:t>
            </w:r>
            <w:proofErr w:type="spellStart"/>
            <w:r w:rsidRPr="004C0A78">
              <w:rPr>
                <w:i/>
                <w:iCs/>
              </w:rPr>
              <w:t>Culex</w:t>
            </w:r>
            <w:proofErr w:type="spellEnd"/>
            <w:r w:rsidRPr="004C0A78">
              <w:rPr>
                <w:i/>
                <w:iCs/>
              </w:rPr>
              <w:t xml:space="preserve"> </w:t>
            </w:r>
            <w:proofErr w:type="spellStart"/>
            <w:r w:rsidRPr="004C0A78">
              <w:rPr>
                <w:i/>
                <w:iCs/>
              </w:rPr>
              <w:t>erythrothorax</w:t>
            </w:r>
            <w:proofErr w:type="spellEnd"/>
            <w:r w:rsidRPr="004C0A78">
              <w:rPr>
                <w:i/>
                <w:iCs/>
              </w:rPr>
              <w:t xml:space="preserve">, </w:t>
            </w:r>
            <w:proofErr w:type="spellStart"/>
            <w:r w:rsidRPr="004C0A78">
              <w:rPr>
                <w:i/>
                <w:iCs/>
              </w:rPr>
              <w:t>Culex</w:t>
            </w:r>
            <w:proofErr w:type="spellEnd"/>
            <w:r w:rsidRPr="004C0A78">
              <w:rPr>
                <w:i/>
                <w:iCs/>
              </w:rPr>
              <w:t xml:space="preserve"> </w:t>
            </w:r>
            <w:proofErr w:type="spellStart"/>
            <w:r w:rsidRPr="004C0A78">
              <w:rPr>
                <w:i/>
                <w:iCs/>
              </w:rPr>
              <w:t>tarsalis</w:t>
            </w:r>
            <w:proofErr w:type="spellEnd"/>
            <w:r w:rsidRPr="004C0A78">
              <w:rPr>
                <w:i/>
                <w:iCs/>
              </w:rPr>
              <w:t xml:space="preserve">, </w:t>
            </w:r>
            <w:proofErr w:type="spellStart"/>
            <w:r w:rsidRPr="004C0A78">
              <w:rPr>
                <w:i/>
                <w:iCs/>
              </w:rPr>
              <w:t>Culiseta</w:t>
            </w:r>
            <w:proofErr w:type="spellEnd"/>
            <w:r w:rsidRPr="004C0A78">
              <w:rPr>
                <w:i/>
                <w:iCs/>
              </w:rPr>
              <w:t xml:space="preserve"> </w:t>
            </w:r>
            <w:proofErr w:type="spellStart"/>
            <w:r w:rsidRPr="004C0A78">
              <w:rPr>
                <w:i/>
                <w:iCs/>
              </w:rPr>
              <w:t>incidens</w:t>
            </w:r>
            <w:proofErr w:type="spellEnd"/>
            <w:r w:rsidRPr="004C0A78">
              <w:rPr>
                <w:i/>
                <w:iCs/>
              </w:rPr>
              <w:t xml:space="preserve">, Anopheles </w:t>
            </w:r>
            <w:proofErr w:type="spellStart"/>
            <w:r w:rsidRPr="004C0A78">
              <w:rPr>
                <w:i/>
                <w:iCs/>
              </w:rPr>
              <w:t>freeborni</w:t>
            </w:r>
            <w:proofErr w:type="spellEnd"/>
            <w:r w:rsidRPr="004C0A78">
              <w:rPr>
                <w:i/>
                <w:iCs/>
              </w:rPr>
              <w:t xml:space="preserve"> and </w:t>
            </w:r>
            <w:proofErr w:type="spellStart"/>
            <w:r w:rsidRPr="004C0A78">
              <w:rPr>
                <w:i/>
                <w:iCs/>
              </w:rPr>
              <w:t>Aedes</w:t>
            </w:r>
            <w:proofErr w:type="spellEnd"/>
            <w:r w:rsidRPr="004C0A78">
              <w:rPr>
                <w:i/>
                <w:iCs/>
              </w:rPr>
              <w:t xml:space="preserve"> </w:t>
            </w:r>
            <w:proofErr w:type="spellStart"/>
            <w:r w:rsidRPr="004C0A78">
              <w:rPr>
                <w:i/>
                <w:iCs/>
              </w:rPr>
              <w:t>vexans</w:t>
            </w:r>
            <w:proofErr w:type="spellEnd"/>
          </w:p>
          <w:p w14:paraId="55C4D33E" w14:textId="77777777" w:rsidR="00C47639" w:rsidRPr="00C069CF" w:rsidRDefault="00C47639" w:rsidP="00C47639">
            <w:pPr>
              <w:pStyle w:val="Standaard-Tabellen"/>
            </w:pPr>
          </w:p>
          <w:p w14:paraId="7AE8C7EA" w14:textId="77777777" w:rsidR="00C47639" w:rsidRPr="00BD2EF1" w:rsidRDefault="00C47639" w:rsidP="00C47639">
            <w:pPr>
              <w:pStyle w:val="Standaard-Tabellen"/>
            </w:pPr>
            <w:r w:rsidRPr="00C069CF">
              <w:t>With very high mosquito pressure</w:t>
            </w:r>
          </w:p>
        </w:tc>
        <w:tc>
          <w:tcPr>
            <w:tcW w:w="536" w:type="pct"/>
            <w:vAlign w:val="center"/>
          </w:tcPr>
          <w:p w14:paraId="4F4A4668" w14:textId="77777777" w:rsidR="00C47639" w:rsidRPr="00C069CF" w:rsidRDefault="00C47639" w:rsidP="00C47639">
            <w:pPr>
              <w:pStyle w:val="Standaard-Tabellen"/>
            </w:pPr>
            <w:r w:rsidRPr="00C069CF">
              <w:t>Field test</w:t>
            </w:r>
          </w:p>
          <w:p w14:paraId="6F7BDAEC" w14:textId="77777777" w:rsidR="00C47639" w:rsidRPr="00C069CF" w:rsidRDefault="00C47639" w:rsidP="00C47639">
            <w:pPr>
              <w:pStyle w:val="Standaard-Tabellen"/>
              <w:rPr>
                <w:iCs/>
              </w:rPr>
            </w:pPr>
            <w:r w:rsidRPr="00C069CF">
              <w:rPr>
                <w:iCs/>
              </w:rPr>
              <w:t>on 2 different sites</w:t>
            </w:r>
          </w:p>
          <w:p w14:paraId="7D8A7316" w14:textId="77777777" w:rsidR="00C47639" w:rsidRPr="00BD2EF1" w:rsidRDefault="00C47639" w:rsidP="00C47639">
            <w:pPr>
              <w:pStyle w:val="Standaard-Tabellen"/>
            </w:pPr>
            <w:r w:rsidRPr="009F21FB">
              <w:t>(Forest and Marsh/Pasture)</w:t>
            </w:r>
          </w:p>
        </w:tc>
        <w:tc>
          <w:tcPr>
            <w:tcW w:w="1148" w:type="pct"/>
          </w:tcPr>
          <w:p w14:paraId="436E0DCD" w14:textId="77777777" w:rsidR="00C47639" w:rsidRPr="00C069CF" w:rsidRDefault="00C47639" w:rsidP="00C47639">
            <w:pPr>
              <w:pStyle w:val="Standaard-Tabellen"/>
            </w:pPr>
            <w:r w:rsidRPr="00C069CF">
              <w:t>- with 20 volunteers</w:t>
            </w:r>
          </w:p>
          <w:p w14:paraId="70144038" w14:textId="77777777" w:rsidR="00C47639" w:rsidRPr="00C069CF" w:rsidRDefault="00C47639" w:rsidP="00C47639">
            <w:pPr>
              <w:pStyle w:val="Standaard-Tabellen"/>
            </w:pPr>
            <w:r w:rsidRPr="00C069CF">
              <w:t>- 0.00067 g/cm</w:t>
            </w:r>
            <w:r w:rsidRPr="00C069CF">
              <w:rPr>
                <w:vertAlign w:val="superscript"/>
              </w:rPr>
              <w:t>2</w:t>
            </w:r>
            <w:r w:rsidRPr="00C069CF">
              <w:t xml:space="preserve"> for legs </w:t>
            </w:r>
            <w:r>
              <w:t>(</w:t>
            </w:r>
            <w:r w:rsidRPr="00C069CF">
              <w:t>and 0.00051 g/cm</w:t>
            </w:r>
            <w:r w:rsidRPr="00C069CF">
              <w:rPr>
                <w:vertAlign w:val="superscript"/>
              </w:rPr>
              <w:t>2</w:t>
            </w:r>
            <w:r w:rsidRPr="00C069CF">
              <w:t xml:space="preserve"> for arms</w:t>
            </w:r>
            <w:r>
              <w:t>)</w:t>
            </w:r>
            <w:r w:rsidRPr="00C069CF">
              <w:t>.</w:t>
            </w:r>
          </w:p>
          <w:p w14:paraId="53F0A0E0" w14:textId="77777777" w:rsidR="00C47639" w:rsidRPr="00C069CF" w:rsidRDefault="00C47639" w:rsidP="00C47639">
            <w:pPr>
              <w:pStyle w:val="Standaard-Tabellen"/>
            </w:pPr>
            <w:r w:rsidRPr="00C069CF">
              <w:t>- Exposure started 2h (</w:t>
            </w:r>
            <w:r>
              <w:t>Forest</w:t>
            </w:r>
            <w:r w:rsidRPr="00C069CF">
              <w:t>) or 3h (</w:t>
            </w:r>
            <w:r>
              <w:t>Marsh/Pasture</w:t>
            </w:r>
            <w:r w:rsidRPr="00C069CF">
              <w:t>) after application</w:t>
            </w:r>
          </w:p>
          <w:p w14:paraId="51588704" w14:textId="77777777" w:rsidR="00C47639" w:rsidRPr="00C069CF" w:rsidRDefault="00C47639" w:rsidP="00C47639">
            <w:pPr>
              <w:pStyle w:val="Standaard-Tabellen"/>
            </w:pPr>
            <w:r w:rsidRPr="00C069CF">
              <w:t>- 1 min exposure time, every 15 min until 14 hours</w:t>
            </w:r>
          </w:p>
          <w:p w14:paraId="4C4095E5" w14:textId="77777777" w:rsidR="00C47639" w:rsidRPr="00BD2EF1" w:rsidRDefault="00C47639" w:rsidP="00C47639">
            <w:pPr>
              <w:pStyle w:val="Standaard-Tabellen"/>
            </w:pPr>
            <w:r w:rsidRPr="00C069CF">
              <w:t xml:space="preserve">- “normal” climatic conditions for temperate areas (+19-25°C ; 24-39% </w:t>
            </w:r>
            <w:proofErr w:type="spellStart"/>
            <w:r w:rsidRPr="00C069CF">
              <w:t>rH</w:t>
            </w:r>
            <w:proofErr w:type="spellEnd"/>
            <w:r w:rsidRPr="00C069CF">
              <w:t>)</w:t>
            </w:r>
          </w:p>
        </w:tc>
        <w:tc>
          <w:tcPr>
            <w:tcW w:w="375" w:type="pct"/>
            <w:vAlign w:val="center"/>
          </w:tcPr>
          <w:p w14:paraId="64C34C2E" w14:textId="77777777" w:rsidR="00C47639" w:rsidRDefault="00C47639" w:rsidP="00C47639">
            <w:pPr>
              <w:pStyle w:val="Standaard-Tabellen"/>
            </w:pPr>
            <w:r w:rsidRPr="00C069CF">
              <w:t xml:space="preserve">8 hours </w:t>
            </w:r>
            <w:r>
              <w:t xml:space="preserve">complete </w:t>
            </w:r>
            <w:r w:rsidRPr="00C069CF">
              <w:t>protection</w:t>
            </w:r>
          </w:p>
          <w:p w14:paraId="334E6052" w14:textId="77777777" w:rsidR="00C47639" w:rsidRDefault="00C47639" w:rsidP="00C47639">
            <w:pPr>
              <w:pStyle w:val="Standaard-Tabellen"/>
            </w:pPr>
          </w:p>
          <w:p w14:paraId="60D1FAEF" w14:textId="77777777" w:rsidR="00C47639" w:rsidRPr="00BD2EF1" w:rsidRDefault="00C47639" w:rsidP="00C47639">
            <w:pPr>
              <w:pStyle w:val="Standaard-Tabellen"/>
            </w:pPr>
            <w:r w:rsidRPr="00C069CF">
              <w:t>In temperate areas</w:t>
            </w:r>
            <w:r>
              <w:t xml:space="preserve"> only</w:t>
            </w:r>
          </w:p>
        </w:tc>
        <w:tc>
          <w:tcPr>
            <w:tcW w:w="511" w:type="pct"/>
            <w:vAlign w:val="center"/>
          </w:tcPr>
          <w:p w14:paraId="72949829" w14:textId="77777777" w:rsidR="00C47639" w:rsidRPr="004C0A78" w:rsidRDefault="00C47639" w:rsidP="00C47639">
            <w:pPr>
              <w:pStyle w:val="Standaard-Tabellen"/>
              <w:rPr>
                <w:b/>
                <w:iCs/>
              </w:rPr>
            </w:pPr>
            <w:r w:rsidRPr="004C0A78">
              <w:rPr>
                <w:b/>
                <w:iCs/>
              </w:rPr>
              <w:t>Doc N° 336-1919/2006</w:t>
            </w:r>
          </w:p>
          <w:p w14:paraId="499E47F8" w14:textId="77777777" w:rsidR="00C47639" w:rsidRPr="004C0A78" w:rsidRDefault="00C47639" w:rsidP="00C47639">
            <w:pPr>
              <w:pStyle w:val="Standaard-Tabellen"/>
              <w:rPr>
                <w:b/>
              </w:rPr>
            </w:pPr>
          </w:p>
          <w:p w14:paraId="583BBE4C" w14:textId="77777777" w:rsidR="00C47639" w:rsidRDefault="00C47639" w:rsidP="00C47639">
            <w:pPr>
              <w:pStyle w:val="Standaard-Tabellen"/>
              <w:rPr>
                <w:b/>
              </w:rPr>
            </w:pPr>
            <w:r w:rsidRPr="004C0A78">
              <w:rPr>
                <w:b/>
              </w:rPr>
              <w:t>Reliability 1</w:t>
            </w:r>
          </w:p>
          <w:p w14:paraId="07005536" w14:textId="77777777" w:rsidR="00C47639" w:rsidRPr="004C0A78" w:rsidRDefault="00C47639" w:rsidP="00C47639">
            <w:pPr>
              <w:pStyle w:val="Standaard-Tabellen"/>
              <w:rPr>
                <w:b/>
              </w:rPr>
            </w:pPr>
            <w:r>
              <w:rPr>
                <w:b/>
              </w:rPr>
              <w:t>Key study</w:t>
            </w:r>
          </w:p>
        </w:tc>
      </w:tr>
      <w:tr w:rsidR="00C47639" w:rsidRPr="00BD2EF1" w14:paraId="1FC5A476" w14:textId="77777777" w:rsidTr="00C47639">
        <w:tc>
          <w:tcPr>
            <w:tcW w:w="383" w:type="pct"/>
            <w:vAlign w:val="center"/>
          </w:tcPr>
          <w:p w14:paraId="2FD27141" w14:textId="77777777" w:rsidR="00C47639" w:rsidRPr="004C0A78" w:rsidRDefault="00C47639" w:rsidP="00C47639">
            <w:pPr>
              <w:pStyle w:val="Standaard-Tabellen"/>
              <w:rPr>
                <w:b/>
                <w:i/>
              </w:rPr>
            </w:pPr>
            <w:r w:rsidRPr="004C0A78">
              <w:rPr>
                <w:b/>
                <w:i/>
              </w:rPr>
              <w:t>PT19</w:t>
            </w:r>
          </w:p>
          <w:p w14:paraId="374FA4E7" w14:textId="77777777" w:rsidR="00C47639" w:rsidRPr="004C0A78" w:rsidRDefault="00C47639" w:rsidP="00C47639">
            <w:pPr>
              <w:pStyle w:val="Standaard-Tabellen"/>
              <w:rPr>
                <w:b/>
                <w:i/>
              </w:rPr>
            </w:pPr>
            <w:r w:rsidRPr="004C0A78">
              <w:rPr>
                <w:b/>
                <w:i/>
              </w:rPr>
              <w:t>Repellent</w:t>
            </w:r>
          </w:p>
          <w:p w14:paraId="0576070A" w14:textId="77777777" w:rsidR="00C47639" w:rsidRPr="004C0A78" w:rsidRDefault="00C47639" w:rsidP="00C47639">
            <w:pPr>
              <w:pStyle w:val="Standaard-Tabellen"/>
              <w:rPr>
                <w:b/>
                <w:i/>
              </w:rPr>
            </w:pPr>
          </w:p>
        </w:tc>
        <w:tc>
          <w:tcPr>
            <w:tcW w:w="433" w:type="pct"/>
            <w:vAlign w:val="center"/>
          </w:tcPr>
          <w:p w14:paraId="1BF8CB4C" w14:textId="77777777" w:rsidR="00C47639" w:rsidRPr="00C069CF" w:rsidRDefault="00C47639" w:rsidP="00C47639">
            <w:pPr>
              <w:pStyle w:val="Standaard-Tabellen"/>
            </w:pPr>
            <w:r w:rsidRPr="00C069CF">
              <w:t xml:space="preserve">- RTU spray </w:t>
            </w:r>
          </w:p>
          <w:p w14:paraId="329BF315" w14:textId="77777777" w:rsidR="00C47639" w:rsidRPr="00C069CF" w:rsidRDefault="00C47639" w:rsidP="00C47639">
            <w:pPr>
              <w:pStyle w:val="Standaard-Tabellen"/>
            </w:pPr>
            <w:r w:rsidRPr="00C069CF">
              <w:t>- Applied on uncovered human skin</w:t>
            </w:r>
          </w:p>
          <w:p w14:paraId="23C9499E" w14:textId="77777777" w:rsidR="00C47639" w:rsidRPr="00C069CF" w:rsidRDefault="00C47639" w:rsidP="00C47639">
            <w:pPr>
              <w:pStyle w:val="Standaard-Tabellen"/>
            </w:pPr>
            <w:r w:rsidRPr="00C069CF">
              <w:t>- For consumers</w:t>
            </w:r>
          </w:p>
          <w:p w14:paraId="7C19F5D5" w14:textId="77777777" w:rsidR="00C47639" w:rsidRPr="00BD2EF1" w:rsidRDefault="00C47639" w:rsidP="00C47639">
            <w:pPr>
              <w:pStyle w:val="Standaard-Tabellen"/>
            </w:pPr>
            <w:r w:rsidRPr="00C069CF">
              <w:lastRenderedPageBreak/>
              <w:t>- In temperate and tropical areas</w:t>
            </w:r>
          </w:p>
        </w:tc>
        <w:tc>
          <w:tcPr>
            <w:tcW w:w="629" w:type="pct"/>
            <w:vAlign w:val="center"/>
          </w:tcPr>
          <w:p w14:paraId="0AF8D881" w14:textId="77777777" w:rsidR="00C47639" w:rsidRPr="004C0A78" w:rsidRDefault="00C47639" w:rsidP="00C47639">
            <w:pPr>
              <w:pStyle w:val="Standaard-Tabellen"/>
              <w:rPr>
                <w:b/>
              </w:rPr>
            </w:pPr>
            <w:r w:rsidRPr="004C0A78">
              <w:rPr>
                <w:b/>
              </w:rPr>
              <w:lastRenderedPageBreak/>
              <w:t>Insect Repellent Pump spray (15% IR3535)</w:t>
            </w:r>
          </w:p>
        </w:tc>
        <w:tc>
          <w:tcPr>
            <w:tcW w:w="984" w:type="pct"/>
            <w:vAlign w:val="center"/>
          </w:tcPr>
          <w:p w14:paraId="0796848A" w14:textId="77777777" w:rsidR="00C47639" w:rsidRPr="004C0A78" w:rsidRDefault="00C47639" w:rsidP="00C47639">
            <w:pPr>
              <w:pStyle w:val="Standaard-Tabellen"/>
              <w:rPr>
                <w:b/>
              </w:rPr>
            </w:pPr>
            <w:r w:rsidRPr="004C0A78">
              <w:rPr>
                <w:b/>
              </w:rPr>
              <w:t>TICKS</w:t>
            </w:r>
          </w:p>
          <w:p w14:paraId="34675409" w14:textId="77777777" w:rsidR="00C47639" w:rsidRPr="00BD2EF1" w:rsidRDefault="00C47639" w:rsidP="00C47639">
            <w:pPr>
              <w:pStyle w:val="Standaard-Tabellen"/>
            </w:pPr>
            <w:proofErr w:type="spellStart"/>
            <w:r w:rsidRPr="004C0A78">
              <w:rPr>
                <w:i/>
              </w:rPr>
              <w:t>Ixodes</w:t>
            </w:r>
            <w:proofErr w:type="spellEnd"/>
            <w:r w:rsidRPr="004C0A78">
              <w:rPr>
                <w:i/>
              </w:rPr>
              <w:t xml:space="preserve"> </w:t>
            </w:r>
            <w:proofErr w:type="spellStart"/>
            <w:r w:rsidRPr="004C0A78">
              <w:rPr>
                <w:i/>
              </w:rPr>
              <w:t>ricinus</w:t>
            </w:r>
            <w:proofErr w:type="spellEnd"/>
            <w:r w:rsidRPr="00C069CF">
              <w:t xml:space="preserve"> (EU sheep ticks) nymphs</w:t>
            </w:r>
          </w:p>
        </w:tc>
        <w:tc>
          <w:tcPr>
            <w:tcW w:w="536" w:type="pct"/>
            <w:vAlign w:val="center"/>
          </w:tcPr>
          <w:p w14:paraId="7B0FB60E" w14:textId="77777777" w:rsidR="00C47639" w:rsidRPr="00C069CF" w:rsidRDefault="00C47639" w:rsidP="00C47639">
            <w:pPr>
              <w:pStyle w:val="Standaard-Tabellen"/>
            </w:pPr>
            <w:r w:rsidRPr="00C069CF">
              <w:t>Lab test</w:t>
            </w:r>
          </w:p>
          <w:p w14:paraId="24C840A8" w14:textId="77777777" w:rsidR="00C47639" w:rsidRPr="00BD2EF1" w:rsidRDefault="00C47639" w:rsidP="00C47639">
            <w:pPr>
              <w:pStyle w:val="Standaard-Tabellen"/>
            </w:pPr>
          </w:p>
        </w:tc>
        <w:tc>
          <w:tcPr>
            <w:tcW w:w="1148" w:type="pct"/>
            <w:vAlign w:val="center"/>
          </w:tcPr>
          <w:p w14:paraId="31653364" w14:textId="77777777" w:rsidR="00C47639" w:rsidRPr="00C069CF" w:rsidRDefault="00C47639" w:rsidP="00C47639">
            <w:pPr>
              <w:pStyle w:val="Standaard-Tabellen"/>
            </w:pPr>
            <w:r w:rsidRPr="00C069CF">
              <w:t>- with 11 volunteers</w:t>
            </w:r>
          </w:p>
          <w:p w14:paraId="12714C50" w14:textId="77777777" w:rsidR="00C47639" w:rsidRPr="00C069CF" w:rsidRDefault="00C47639" w:rsidP="00C47639">
            <w:pPr>
              <w:pStyle w:val="Standaard-Tabellen"/>
            </w:pPr>
            <w:r w:rsidRPr="00C069CF">
              <w:t>- 1 g BP/600 cm</w:t>
            </w:r>
            <w:r w:rsidRPr="00C069CF">
              <w:rPr>
                <w:vertAlign w:val="superscript"/>
              </w:rPr>
              <w:t>2</w:t>
            </w:r>
            <w:r w:rsidRPr="00C069CF">
              <w:t xml:space="preserve"> on the forearm</w:t>
            </w:r>
          </w:p>
          <w:p w14:paraId="1F894965" w14:textId="77777777" w:rsidR="00C47639" w:rsidRPr="00C069CF" w:rsidRDefault="00C47639" w:rsidP="00C47639">
            <w:pPr>
              <w:pStyle w:val="Standaard-Tabellen"/>
            </w:pPr>
            <w:r w:rsidRPr="00C069CF">
              <w:t>- Exposure started immediately after application</w:t>
            </w:r>
          </w:p>
          <w:p w14:paraId="70D1613C" w14:textId="77777777" w:rsidR="00C47639" w:rsidRPr="00C069CF" w:rsidRDefault="00C47639" w:rsidP="00C47639">
            <w:pPr>
              <w:pStyle w:val="Standaard-Tabellen"/>
            </w:pPr>
            <w:r w:rsidRPr="00C069CF">
              <w:t>- 5 min exposure time, every 15 min</w:t>
            </w:r>
          </w:p>
          <w:p w14:paraId="2B8C27D2" w14:textId="77777777" w:rsidR="00C47639" w:rsidRPr="00BD2EF1" w:rsidRDefault="00C47639" w:rsidP="00C47639">
            <w:pPr>
              <w:pStyle w:val="Standaard-Tabellen"/>
            </w:pPr>
            <w:r w:rsidRPr="00C069CF">
              <w:lastRenderedPageBreak/>
              <w:t xml:space="preserve">- “normal” climatic conditions for temperate areas (+23.2-25.4°C ; 24.2±3.7% </w:t>
            </w:r>
            <w:proofErr w:type="spellStart"/>
            <w:r w:rsidRPr="00C069CF">
              <w:t>rH</w:t>
            </w:r>
            <w:proofErr w:type="spellEnd"/>
            <w:r w:rsidRPr="00C069CF">
              <w:t>)</w:t>
            </w:r>
          </w:p>
        </w:tc>
        <w:tc>
          <w:tcPr>
            <w:tcW w:w="375" w:type="pct"/>
            <w:vAlign w:val="center"/>
          </w:tcPr>
          <w:p w14:paraId="3AE061DB" w14:textId="77777777" w:rsidR="00C47639" w:rsidRDefault="00C47639" w:rsidP="00C47639">
            <w:pPr>
              <w:pStyle w:val="Standaard-Tabellen"/>
            </w:pPr>
            <w:r w:rsidRPr="00C069CF">
              <w:lastRenderedPageBreak/>
              <w:t xml:space="preserve">8 hours </w:t>
            </w:r>
            <w:r>
              <w:t xml:space="preserve">complete </w:t>
            </w:r>
            <w:r w:rsidRPr="00C069CF">
              <w:t>protection</w:t>
            </w:r>
          </w:p>
          <w:p w14:paraId="4D16DBBC" w14:textId="77777777" w:rsidR="00C47639" w:rsidRDefault="00C47639" w:rsidP="00C47639">
            <w:pPr>
              <w:pStyle w:val="Standaard-Tabellen"/>
            </w:pPr>
          </w:p>
          <w:p w14:paraId="00F89896" w14:textId="77777777" w:rsidR="00C47639" w:rsidRPr="00BD2EF1" w:rsidRDefault="00C47639" w:rsidP="00C47639">
            <w:pPr>
              <w:pStyle w:val="Standaard-Tabellen"/>
            </w:pPr>
            <w:r w:rsidRPr="00C069CF">
              <w:t>In temperat</w:t>
            </w:r>
            <w:r w:rsidRPr="00C069CF">
              <w:lastRenderedPageBreak/>
              <w:t>e areas</w:t>
            </w:r>
            <w:r>
              <w:t xml:space="preserve"> only</w:t>
            </w:r>
          </w:p>
        </w:tc>
        <w:tc>
          <w:tcPr>
            <w:tcW w:w="511" w:type="pct"/>
            <w:vAlign w:val="center"/>
          </w:tcPr>
          <w:p w14:paraId="5C026B70" w14:textId="77777777" w:rsidR="00C47639" w:rsidRPr="004C0A78" w:rsidRDefault="00C47639" w:rsidP="00C47639">
            <w:pPr>
              <w:pStyle w:val="Standaard-Tabellen"/>
              <w:rPr>
                <w:b/>
                <w:iCs/>
              </w:rPr>
            </w:pPr>
            <w:r w:rsidRPr="004C0A78">
              <w:rPr>
                <w:b/>
                <w:iCs/>
              </w:rPr>
              <w:lastRenderedPageBreak/>
              <w:t>Doc N° 336-1921/2006</w:t>
            </w:r>
          </w:p>
          <w:p w14:paraId="63E08353" w14:textId="77777777" w:rsidR="00C47639" w:rsidRPr="004C0A78" w:rsidRDefault="00C47639" w:rsidP="00C47639">
            <w:pPr>
              <w:pStyle w:val="Standaard-Tabellen"/>
              <w:rPr>
                <w:b/>
                <w:iCs/>
              </w:rPr>
            </w:pPr>
          </w:p>
          <w:p w14:paraId="371AF213" w14:textId="77777777" w:rsidR="00C47639" w:rsidRPr="004C0A78" w:rsidRDefault="00C47639" w:rsidP="00C47639">
            <w:pPr>
              <w:pStyle w:val="Standaard-Tabellen"/>
              <w:rPr>
                <w:b/>
              </w:rPr>
            </w:pPr>
            <w:r>
              <w:rPr>
                <w:b/>
              </w:rPr>
              <w:t>Supportive study</w:t>
            </w:r>
          </w:p>
        </w:tc>
      </w:tr>
      <w:tr w:rsidR="00C47639" w:rsidRPr="00BD2EF1" w14:paraId="280F5649" w14:textId="77777777" w:rsidTr="00C47639">
        <w:tc>
          <w:tcPr>
            <w:tcW w:w="383" w:type="pct"/>
            <w:vAlign w:val="center"/>
          </w:tcPr>
          <w:p w14:paraId="7C43095F" w14:textId="77777777" w:rsidR="00C47639" w:rsidRPr="004C0A78" w:rsidRDefault="00C47639" w:rsidP="00C47639">
            <w:pPr>
              <w:pStyle w:val="Standaard-Tabellen"/>
              <w:rPr>
                <w:b/>
                <w:i/>
              </w:rPr>
            </w:pPr>
            <w:r w:rsidRPr="004C0A78">
              <w:rPr>
                <w:b/>
                <w:i/>
              </w:rPr>
              <w:t>PT19</w:t>
            </w:r>
          </w:p>
          <w:p w14:paraId="32CB7ECB" w14:textId="77777777" w:rsidR="00C47639" w:rsidRPr="004C0A78" w:rsidRDefault="00C47639" w:rsidP="00C47639">
            <w:pPr>
              <w:pStyle w:val="Standaard-Tabellen"/>
              <w:rPr>
                <w:b/>
                <w:i/>
              </w:rPr>
            </w:pPr>
            <w:r w:rsidRPr="004C0A78">
              <w:rPr>
                <w:b/>
                <w:i/>
              </w:rPr>
              <w:t>Repellent</w:t>
            </w:r>
          </w:p>
        </w:tc>
        <w:tc>
          <w:tcPr>
            <w:tcW w:w="433" w:type="pct"/>
            <w:vAlign w:val="center"/>
          </w:tcPr>
          <w:p w14:paraId="43CC0032" w14:textId="77777777" w:rsidR="00C47639" w:rsidRPr="00C069CF" w:rsidRDefault="00C47639" w:rsidP="00C47639">
            <w:pPr>
              <w:pStyle w:val="Standaard-Tabellen"/>
            </w:pPr>
            <w:r w:rsidRPr="00C069CF">
              <w:t>- RTU spray</w:t>
            </w:r>
          </w:p>
          <w:p w14:paraId="04305ED3" w14:textId="77777777" w:rsidR="00C47639" w:rsidRPr="00C069CF" w:rsidRDefault="00C47639" w:rsidP="00C47639">
            <w:pPr>
              <w:pStyle w:val="Standaard-Tabellen"/>
            </w:pPr>
            <w:r w:rsidRPr="00C069CF">
              <w:t>- Applied on uncovered human skin</w:t>
            </w:r>
          </w:p>
          <w:p w14:paraId="4EB28444" w14:textId="77777777" w:rsidR="00C47639" w:rsidRPr="00C069CF" w:rsidRDefault="00C47639" w:rsidP="00C47639">
            <w:pPr>
              <w:pStyle w:val="Standaard-Tabellen"/>
            </w:pPr>
            <w:r w:rsidRPr="00C069CF">
              <w:t>- For consumers</w:t>
            </w:r>
          </w:p>
          <w:p w14:paraId="318906B6" w14:textId="77777777" w:rsidR="00C47639" w:rsidRPr="00BD2EF1" w:rsidRDefault="00C47639" w:rsidP="00C47639">
            <w:pPr>
              <w:pStyle w:val="Standaard-Tabellen"/>
            </w:pPr>
            <w:r w:rsidRPr="00C069CF">
              <w:t>- In temperate and tropical areas</w:t>
            </w:r>
          </w:p>
        </w:tc>
        <w:tc>
          <w:tcPr>
            <w:tcW w:w="629" w:type="pct"/>
            <w:vAlign w:val="center"/>
          </w:tcPr>
          <w:p w14:paraId="70D33E12" w14:textId="77777777" w:rsidR="00C47639" w:rsidRDefault="00C47639" w:rsidP="00C47639">
            <w:pPr>
              <w:pStyle w:val="Standaard-Tabellen"/>
              <w:rPr>
                <w:b/>
              </w:rPr>
            </w:pPr>
            <w:r w:rsidRPr="004C0A78">
              <w:rPr>
                <w:b/>
              </w:rPr>
              <w:t xml:space="preserve">The composition of the product tested is not reported </w:t>
            </w:r>
          </w:p>
          <w:p w14:paraId="73011D17" w14:textId="77777777" w:rsidR="00C47639" w:rsidRPr="004C0A78" w:rsidRDefault="00C47639" w:rsidP="00C47639">
            <w:pPr>
              <w:pStyle w:val="Standaard-Tabellen"/>
              <w:rPr>
                <w:b/>
              </w:rPr>
            </w:pPr>
            <w:r>
              <w:rPr>
                <w:b/>
              </w:rPr>
              <w:t>TMT-003</w:t>
            </w:r>
          </w:p>
        </w:tc>
        <w:tc>
          <w:tcPr>
            <w:tcW w:w="984" w:type="pct"/>
            <w:vAlign w:val="center"/>
          </w:tcPr>
          <w:p w14:paraId="0CC5F292" w14:textId="77777777" w:rsidR="00C47639" w:rsidRPr="004C0A78" w:rsidRDefault="00C47639" w:rsidP="00C47639">
            <w:pPr>
              <w:pStyle w:val="Standaard-Tabellen"/>
              <w:rPr>
                <w:b/>
              </w:rPr>
            </w:pPr>
            <w:r w:rsidRPr="004C0A78">
              <w:rPr>
                <w:b/>
              </w:rPr>
              <w:t>MOSQUITOES</w:t>
            </w:r>
          </w:p>
          <w:p w14:paraId="20F77E38" w14:textId="77777777" w:rsidR="00C47639" w:rsidRPr="004C0A78" w:rsidRDefault="00C47639" w:rsidP="00C47639">
            <w:pPr>
              <w:pStyle w:val="Standaard-Tabellen"/>
              <w:rPr>
                <w:i/>
              </w:rPr>
            </w:pPr>
            <w:proofErr w:type="spellStart"/>
            <w:r w:rsidRPr="004C0A78">
              <w:rPr>
                <w:i/>
                <w:iCs/>
              </w:rPr>
              <w:t>Aedes</w:t>
            </w:r>
            <w:proofErr w:type="spellEnd"/>
            <w:r w:rsidRPr="004C0A78">
              <w:rPr>
                <w:i/>
                <w:iCs/>
              </w:rPr>
              <w:t xml:space="preserve"> </w:t>
            </w:r>
            <w:proofErr w:type="spellStart"/>
            <w:r w:rsidRPr="004C0A78">
              <w:rPr>
                <w:i/>
                <w:iCs/>
              </w:rPr>
              <w:t>albopictus</w:t>
            </w:r>
            <w:proofErr w:type="spellEnd"/>
            <w:r w:rsidRPr="004C0A78">
              <w:rPr>
                <w:i/>
                <w:iCs/>
              </w:rPr>
              <w:t xml:space="preserve"> </w:t>
            </w:r>
          </w:p>
        </w:tc>
        <w:tc>
          <w:tcPr>
            <w:tcW w:w="536" w:type="pct"/>
            <w:vAlign w:val="center"/>
          </w:tcPr>
          <w:p w14:paraId="51B1E024" w14:textId="77777777" w:rsidR="00C47639" w:rsidRPr="00BD2EF1" w:rsidRDefault="00C47639" w:rsidP="00C47639">
            <w:pPr>
              <w:pStyle w:val="Standaard-Tabellen"/>
            </w:pPr>
            <w:r w:rsidRPr="00C069CF">
              <w:t>“Arm-in-cage” simulated-use test</w:t>
            </w:r>
          </w:p>
        </w:tc>
        <w:tc>
          <w:tcPr>
            <w:tcW w:w="1148" w:type="pct"/>
            <w:vAlign w:val="center"/>
          </w:tcPr>
          <w:p w14:paraId="2FF0AEF4" w14:textId="77777777" w:rsidR="00C47639" w:rsidRPr="00BD2EF1" w:rsidRDefault="00C47639" w:rsidP="00C47639">
            <w:pPr>
              <w:pStyle w:val="Standaard-Tabellen"/>
            </w:pPr>
            <w:r>
              <w:t>ND</w:t>
            </w:r>
          </w:p>
        </w:tc>
        <w:tc>
          <w:tcPr>
            <w:tcW w:w="375" w:type="pct"/>
            <w:vAlign w:val="center"/>
          </w:tcPr>
          <w:p w14:paraId="3F74935E" w14:textId="77777777" w:rsidR="00C47639" w:rsidRPr="00BD2EF1" w:rsidRDefault="00C47639" w:rsidP="00C47639">
            <w:pPr>
              <w:pStyle w:val="Standaard-Tabellen"/>
            </w:pPr>
            <w:r>
              <w:t>ND</w:t>
            </w:r>
          </w:p>
        </w:tc>
        <w:tc>
          <w:tcPr>
            <w:tcW w:w="511" w:type="pct"/>
            <w:vAlign w:val="center"/>
          </w:tcPr>
          <w:p w14:paraId="764656FC" w14:textId="77777777" w:rsidR="00C47639" w:rsidRPr="004C0A78" w:rsidRDefault="00C47639" w:rsidP="00C47639">
            <w:pPr>
              <w:pStyle w:val="Standaard-Tabellen"/>
              <w:rPr>
                <w:b/>
                <w:iCs/>
              </w:rPr>
            </w:pPr>
            <w:r w:rsidRPr="004C0A78">
              <w:rPr>
                <w:b/>
                <w:iCs/>
              </w:rPr>
              <w:t>Doc N° 336-1922/2006</w:t>
            </w:r>
          </w:p>
          <w:p w14:paraId="0383F996" w14:textId="77777777" w:rsidR="00C47639" w:rsidRPr="004C0A78" w:rsidRDefault="00C47639" w:rsidP="00C47639">
            <w:pPr>
              <w:pStyle w:val="Standaard-Tabellen"/>
              <w:rPr>
                <w:b/>
              </w:rPr>
            </w:pPr>
          </w:p>
          <w:p w14:paraId="790AA2AA" w14:textId="77777777" w:rsidR="00C47639" w:rsidRPr="004C0A78" w:rsidRDefault="00C47639" w:rsidP="00C47639">
            <w:pPr>
              <w:pStyle w:val="Standaard-Tabellen"/>
              <w:rPr>
                <w:b/>
              </w:rPr>
            </w:pPr>
            <w:r w:rsidRPr="004C0A78">
              <w:rPr>
                <w:b/>
              </w:rPr>
              <w:t>Reliability 4</w:t>
            </w:r>
          </w:p>
        </w:tc>
      </w:tr>
    </w:tbl>
    <w:p w14:paraId="6F6DF22D"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331"/>
      </w:tblGrid>
      <w:tr w:rsidR="00C47639" w:rsidRPr="00BD2EF1" w14:paraId="169E99A0" w14:textId="77777777" w:rsidTr="00C47639">
        <w:tc>
          <w:tcPr>
            <w:tcW w:w="5000" w:type="pct"/>
            <w:tcBorders>
              <w:top w:val="single" w:sz="4" w:space="0" w:color="auto"/>
              <w:left w:val="single" w:sz="4" w:space="0" w:color="auto"/>
              <w:bottom w:val="single" w:sz="6" w:space="0" w:color="auto"/>
              <w:right w:val="single" w:sz="6" w:space="0" w:color="auto"/>
            </w:tcBorders>
            <w:shd w:val="clear" w:color="auto" w:fill="CCFFCC"/>
          </w:tcPr>
          <w:p w14:paraId="67F0A95F" w14:textId="77777777" w:rsidR="00C47639" w:rsidRPr="00BD2EF1" w:rsidRDefault="00C47639" w:rsidP="00C47639">
            <w:pPr>
              <w:rPr>
                <w:b/>
              </w:rPr>
            </w:pPr>
            <w:r w:rsidRPr="00BD2EF1">
              <w:rPr>
                <w:b/>
              </w:rPr>
              <w:t>Conclusion on the efficacy of the product</w:t>
            </w:r>
          </w:p>
        </w:tc>
      </w:tr>
      <w:tr w:rsidR="00C47639" w:rsidRPr="00BD2EF1" w14:paraId="2F408647" w14:textId="77777777" w:rsidTr="00C476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D78491E" w14:textId="77777777" w:rsidR="00C47639" w:rsidRDefault="00C47639" w:rsidP="00C47639">
            <w:pPr>
              <w:rPr>
                <w:iCs/>
              </w:rPr>
            </w:pPr>
            <w:r w:rsidRPr="00AE2A11">
              <w:rPr>
                <w:iCs/>
              </w:rPr>
              <w:t xml:space="preserve">The product </w:t>
            </w:r>
            <w:r w:rsidRPr="00AE2A11">
              <w:rPr>
                <w:b/>
                <w:i/>
              </w:rPr>
              <w:t>Insect Repellent Pump Spray IR3535</w:t>
            </w:r>
            <w:r w:rsidRPr="00AC0EA0">
              <w:rPr>
                <w:b/>
                <w:i/>
                <w:vertAlign w:val="superscript"/>
              </w:rPr>
              <w:t>®</w:t>
            </w:r>
            <w:r w:rsidRPr="00AE2A11">
              <w:rPr>
                <w:b/>
                <w:i/>
              </w:rPr>
              <w:t xml:space="preserve"> </w:t>
            </w:r>
            <w:r>
              <w:rPr>
                <w:b/>
                <w:i/>
              </w:rPr>
              <w:t xml:space="preserve">20% </w:t>
            </w:r>
            <w:r w:rsidRPr="00AE2A11">
              <w:t>(</w:t>
            </w:r>
            <w:proofErr w:type="spellStart"/>
            <w:r w:rsidRPr="00AE2A11">
              <w:t>hydroalcoholic</w:t>
            </w:r>
            <w:proofErr w:type="spellEnd"/>
            <w:r w:rsidRPr="00AE2A11">
              <w:t xml:space="preserve"> solution, 20% IR3535) when used at a dose of 0.00</w:t>
            </w:r>
            <w:r>
              <w:t>067 </w:t>
            </w:r>
            <w:r w:rsidRPr="00AE2A11">
              <w:t>g/cm</w:t>
            </w:r>
            <w:r w:rsidRPr="00AE2A11">
              <w:rPr>
                <w:vertAlign w:val="superscript"/>
              </w:rPr>
              <w:t>2</w:t>
            </w:r>
            <w:r w:rsidRPr="00AE2A11">
              <w:t xml:space="preserve"> provides up to </w:t>
            </w:r>
            <w:r>
              <w:t>12</w:t>
            </w:r>
            <w:r w:rsidRPr="00AE2A11">
              <w:t xml:space="preserve"> hours </w:t>
            </w:r>
            <w:r>
              <w:t xml:space="preserve">complete </w:t>
            </w:r>
            <w:r w:rsidRPr="00AE2A11">
              <w:t xml:space="preserve">protection time against </w:t>
            </w:r>
            <w:r w:rsidRPr="00AE2A11">
              <w:rPr>
                <w:iCs/>
              </w:rPr>
              <w:t>ticks found in temperate areas.</w:t>
            </w:r>
          </w:p>
          <w:p w14:paraId="6A99F45D" w14:textId="77777777" w:rsidR="00C47639" w:rsidRPr="00BD2EF1" w:rsidRDefault="00C47639" w:rsidP="00C47639">
            <w:r w:rsidRPr="00AE2A11">
              <w:rPr>
                <w:iCs/>
              </w:rPr>
              <w:t xml:space="preserve">The product </w:t>
            </w:r>
            <w:r w:rsidRPr="00AE2A11">
              <w:rPr>
                <w:b/>
                <w:i/>
              </w:rPr>
              <w:t>Insect Repellent Pump Spray IR3535</w:t>
            </w:r>
            <w:r w:rsidRPr="00AC0EA0">
              <w:rPr>
                <w:b/>
                <w:i/>
                <w:vertAlign w:val="superscript"/>
              </w:rPr>
              <w:t>®</w:t>
            </w:r>
            <w:r w:rsidRPr="00AE2A11">
              <w:rPr>
                <w:b/>
                <w:i/>
              </w:rPr>
              <w:t xml:space="preserve"> </w:t>
            </w:r>
            <w:r>
              <w:rPr>
                <w:b/>
                <w:i/>
              </w:rPr>
              <w:t xml:space="preserve">20% </w:t>
            </w:r>
            <w:r w:rsidRPr="00AE2A11">
              <w:t>(</w:t>
            </w:r>
            <w:proofErr w:type="spellStart"/>
            <w:r w:rsidRPr="00AE2A11">
              <w:t>hydroalcoholic</w:t>
            </w:r>
            <w:proofErr w:type="spellEnd"/>
            <w:r w:rsidRPr="00AE2A11">
              <w:t xml:space="preserve"> solution, 20% IR3535) when used at a dose of </w:t>
            </w:r>
            <w:r w:rsidRPr="00FC327A">
              <w:t>0.00067</w:t>
            </w:r>
            <w:r>
              <w:t> </w:t>
            </w:r>
            <w:r w:rsidRPr="00FC327A">
              <w:t>g/cm</w:t>
            </w:r>
            <w:r w:rsidRPr="00FC327A">
              <w:rPr>
                <w:vertAlign w:val="superscript"/>
              </w:rPr>
              <w:t>2</w:t>
            </w:r>
            <w:r w:rsidRPr="00FC327A">
              <w:t xml:space="preserve"> for legs (and 0.00051 g/cm</w:t>
            </w:r>
            <w:r w:rsidRPr="00FC327A">
              <w:rPr>
                <w:vertAlign w:val="superscript"/>
              </w:rPr>
              <w:t>2</w:t>
            </w:r>
            <w:r>
              <w:t xml:space="preserve"> for arms) </w:t>
            </w:r>
            <w:r w:rsidRPr="00AE2A11">
              <w:t xml:space="preserve">provides up to 8 hours </w:t>
            </w:r>
            <w:r>
              <w:t xml:space="preserve">complete </w:t>
            </w:r>
            <w:r w:rsidRPr="00AE2A11">
              <w:t>protection time against mosquitoes</w:t>
            </w:r>
            <w:r w:rsidRPr="00AE2A11">
              <w:rPr>
                <w:iCs/>
              </w:rPr>
              <w:t xml:space="preserve"> found in temperate areas.</w:t>
            </w:r>
          </w:p>
        </w:tc>
      </w:tr>
    </w:tbl>
    <w:p w14:paraId="596C1A3F" w14:textId="77777777" w:rsidR="00C47639" w:rsidRPr="009605A5" w:rsidRDefault="00C47639" w:rsidP="00C47639"/>
    <w:p w14:paraId="2337D587" w14:textId="77777777" w:rsidR="00C47639" w:rsidRPr="00D90902" w:rsidRDefault="00C47639" w:rsidP="00C47639">
      <w:pPr>
        <w:sectPr w:rsidR="00C47639" w:rsidRPr="00D90902" w:rsidSect="00890941">
          <w:pgSz w:w="16838" w:h="11906" w:orient="landscape"/>
          <w:pgMar w:top="1247" w:right="1247" w:bottom="1247" w:left="1247" w:header="709" w:footer="709" w:gutter="0"/>
          <w:cols w:space="708"/>
          <w:docGrid w:linePitch="360"/>
        </w:sectPr>
      </w:pPr>
    </w:p>
    <w:p w14:paraId="6A630D8A" w14:textId="77777777" w:rsidR="003839E7" w:rsidRPr="00BD2EF1" w:rsidRDefault="003839E7" w:rsidP="00496A65">
      <w:pPr>
        <w:pStyle w:val="Titre4"/>
      </w:pPr>
      <w:bookmarkStart w:id="111" w:name="_Toc8296493"/>
      <w:r w:rsidRPr="00BD2EF1">
        <w:lastRenderedPageBreak/>
        <w:t>Occurrence of resistance and resistance management</w:t>
      </w:r>
      <w:bookmarkEnd w:id="107"/>
      <w:bookmarkEnd w:id="108"/>
      <w:bookmarkEnd w:id="109"/>
      <w:bookmarkEnd w:id="110"/>
      <w:bookmarkEnd w:id="111"/>
    </w:p>
    <w:p w14:paraId="77F00654" w14:textId="77777777" w:rsidR="00E61804" w:rsidRPr="00E61804" w:rsidRDefault="008E6144" w:rsidP="00496A65">
      <w:pPr>
        <w:pStyle w:val="Standaard-Tabellen"/>
      </w:pPr>
      <w:bookmarkStart w:id="112" w:name="_Toc389725203"/>
      <w:bookmarkStart w:id="113" w:name="_Toc389726195"/>
      <w:bookmarkStart w:id="114" w:name="_Toc389727247"/>
      <w:bookmarkStart w:id="115" w:name="_Toc389727605"/>
      <w:bookmarkStart w:id="116" w:name="_Toc389727964"/>
      <w:bookmarkStart w:id="117" w:name="_Toc389728323"/>
      <w:bookmarkStart w:id="118" w:name="_Toc389728683"/>
      <w:bookmarkStart w:id="119" w:name="_Toc389729041"/>
      <w:bookmarkStart w:id="120" w:name="_Toc389725204"/>
      <w:bookmarkStart w:id="121" w:name="_Toc389726196"/>
      <w:bookmarkStart w:id="122" w:name="_Toc389727248"/>
      <w:bookmarkStart w:id="123" w:name="_Toc389727606"/>
      <w:bookmarkStart w:id="124" w:name="_Toc389727965"/>
      <w:bookmarkStart w:id="125" w:name="_Toc389728324"/>
      <w:bookmarkStart w:id="126" w:name="_Toc389728684"/>
      <w:bookmarkStart w:id="127" w:name="_Toc389729042"/>
      <w:bookmarkStart w:id="128" w:name="_Toc389729043"/>
      <w:bookmarkStart w:id="129" w:name="_Toc403472750"/>
      <w:bookmarkStart w:id="130" w:name="_Toc403566571"/>
      <w:bookmarkStart w:id="131" w:name="_Toc42534411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T</w:t>
      </w:r>
      <w:r w:rsidRPr="00417469">
        <w:rPr>
          <w:lang w:val="sv-SE"/>
        </w:rPr>
        <w:t>here are no reported cases of resistanc</w:t>
      </w:r>
      <w:r>
        <w:rPr>
          <w:lang w:val="sv-SE"/>
        </w:rPr>
        <w:t>e developing in the literature so far.</w:t>
      </w:r>
    </w:p>
    <w:p w14:paraId="4D40F130" w14:textId="4E2FB01D" w:rsidR="003839E7" w:rsidRPr="00BD2EF1" w:rsidRDefault="003839E7" w:rsidP="00496A65">
      <w:pPr>
        <w:pStyle w:val="Titre4"/>
      </w:pPr>
      <w:bookmarkStart w:id="132" w:name="_Toc8296494"/>
      <w:r w:rsidRPr="00BD2EF1">
        <w:t>Known limitations</w:t>
      </w:r>
      <w:bookmarkEnd w:id="128"/>
      <w:bookmarkEnd w:id="129"/>
      <w:bookmarkEnd w:id="130"/>
      <w:bookmarkEnd w:id="131"/>
      <w:bookmarkEnd w:id="132"/>
    </w:p>
    <w:p w14:paraId="4F719521" w14:textId="77777777" w:rsidR="006309E1" w:rsidRPr="006309E1" w:rsidRDefault="006309E1" w:rsidP="00496A65">
      <w:pPr>
        <w:pStyle w:val="Paragraphedeliste"/>
        <w:numPr>
          <w:ilvl w:val="0"/>
          <w:numId w:val="9"/>
        </w:numPr>
      </w:pPr>
      <w:bookmarkStart w:id="133" w:name="_Toc389725206"/>
      <w:bookmarkStart w:id="134" w:name="_Toc389726198"/>
      <w:bookmarkStart w:id="135" w:name="_Toc389727250"/>
      <w:bookmarkStart w:id="136" w:name="_Toc389727608"/>
      <w:bookmarkStart w:id="137" w:name="_Toc389727967"/>
      <w:bookmarkStart w:id="138" w:name="_Toc389728326"/>
      <w:bookmarkStart w:id="139" w:name="_Toc389728686"/>
      <w:bookmarkStart w:id="140" w:name="_Toc389729044"/>
      <w:bookmarkStart w:id="141" w:name="_Toc389729045"/>
      <w:bookmarkStart w:id="142" w:name="_Toc403472751"/>
      <w:bookmarkStart w:id="143" w:name="_Toc403566572"/>
      <w:bookmarkStart w:id="144" w:name="_Toc425344113"/>
      <w:bookmarkEnd w:id="133"/>
      <w:bookmarkEnd w:id="134"/>
      <w:bookmarkEnd w:id="135"/>
      <w:bookmarkEnd w:id="136"/>
      <w:bookmarkEnd w:id="137"/>
      <w:bookmarkEnd w:id="138"/>
      <w:bookmarkEnd w:id="139"/>
      <w:bookmarkEnd w:id="140"/>
      <w:r w:rsidRPr="006309E1">
        <w:t>As stated by the applicant, the product is intended to be used in tropical areas. But, due to the absence of efficacy tests on tropical species (at more than +30°C), the use of this product in tropical areas hasn’t be</w:t>
      </w:r>
      <w:r w:rsidR="001074E3">
        <w:t>en</w:t>
      </w:r>
      <w:r w:rsidRPr="006309E1">
        <w:t xml:space="preserve"> authorized.</w:t>
      </w:r>
    </w:p>
    <w:p w14:paraId="5372F2E5" w14:textId="77777777" w:rsidR="006309E1" w:rsidRPr="00AE2A11" w:rsidRDefault="006309E1" w:rsidP="00496A65"/>
    <w:p w14:paraId="7BDD2835" w14:textId="77777777" w:rsidR="006309E1" w:rsidRPr="006309E1" w:rsidRDefault="006309E1" w:rsidP="00496A65">
      <w:pPr>
        <w:pStyle w:val="Paragraphedeliste"/>
        <w:numPr>
          <w:ilvl w:val="0"/>
          <w:numId w:val="9"/>
        </w:numPr>
      </w:pPr>
      <w:r w:rsidRPr="006309E1">
        <w:t>As stated by the applicant, the product is intended to be used on skin against black flies, horse-flies, wasps and bees. But, due to the absence of relevant efficacy tests, these uses of the product haven’t be</w:t>
      </w:r>
      <w:r w:rsidR="001074E3">
        <w:t>en</w:t>
      </w:r>
      <w:r w:rsidRPr="006309E1">
        <w:t xml:space="preserve"> authorized.</w:t>
      </w:r>
    </w:p>
    <w:p w14:paraId="6E5C8478" w14:textId="77777777" w:rsidR="006309E1" w:rsidRPr="00AE2A11" w:rsidRDefault="006309E1" w:rsidP="00496A65"/>
    <w:p w14:paraId="6E52DC50" w14:textId="77777777" w:rsidR="006309E1" w:rsidRPr="006309E1" w:rsidRDefault="006309E1" w:rsidP="00496A65">
      <w:pPr>
        <w:pStyle w:val="Paragraphedeliste"/>
        <w:numPr>
          <w:ilvl w:val="0"/>
          <w:numId w:val="9"/>
        </w:numPr>
        <w:rPr>
          <w:lang w:val="sv-SE"/>
        </w:rPr>
      </w:pPr>
      <w:r w:rsidRPr="006309E1">
        <w:t>As stated by the applicant, the product is intended to be used on clothes. But, due to the absence of efficacy tests and good results on clothes, this use of the product hasn’t be</w:t>
      </w:r>
      <w:r w:rsidR="001074E3">
        <w:t>en</w:t>
      </w:r>
      <w:r w:rsidRPr="006309E1">
        <w:t xml:space="preserve"> authorized.</w:t>
      </w:r>
    </w:p>
    <w:p w14:paraId="7BDAD87A" w14:textId="77777777" w:rsidR="003839E7" w:rsidRPr="00BD2EF1" w:rsidRDefault="003839E7" w:rsidP="00496A65">
      <w:pPr>
        <w:pStyle w:val="Titre4"/>
      </w:pPr>
      <w:bookmarkStart w:id="145" w:name="_Toc8296495"/>
      <w:r w:rsidRPr="00BD2EF1">
        <w:t>Evaluation of the label claims</w:t>
      </w:r>
      <w:bookmarkEnd w:id="141"/>
      <w:bookmarkEnd w:id="142"/>
      <w:bookmarkEnd w:id="143"/>
      <w:bookmarkEnd w:id="144"/>
      <w:bookmarkEnd w:id="145"/>
    </w:p>
    <w:p w14:paraId="15AFC46C" w14:textId="6EA3400B" w:rsidR="006309E1" w:rsidRDefault="006309E1" w:rsidP="00496A65">
      <w:bookmarkStart w:id="146" w:name="_Toc389729046"/>
      <w:bookmarkStart w:id="147" w:name="_Toc403472752"/>
      <w:bookmarkStart w:id="148" w:name="_Toc403566573"/>
      <w:bookmarkStart w:id="149" w:name="_Toc425344114"/>
      <w:r w:rsidRPr="00AE2A11">
        <w:t xml:space="preserve">According to the label, the product </w:t>
      </w:r>
      <w:r w:rsidRPr="00AE2A11">
        <w:rPr>
          <w:b/>
          <w:i/>
        </w:rPr>
        <w:t>Insect Repellent Pump Spray IR3535</w:t>
      </w:r>
      <w:r w:rsidRPr="00AC0EA0">
        <w:rPr>
          <w:b/>
          <w:i/>
          <w:vertAlign w:val="superscript"/>
        </w:rPr>
        <w:t>®</w:t>
      </w:r>
      <w:r w:rsidRPr="00AE2A11">
        <w:rPr>
          <w:b/>
          <w:i/>
        </w:rPr>
        <w:t xml:space="preserve"> </w:t>
      </w:r>
      <w:r w:rsidRPr="00AE2A11">
        <w:t>(</w:t>
      </w:r>
      <w:proofErr w:type="spellStart"/>
      <w:r w:rsidRPr="00AE2A11">
        <w:t>hydroalcoholic</w:t>
      </w:r>
      <w:proofErr w:type="spellEnd"/>
      <w:r w:rsidRPr="00AE2A11">
        <w:t xml:space="preserve"> solution, 20% IR3535) does provide a good protection against ticks and mosquitoes during 8 hours in temperate</w:t>
      </w:r>
      <w:r>
        <w:t xml:space="preserve"> and tropical</w:t>
      </w:r>
      <w:r w:rsidRPr="00AE2A11">
        <w:t xml:space="preserve"> areas</w:t>
      </w:r>
      <w:r>
        <w:t>.</w:t>
      </w:r>
    </w:p>
    <w:p w14:paraId="59008B07" w14:textId="7E12DE5B" w:rsidR="009876DC" w:rsidRDefault="009876DC" w:rsidP="00496A65"/>
    <w:p w14:paraId="74C91799" w14:textId="04E270ED" w:rsidR="009876DC" w:rsidRDefault="009876DC" w:rsidP="00496A65">
      <w:r>
        <w:t>Based on the efficacy tests submitted and validated, this claim is partially supported i.e. only for a use in temperate areas.</w:t>
      </w:r>
    </w:p>
    <w:p w14:paraId="5F966DAE" w14:textId="259BDD07" w:rsidR="007A4541" w:rsidRDefault="007A4541" w:rsidP="00496A65"/>
    <w:p w14:paraId="7B03BDB6" w14:textId="6721CE43" w:rsidR="00F608B7" w:rsidRPr="00496A65" w:rsidRDefault="00F608B7" w:rsidP="00496A65">
      <w:r w:rsidRPr="00496A65">
        <w:t>For products claiming protection against mosquitoes &amp; ticks such as the product</w:t>
      </w:r>
      <w:r w:rsidRPr="00324077">
        <w:rPr>
          <w:color w:val="7030A0"/>
          <w:u w:val="single"/>
        </w:rPr>
        <w:t xml:space="preserve"> </w:t>
      </w:r>
      <w:r w:rsidRPr="00AE2A11">
        <w:rPr>
          <w:b/>
          <w:i/>
        </w:rPr>
        <w:t>Insect Repellent Pump Spray IR3535</w:t>
      </w:r>
      <w:r w:rsidRPr="00AC0EA0">
        <w:rPr>
          <w:b/>
          <w:i/>
          <w:vertAlign w:val="superscript"/>
        </w:rPr>
        <w:t>®</w:t>
      </w:r>
      <w:r w:rsidRPr="00AE2A11">
        <w:rPr>
          <w:b/>
          <w:i/>
        </w:rPr>
        <w:t xml:space="preserve"> </w:t>
      </w:r>
      <w:r w:rsidRPr="00AE2A11">
        <w:t>(</w:t>
      </w:r>
      <w:proofErr w:type="spellStart"/>
      <w:r w:rsidRPr="00AE2A11">
        <w:t>hydroalcoholic</w:t>
      </w:r>
      <w:proofErr w:type="spellEnd"/>
      <w:r w:rsidRPr="00AE2A11">
        <w:t xml:space="preserve"> solution, 20% IR3535)</w:t>
      </w:r>
      <w:r>
        <w:t>,</w:t>
      </w:r>
      <w:r w:rsidRPr="00AE2A11">
        <w:t xml:space="preserve"> </w:t>
      </w:r>
      <w:r w:rsidRPr="00496A65">
        <w:t xml:space="preserve">the protection time against mosquitoes &amp; ticks </w:t>
      </w:r>
      <w:r w:rsidRPr="00AE2A11">
        <w:rPr>
          <w:iCs/>
        </w:rPr>
        <w:t xml:space="preserve">found in temperate </w:t>
      </w:r>
      <w:r w:rsidRPr="00496A65">
        <w:t>areas would be of 8h when</w:t>
      </w:r>
      <w:r w:rsidRPr="00DB06E0">
        <w:t xml:space="preserve"> used at 0.00067 g/cm</w:t>
      </w:r>
      <w:r w:rsidRPr="00DB06E0">
        <w:rPr>
          <w:vertAlign w:val="superscript"/>
        </w:rPr>
        <w:t>2</w:t>
      </w:r>
      <w:r w:rsidRPr="00496A65">
        <w:t>, based on the efficacy tests submitted and validated.</w:t>
      </w:r>
    </w:p>
    <w:p w14:paraId="5991E8CD" w14:textId="77777777" w:rsidR="00F608B7" w:rsidRDefault="00F608B7" w:rsidP="00496A65"/>
    <w:p w14:paraId="155901C6" w14:textId="78F1B41D" w:rsidR="00F608B7" w:rsidRDefault="00F608B7" w:rsidP="00496A65">
      <w:r w:rsidRPr="00324077">
        <w:t xml:space="preserve">For products claiming protection against mosquitoes </w:t>
      </w:r>
      <w:r>
        <w:t>only</w:t>
      </w:r>
      <w:r>
        <w:rPr>
          <w:iCs/>
        </w:rPr>
        <w:t xml:space="preserve">, </w:t>
      </w:r>
      <w:r w:rsidRPr="00324077">
        <w:rPr>
          <w:iCs/>
        </w:rPr>
        <w:t xml:space="preserve">the protection time </w:t>
      </w:r>
      <w:r w:rsidRPr="00324077">
        <w:t xml:space="preserve">against mosquitoes </w:t>
      </w:r>
      <w:r w:rsidRPr="00AE2A11">
        <w:rPr>
          <w:iCs/>
        </w:rPr>
        <w:t>found in temperate areas</w:t>
      </w:r>
      <w:r w:rsidRPr="007E0080">
        <w:rPr>
          <w:iCs/>
        </w:rPr>
        <w:t xml:space="preserve"> </w:t>
      </w:r>
      <w:r w:rsidRPr="00324077">
        <w:rPr>
          <w:iCs/>
        </w:rPr>
        <w:t xml:space="preserve">would be of 8h </w:t>
      </w:r>
      <w:r w:rsidRPr="00DB06E0">
        <w:t>when used at 0.00067 g/cm</w:t>
      </w:r>
      <w:r w:rsidRPr="00DB06E0">
        <w:rPr>
          <w:vertAlign w:val="superscript"/>
        </w:rPr>
        <w:t>2</w:t>
      </w:r>
      <w:r w:rsidRPr="00DB06E0">
        <w:t xml:space="preserve"> for legs (and 0.00051 g/cm</w:t>
      </w:r>
      <w:r w:rsidRPr="00DB06E0">
        <w:rPr>
          <w:vertAlign w:val="superscript"/>
        </w:rPr>
        <w:t>2</w:t>
      </w:r>
      <w:r w:rsidRPr="00DB06E0">
        <w:t xml:space="preserve"> for arms)</w:t>
      </w:r>
      <w:r w:rsidRPr="00324077">
        <w:t>, based on the efficacy tests submitted and validated.</w:t>
      </w:r>
    </w:p>
    <w:p w14:paraId="5AE17AA5" w14:textId="77777777" w:rsidR="00F608B7" w:rsidRPr="00324077" w:rsidRDefault="00F608B7" w:rsidP="00496A65"/>
    <w:p w14:paraId="23DCF715" w14:textId="1FA4BB06" w:rsidR="00F608B7" w:rsidRDefault="00F608B7" w:rsidP="00496A65">
      <w:r w:rsidRPr="00324077">
        <w:t xml:space="preserve">For products claiming protection against </w:t>
      </w:r>
      <w:r>
        <w:t>ticks</w:t>
      </w:r>
      <w:r w:rsidRPr="00324077">
        <w:t xml:space="preserve"> </w:t>
      </w:r>
      <w:r>
        <w:t>only</w:t>
      </w:r>
      <w:r>
        <w:rPr>
          <w:iCs/>
        </w:rPr>
        <w:t xml:space="preserve">, </w:t>
      </w:r>
      <w:r w:rsidRPr="00324077">
        <w:rPr>
          <w:iCs/>
        </w:rPr>
        <w:t xml:space="preserve">the protection time </w:t>
      </w:r>
      <w:r w:rsidRPr="00324077">
        <w:t xml:space="preserve">against </w:t>
      </w:r>
      <w:r>
        <w:t>tick</w:t>
      </w:r>
      <w:r w:rsidRPr="00324077">
        <w:t xml:space="preserve">s </w:t>
      </w:r>
      <w:r w:rsidRPr="00AE2A11">
        <w:rPr>
          <w:iCs/>
        </w:rPr>
        <w:t>found in temperate areas</w:t>
      </w:r>
      <w:r w:rsidRPr="007E0080">
        <w:rPr>
          <w:iCs/>
        </w:rPr>
        <w:t xml:space="preserve"> </w:t>
      </w:r>
      <w:r w:rsidRPr="00324077">
        <w:rPr>
          <w:iCs/>
        </w:rPr>
        <w:t xml:space="preserve">would be of </w:t>
      </w:r>
      <w:r>
        <w:rPr>
          <w:iCs/>
        </w:rPr>
        <w:t>12</w:t>
      </w:r>
      <w:r w:rsidRPr="00324077">
        <w:rPr>
          <w:iCs/>
        </w:rPr>
        <w:t xml:space="preserve">h </w:t>
      </w:r>
      <w:r w:rsidRPr="00DB06E0">
        <w:t>when used at 0.00067 g/cm</w:t>
      </w:r>
      <w:r w:rsidRPr="00DB06E0">
        <w:rPr>
          <w:vertAlign w:val="superscript"/>
        </w:rPr>
        <w:t>2</w:t>
      </w:r>
      <w:r w:rsidRPr="00324077">
        <w:t>, based on the efficacy tests submitted and validated.</w:t>
      </w:r>
    </w:p>
    <w:p w14:paraId="46400645" w14:textId="77777777" w:rsidR="006309E1" w:rsidRDefault="006309E1" w:rsidP="00496A65"/>
    <w:p w14:paraId="213D62A7" w14:textId="00189675" w:rsidR="006309E1" w:rsidRPr="00F12B32" w:rsidRDefault="006309E1" w:rsidP="00496A65">
      <w:proofErr w:type="gramStart"/>
      <w:r w:rsidRPr="00F12B32">
        <w:rPr>
          <w:u w:val="single"/>
        </w:rPr>
        <w:t>Remark :</w:t>
      </w:r>
      <w:proofErr w:type="gramEnd"/>
      <w:r>
        <w:t xml:space="preserve"> </w:t>
      </w:r>
      <w:r w:rsidRPr="00F12B32">
        <w:t>Mentioning on the label application rate (such as 0.001</w:t>
      </w:r>
      <w:r w:rsidR="00883B96">
        <w:t>67</w:t>
      </w:r>
      <w:r w:rsidRPr="00F12B32">
        <w:t xml:space="preserve"> g product/cm</w:t>
      </w:r>
      <w:r w:rsidRPr="00F12B32">
        <w:rPr>
          <w:vertAlign w:val="superscript"/>
        </w:rPr>
        <w:t>2</w:t>
      </w:r>
      <w:r w:rsidRPr="00F12B32">
        <w:t xml:space="preserve">) is not easy to observe and useless for the consumer. Therefore, the efficacy expert is of the opinion to put on the label more friendly consumer use instructions such as </w:t>
      </w:r>
      <w:r w:rsidR="007A4541">
        <w:t xml:space="preserve">“Apply sparingly to </w:t>
      </w:r>
      <w:r w:rsidR="007A4541" w:rsidRPr="001841D2">
        <w:rPr>
          <w:u w:val="single"/>
        </w:rPr>
        <w:t>uniformly cover</w:t>
      </w:r>
      <w:r w:rsidR="007A4541">
        <w:t xml:space="preserve"> uncovered parts of the body (face, hands, arms, legs and feet only)”</w:t>
      </w:r>
      <w:r w:rsidRPr="00F12B32">
        <w:t>.</w:t>
      </w:r>
    </w:p>
    <w:p w14:paraId="4AFE757D" w14:textId="77777777" w:rsidR="006309E1" w:rsidRPr="00AE2A11" w:rsidRDefault="006309E1" w:rsidP="00496A65"/>
    <w:p w14:paraId="1EEE0791" w14:textId="77777777" w:rsidR="006309E1" w:rsidRPr="006309E1" w:rsidRDefault="006309E1" w:rsidP="00496A65">
      <w:pPr>
        <w:pStyle w:val="Paragraphedeliste"/>
        <w:numPr>
          <w:ilvl w:val="0"/>
          <w:numId w:val="9"/>
        </w:numPr>
      </w:pPr>
      <w:r w:rsidRPr="006309E1">
        <w:t>References related to intended uses under tropical conditions must be removed from the label</w:t>
      </w:r>
    </w:p>
    <w:p w14:paraId="2CA50045" w14:textId="77777777" w:rsidR="006309E1" w:rsidRPr="00AE2A11" w:rsidRDefault="006309E1" w:rsidP="00496A65"/>
    <w:p w14:paraId="5108328E" w14:textId="77777777" w:rsidR="006309E1" w:rsidRPr="006309E1" w:rsidRDefault="006309E1" w:rsidP="00496A65">
      <w:pPr>
        <w:pStyle w:val="Paragraphedeliste"/>
        <w:numPr>
          <w:ilvl w:val="0"/>
          <w:numId w:val="9"/>
        </w:numPr>
      </w:pPr>
      <w:r w:rsidRPr="006309E1">
        <w:t>References related to intended uses on clothes must be removed from the label</w:t>
      </w:r>
    </w:p>
    <w:p w14:paraId="4288431C" w14:textId="77777777" w:rsidR="006309E1" w:rsidRPr="00AE2A11" w:rsidRDefault="006309E1" w:rsidP="00496A65"/>
    <w:p w14:paraId="008354A1" w14:textId="77777777" w:rsidR="006309E1" w:rsidRPr="006309E1" w:rsidRDefault="006309E1" w:rsidP="00496A65">
      <w:pPr>
        <w:pStyle w:val="Paragraphedeliste"/>
        <w:numPr>
          <w:ilvl w:val="0"/>
          <w:numId w:val="9"/>
        </w:numPr>
      </w:pPr>
      <w:r w:rsidRPr="006309E1">
        <w:t>All references related to target organisms other than ticks and mosquitoes must be removed from the label.</w:t>
      </w:r>
    </w:p>
    <w:p w14:paraId="49525498" w14:textId="77777777" w:rsidR="006309E1" w:rsidRPr="00AE2A11" w:rsidRDefault="006309E1" w:rsidP="00496A65"/>
    <w:p w14:paraId="76841638" w14:textId="77777777" w:rsidR="006309E1" w:rsidRPr="006309E1" w:rsidRDefault="006309E1" w:rsidP="00496A65">
      <w:pPr>
        <w:pStyle w:val="Paragraphedeliste"/>
        <w:numPr>
          <w:ilvl w:val="0"/>
          <w:numId w:val="9"/>
        </w:numPr>
      </w:pPr>
      <w:r w:rsidRPr="006309E1">
        <w:lastRenderedPageBreak/>
        <w:t>All the warnings such as “</w:t>
      </w:r>
      <w:r w:rsidR="00604681">
        <w:t>Applying sun care products or cosmetic formulations after repellent use will decrease the efficacy of the repellent considerably</w:t>
      </w:r>
      <w:r w:rsidRPr="006309E1">
        <w:t>”, “Do not apply over cuts, wounds, freshly shaven or irritated skin” and “Mechanical protection (clothing, mosquito nets) is to be preferred” must be mentioned on the label.</w:t>
      </w:r>
    </w:p>
    <w:p w14:paraId="44556731" w14:textId="77777777" w:rsidR="003839E7" w:rsidRDefault="003839E7" w:rsidP="00496A65">
      <w:pPr>
        <w:pStyle w:val="Titre4"/>
      </w:pPr>
      <w:bookmarkStart w:id="150" w:name="_Toc8296496"/>
      <w:r w:rsidRPr="00BD2EF1">
        <w:t xml:space="preserve">Relevant information if the product is intended to be </w:t>
      </w:r>
      <w:proofErr w:type="spellStart"/>
      <w:r w:rsidRPr="00BD2EF1">
        <w:t>authorised</w:t>
      </w:r>
      <w:proofErr w:type="spellEnd"/>
      <w:r w:rsidRPr="00BD2EF1">
        <w:t xml:space="preserve"> for use with other biocidal product(s)</w:t>
      </w:r>
      <w:bookmarkEnd w:id="146"/>
      <w:bookmarkEnd w:id="147"/>
      <w:bookmarkEnd w:id="148"/>
      <w:bookmarkEnd w:id="149"/>
      <w:bookmarkEnd w:id="150"/>
    </w:p>
    <w:p w14:paraId="1B649E97" w14:textId="77777777" w:rsidR="006309E1" w:rsidRPr="006309E1" w:rsidRDefault="006309E1" w:rsidP="00496A65">
      <w:r>
        <w:t>N.D.</w:t>
      </w:r>
    </w:p>
    <w:p w14:paraId="7E24CDE2" w14:textId="77777777" w:rsidR="003839E7" w:rsidRPr="00BD2EF1" w:rsidRDefault="003839E7" w:rsidP="00496A65"/>
    <w:p w14:paraId="64FB5ECB" w14:textId="77777777" w:rsidR="003839E7" w:rsidRPr="00BD2EF1" w:rsidRDefault="003839E7" w:rsidP="00496A65">
      <w:pPr>
        <w:sectPr w:rsidR="003839E7" w:rsidRPr="00BD2EF1" w:rsidSect="004C0A78">
          <w:pgSz w:w="11906" w:h="16838"/>
          <w:pgMar w:top="1247" w:right="1247" w:bottom="1247" w:left="1247" w:header="709" w:footer="709" w:gutter="0"/>
          <w:cols w:space="708"/>
          <w:docGrid w:linePitch="360"/>
        </w:sectPr>
      </w:pPr>
    </w:p>
    <w:p w14:paraId="694E027A" w14:textId="77777777" w:rsidR="00C47639" w:rsidRPr="00BD2EF1" w:rsidRDefault="00C47639" w:rsidP="00C47639">
      <w:pPr>
        <w:pStyle w:val="Titre3"/>
      </w:pPr>
      <w:bookmarkStart w:id="151" w:name="_Toc532391083"/>
      <w:bookmarkStart w:id="152" w:name="_Toc8296497"/>
      <w:r w:rsidRPr="00BD2EF1">
        <w:lastRenderedPageBreak/>
        <w:t>Risk assessment for human health</w:t>
      </w:r>
      <w:bookmarkEnd w:id="151"/>
      <w:bookmarkEnd w:id="152"/>
    </w:p>
    <w:p w14:paraId="70C203A5" w14:textId="77777777" w:rsidR="00C47639" w:rsidRDefault="00C47639" w:rsidP="00C47639">
      <w:pPr>
        <w:pStyle w:val="Titre4"/>
      </w:pPr>
      <w:bookmarkStart w:id="153" w:name="_Toc532391084"/>
      <w:bookmarkStart w:id="154" w:name="_Toc8296498"/>
      <w:r w:rsidRPr="00BD2EF1">
        <w:t>Assessment of effects on Human Health</w:t>
      </w:r>
      <w:bookmarkEnd w:id="153"/>
      <w:bookmarkEnd w:id="154"/>
    </w:p>
    <w:p w14:paraId="5E12BE69" w14:textId="77777777" w:rsidR="00C47639" w:rsidRDefault="00C47639" w:rsidP="00C47639">
      <w:pPr>
        <w:pStyle w:val="Standaard-Tabellen"/>
      </w:pPr>
      <w:r w:rsidRPr="004A74A8">
        <w:rPr>
          <w:iCs/>
          <w:lang w:eastAsia="en-US"/>
        </w:rPr>
        <w:t>A</w:t>
      </w:r>
      <w:r w:rsidRPr="005D4192">
        <w:rPr>
          <w:iCs/>
          <w:lang w:eastAsia="en-US"/>
        </w:rPr>
        <w:t xml:space="preserve">cute dermal toxicity, skin </w:t>
      </w:r>
      <w:r>
        <w:rPr>
          <w:iCs/>
          <w:lang w:eastAsia="en-US"/>
        </w:rPr>
        <w:t xml:space="preserve">and eye </w:t>
      </w:r>
      <w:r w:rsidRPr="005D4192">
        <w:rPr>
          <w:iCs/>
          <w:lang w:eastAsia="en-US"/>
        </w:rPr>
        <w:t xml:space="preserve">irritation </w:t>
      </w:r>
      <w:r>
        <w:rPr>
          <w:iCs/>
          <w:lang w:eastAsia="en-US"/>
        </w:rPr>
        <w:t>and</w:t>
      </w:r>
      <w:r w:rsidRPr="005D4192">
        <w:rPr>
          <w:iCs/>
          <w:lang w:eastAsia="en-US"/>
        </w:rPr>
        <w:t xml:space="preserve"> </w:t>
      </w:r>
      <w:proofErr w:type="spellStart"/>
      <w:r w:rsidRPr="005D4192">
        <w:rPr>
          <w:iCs/>
          <w:lang w:eastAsia="en-US"/>
        </w:rPr>
        <w:t>sensitising</w:t>
      </w:r>
      <w:proofErr w:type="spellEnd"/>
      <w:r w:rsidRPr="005D4192">
        <w:rPr>
          <w:iCs/>
          <w:lang w:eastAsia="en-US"/>
        </w:rPr>
        <w:t xml:space="preserve"> properties</w:t>
      </w:r>
      <w:r>
        <w:rPr>
          <w:iCs/>
          <w:lang w:eastAsia="en-US"/>
        </w:rPr>
        <w:t xml:space="preserve"> were assessed using formula </w:t>
      </w:r>
      <w:r>
        <w:t xml:space="preserve">EUS26-15 Insect Repellent Spray (US Pump Spray Formulation).  The test substance can be regarded as representative for the product under evaluation.  The main difference between the 2 formulas is the presence (EUS26-15) / absence (product under evaluation) of a small amount of denaturant.  The harmonized classification of the substance in question indicates that it will not affect the results of the properties tested. For details, see section 2.2.2 and </w:t>
      </w:r>
      <w:r w:rsidRPr="00606AB8">
        <w:t>confidential part of the PAR</w:t>
      </w:r>
      <w:r>
        <w:t>.</w:t>
      </w:r>
    </w:p>
    <w:p w14:paraId="101FAA86" w14:textId="77777777" w:rsidR="00C47639" w:rsidRPr="00BD2EF1" w:rsidRDefault="00C47639" w:rsidP="00C47639">
      <w:pPr>
        <w:pStyle w:val="Titre5"/>
        <w:rPr>
          <w:lang w:val="en-GB"/>
        </w:rPr>
      </w:pPr>
      <w:bookmarkStart w:id="155" w:name="_Toc532391085"/>
      <w:bookmarkStart w:id="156" w:name="_Toc8296499"/>
      <w:r w:rsidRPr="00BD2EF1">
        <w:rPr>
          <w:lang w:val="en-GB"/>
        </w:rPr>
        <w:t>Skin corrosion and irritation</w:t>
      </w:r>
      <w:bookmarkEnd w:id="155"/>
      <w:bookmarkEnd w:id="156"/>
    </w:p>
    <w:p w14:paraId="29DD8B22" w14:textId="77777777" w:rsidR="00C47639" w:rsidRPr="004F670F" w:rsidRDefault="00C47639" w:rsidP="00C47639">
      <w:pPr>
        <w:spacing w:line="260" w:lineRule="atLeast"/>
        <w:rPr>
          <w:iCs/>
        </w:rPr>
      </w:pPr>
      <w:r w:rsidRPr="004F670F">
        <w:rPr>
          <w:iCs/>
        </w:rPr>
        <w:t xml:space="preserve">New data for this section </w:t>
      </w:r>
      <w:r>
        <w:rPr>
          <w:iCs/>
        </w:rPr>
        <w:t>are</w:t>
      </w:r>
      <w:r w:rsidRPr="004F670F">
        <w:rPr>
          <w:iCs/>
        </w:rPr>
        <w:t xml:space="preserve"> due to differences in product composition.</w:t>
      </w:r>
    </w:p>
    <w:p w14:paraId="332F5086"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79"/>
        <w:gridCol w:w="1932"/>
        <w:gridCol w:w="5080"/>
        <w:gridCol w:w="2884"/>
        <w:gridCol w:w="1436"/>
      </w:tblGrid>
      <w:tr w:rsidR="00C47639" w:rsidRPr="00BD2EF1" w14:paraId="25484105" w14:textId="77777777" w:rsidTr="00C47639">
        <w:tc>
          <w:tcPr>
            <w:tcW w:w="5000" w:type="pct"/>
            <w:gridSpan w:val="6"/>
            <w:shd w:val="clear" w:color="auto" w:fill="FFFFCC"/>
          </w:tcPr>
          <w:p w14:paraId="3930EEDC" w14:textId="77777777" w:rsidR="00C47639" w:rsidRPr="00BD2EF1" w:rsidRDefault="00C47639" w:rsidP="00C47639">
            <w:pPr>
              <w:pStyle w:val="Standaard-Tabellen"/>
              <w:jc w:val="center"/>
              <w:rPr>
                <w:b/>
                <w:highlight w:val="cyan"/>
              </w:rPr>
            </w:pPr>
            <w:r w:rsidRPr="00BD2EF1">
              <w:rPr>
                <w:b/>
              </w:rPr>
              <w:t>Summary table of animal studies on skin corrosion /irritation</w:t>
            </w:r>
          </w:p>
        </w:tc>
      </w:tr>
      <w:tr w:rsidR="00C47639" w:rsidRPr="00BD2EF1" w14:paraId="08F599FC" w14:textId="77777777" w:rsidTr="00C47639">
        <w:tc>
          <w:tcPr>
            <w:tcW w:w="531" w:type="pct"/>
            <w:shd w:val="clear" w:color="auto" w:fill="BFBFBF" w:themeFill="background1" w:themeFillShade="BF"/>
          </w:tcPr>
          <w:p w14:paraId="5FF32126" w14:textId="77777777" w:rsidR="00C47639" w:rsidRPr="00BD2EF1" w:rsidRDefault="00C47639" w:rsidP="00C47639">
            <w:pPr>
              <w:pStyle w:val="Standaard-Tabellen"/>
              <w:rPr>
                <w:b/>
                <w:color w:val="000000"/>
                <w:szCs w:val="18"/>
              </w:rPr>
            </w:pPr>
            <w:r w:rsidRPr="00BD2EF1">
              <w:rPr>
                <w:b/>
                <w:color w:val="000000"/>
                <w:szCs w:val="18"/>
              </w:rPr>
              <w:t>Method,</w:t>
            </w:r>
            <w:r w:rsidRPr="00BD2EF1">
              <w:rPr>
                <w:b/>
                <w:color w:val="000000"/>
                <w:szCs w:val="18"/>
              </w:rPr>
              <w:br/>
              <w:t xml:space="preserve">Guideline, </w:t>
            </w:r>
          </w:p>
          <w:p w14:paraId="0D4BA1D3" w14:textId="77777777" w:rsidR="00C47639" w:rsidRPr="00BD2EF1" w:rsidRDefault="00C47639" w:rsidP="00C47639">
            <w:pPr>
              <w:pStyle w:val="Standaard-Tabellen"/>
              <w:rPr>
                <w:b/>
                <w:highlight w:val="cyan"/>
              </w:rPr>
            </w:pPr>
            <w:r w:rsidRPr="00BD2EF1">
              <w:rPr>
                <w:b/>
                <w:color w:val="000000"/>
                <w:szCs w:val="18"/>
              </w:rPr>
              <w:t>GLP status, Reliability</w:t>
            </w:r>
          </w:p>
        </w:tc>
        <w:tc>
          <w:tcPr>
            <w:tcW w:w="516" w:type="pct"/>
            <w:shd w:val="clear" w:color="auto" w:fill="BFBFBF" w:themeFill="background1" w:themeFillShade="BF"/>
          </w:tcPr>
          <w:p w14:paraId="298BC829" w14:textId="77777777" w:rsidR="00C47639" w:rsidRPr="00BD2EF1" w:rsidRDefault="00C47639" w:rsidP="00C47639">
            <w:pPr>
              <w:pStyle w:val="Standaard-Tabellen"/>
              <w:rPr>
                <w:b/>
                <w:highlight w:val="cyan"/>
              </w:rPr>
            </w:pPr>
            <w:r w:rsidRPr="00BD2EF1">
              <w:rPr>
                <w:b/>
              </w:rPr>
              <w:t>Species,</w:t>
            </w:r>
            <w:r w:rsidRPr="00BD2EF1">
              <w:rPr>
                <w:b/>
              </w:rPr>
              <w:br/>
              <w:t>Strain,</w:t>
            </w:r>
            <w:r w:rsidRPr="00BD2EF1">
              <w:rPr>
                <w:b/>
              </w:rPr>
              <w:br/>
              <w:t>Sex,</w:t>
            </w:r>
            <w:r w:rsidRPr="00BD2EF1">
              <w:rPr>
                <w:b/>
              </w:rPr>
              <w:br/>
              <w:t>No/group</w:t>
            </w:r>
          </w:p>
        </w:tc>
        <w:tc>
          <w:tcPr>
            <w:tcW w:w="674" w:type="pct"/>
            <w:shd w:val="clear" w:color="auto" w:fill="BFBFBF" w:themeFill="background1" w:themeFillShade="BF"/>
          </w:tcPr>
          <w:p w14:paraId="728AA2AF" w14:textId="77777777" w:rsidR="00C47639" w:rsidRPr="00BD2EF1" w:rsidRDefault="00C47639" w:rsidP="00C47639">
            <w:pPr>
              <w:pStyle w:val="Standaard-Tabellen"/>
              <w:rPr>
                <w:b/>
              </w:rPr>
            </w:pPr>
            <w:r w:rsidRPr="00BD2EF1">
              <w:rPr>
                <w:b/>
              </w:rPr>
              <w:t xml:space="preserve">Test substance, Vehicle, Dose levels, </w:t>
            </w:r>
            <w:r w:rsidRPr="00BD2EF1">
              <w:rPr>
                <w:b/>
              </w:rPr>
              <w:br/>
              <w:t>Duration of exposure</w:t>
            </w:r>
          </w:p>
        </w:tc>
        <w:tc>
          <w:tcPr>
            <w:tcW w:w="1772" w:type="pct"/>
            <w:shd w:val="clear" w:color="auto" w:fill="BFBFBF" w:themeFill="background1" w:themeFillShade="BF"/>
          </w:tcPr>
          <w:p w14:paraId="4B9012F4" w14:textId="77777777" w:rsidR="00C47639" w:rsidRPr="00BD2EF1" w:rsidRDefault="00C47639" w:rsidP="00C47639">
            <w:pPr>
              <w:pStyle w:val="Standaard-Tabellen"/>
              <w:rPr>
                <w:b/>
              </w:rPr>
            </w:pPr>
            <w:r w:rsidRPr="00BD2EF1">
              <w:rPr>
                <w:b/>
              </w:rPr>
              <w:t>Results</w:t>
            </w:r>
          </w:p>
          <w:p w14:paraId="7133EC62" w14:textId="77777777" w:rsidR="00C47639" w:rsidRPr="00D63744" w:rsidRDefault="00C47639" w:rsidP="00C47639">
            <w:pPr>
              <w:pStyle w:val="Standaard-Tabellen"/>
              <w:rPr>
                <w:i/>
              </w:rPr>
            </w:pPr>
            <w:r w:rsidRPr="00D63744">
              <w:rPr>
                <w:i/>
              </w:rPr>
              <w:t>Average score</w:t>
            </w:r>
            <w:r w:rsidRPr="00D63744">
              <w:t xml:space="preserve"> </w:t>
            </w:r>
            <w:r w:rsidRPr="00D63744">
              <w:rPr>
                <w:i/>
              </w:rPr>
              <w:t>(24, 48, 72h)/</w:t>
            </w:r>
          </w:p>
          <w:p w14:paraId="70007252" w14:textId="77777777" w:rsidR="00C47639" w:rsidRPr="00D63744" w:rsidRDefault="00C47639" w:rsidP="00C47639">
            <w:pPr>
              <w:pStyle w:val="Standaard-Tabellen"/>
              <w:rPr>
                <w:i/>
              </w:rPr>
            </w:pPr>
            <w:r w:rsidRPr="00D63744">
              <w:rPr>
                <w:i/>
              </w:rPr>
              <w:t>observations and time point of onset,  reversibility; other adverse local / systemic effects,  histopathological</w:t>
            </w:r>
          </w:p>
          <w:p w14:paraId="5C2EA468" w14:textId="77777777" w:rsidR="00C47639" w:rsidRPr="00D63744" w:rsidRDefault="00C47639" w:rsidP="00C47639">
            <w:pPr>
              <w:pStyle w:val="Standaard-Tabellen"/>
              <w:rPr>
                <w:i/>
              </w:rPr>
            </w:pPr>
            <w:r w:rsidRPr="00D63744">
              <w:rPr>
                <w:i/>
              </w:rPr>
              <w:t>findings</w:t>
            </w:r>
          </w:p>
          <w:p w14:paraId="046603ED" w14:textId="77777777" w:rsidR="00C47639" w:rsidRPr="00BD2EF1" w:rsidRDefault="00C47639" w:rsidP="00C47639">
            <w:pPr>
              <w:pStyle w:val="Standaard-Tabellen"/>
              <w:rPr>
                <w:b/>
              </w:rPr>
            </w:pPr>
          </w:p>
        </w:tc>
        <w:tc>
          <w:tcPr>
            <w:tcW w:w="1006" w:type="pct"/>
            <w:shd w:val="clear" w:color="auto" w:fill="BFBFBF" w:themeFill="background1" w:themeFillShade="BF"/>
          </w:tcPr>
          <w:p w14:paraId="58B13BEA" w14:textId="77777777" w:rsidR="00C47639" w:rsidRPr="00BD2EF1" w:rsidRDefault="00C47639" w:rsidP="00C47639">
            <w:pPr>
              <w:pStyle w:val="Standaard-Tabellen"/>
              <w:rPr>
                <w:b/>
              </w:rPr>
            </w:pPr>
            <w:r w:rsidRPr="00BD2EF1">
              <w:rPr>
                <w:b/>
              </w:rPr>
              <w:t xml:space="preserve">Remarks </w:t>
            </w:r>
            <w:r w:rsidRPr="00BD2EF1">
              <w:rPr>
                <w:b/>
                <w:i/>
              </w:rPr>
              <w:t>(e.g. major deviations)</w:t>
            </w:r>
          </w:p>
        </w:tc>
        <w:tc>
          <w:tcPr>
            <w:tcW w:w="501" w:type="pct"/>
            <w:shd w:val="clear" w:color="auto" w:fill="BFBFBF" w:themeFill="background1" w:themeFillShade="BF"/>
          </w:tcPr>
          <w:p w14:paraId="22546F47" w14:textId="77777777" w:rsidR="00C47639" w:rsidRPr="00BD2EF1" w:rsidRDefault="00C47639" w:rsidP="00C47639">
            <w:pPr>
              <w:pStyle w:val="Standaard-Tabellen"/>
              <w:rPr>
                <w:b/>
              </w:rPr>
            </w:pPr>
            <w:r w:rsidRPr="00BD2EF1">
              <w:rPr>
                <w:b/>
              </w:rPr>
              <w:t xml:space="preserve">Reference </w:t>
            </w:r>
          </w:p>
          <w:p w14:paraId="1C3DC685" w14:textId="77777777" w:rsidR="00C47639" w:rsidRPr="00BD2EF1" w:rsidRDefault="00C47639" w:rsidP="00C47639">
            <w:pPr>
              <w:pStyle w:val="Standaard-Tabellen"/>
              <w:rPr>
                <w:b/>
              </w:rPr>
            </w:pPr>
          </w:p>
        </w:tc>
      </w:tr>
      <w:tr w:rsidR="00C47639" w:rsidRPr="00BD2EF1" w14:paraId="1BCED019" w14:textId="77777777" w:rsidTr="00C47639">
        <w:tc>
          <w:tcPr>
            <w:tcW w:w="531" w:type="pct"/>
            <w:shd w:val="clear" w:color="auto" w:fill="auto"/>
          </w:tcPr>
          <w:p w14:paraId="51211ED4" w14:textId="77777777" w:rsidR="00C47639" w:rsidRPr="00464A29" w:rsidRDefault="00C47639" w:rsidP="00C47639">
            <w:pPr>
              <w:pStyle w:val="Standaard-Tabellen"/>
              <w:rPr>
                <w:lang w:val="de-DE"/>
              </w:rPr>
            </w:pPr>
            <w:r w:rsidRPr="00464A29">
              <w:rPr>
                <w:lang w:val="de-DE"/>
              </w:rPr>
              <w:t>OPPTS 870.2500</w:t>
            </w:r>
          </w:p>
          <w:p w14:paraId="7EA89363" w14:textId="77777777" w:rsidR="00C47639" w:rsidRPr="00464A29" w:rsidRDefault="00C47639" w:rsidP="00C47639">
            <w:pPr>
              <w:pStyle w:val="Standaard-Tabellen"/>
              <w:rPr>
                <w:lang w:val="de-DE"/>
              </w:rPr>
            </w:pPr>
            <w:r w:rsidRPr="00464A29">
              <w:rPr>
                <w:lang w:val="de-DE"/>
              </w:rPr>
              <w:t>OECD 404</w:t>
            </w:r>
          </w:p>
          <w:p w14:paraId="242B3E25" w14:textId="77777777" w:rsidR="00C47639" w:rsidRPr="00464A29" w:rsidRDefault="00C47639" w:rsidP="00C47639">
            <w:pPr>
              <w:pStyle w:val="Standaard-Tabellen"/>
              <w:rPr>
                <w:lang w:val="de-DE"/>
              </w:rPr>
            </w:pPr>
            <w:r w:rsidRPr="00464A29">
              <w:rPr>
                <w:lang w:val="de-DE"/>
              </w:rPr>
              <w:t>EU 92/69 Annex V, B4</w:t>
            </w:r>
          </w:p>
          <w:p w14:paraId="29FBCA9D" w14:textId="77777777" w:rsidR="00C47639" w:rsidRDefault="00C47639" w:rsidP="00C47639">
            <w:pPr>
              <w:pStyle w:val="Standaard-Tabellen"/>
            </w:pPr>
            <w:r>
              <w:t>GLP=yes</w:t>
            </w:r>
          </w:p>
          <w:p w14:paraId="3B98B337" w14:textId="77777777" w:rsidR="00C47639" w:rsidRPr="00BD2EF1" w:rsidRDefault="00C47639" w:rsidP="00C47639">
            <w:pPr>
              <w:pStyle w:val="Standaard-Tabellen"/>
            </w:pPr>
            <w:proofErr w:type="spellStart"/>
            <w:r>
              <w:t>Rel</w:t>
            </w:r>
            <w:proofErr w:type="spellEnd"/>
            <w:r>
              <w:t>=1</w:t>
            </w:r>
          </w:p>
        </w:tc>
        <w:tc>
          <w:tcPr>
            <w:tcW w:w="516" w:type="pct"/>
            <w:shd w:val="clear" w:color="auto" w:fill="auto"/>
          </w:tcPr>
          <w:p w14:paraId="6C201813" w14:textId="77777777" w:rsidR="00C47639" w:rsidRDefault="00C47639" w:rsidP="00C47639">
            <w:pPr>
              <w:pStyle w:val="Standaard-Tabellen"/>
            </w:pPr>
            <w:r>
              <w:t>Albino rabbit</w:t>
            </w:r>
          </w:p>
          <w:p w14:paraId="26487B9A" w14:textId="77777777" w:rsidR="00C47639" w:rsidRDefault="00C47639" w:rsidP="00C47639">
            <w:pPr>
              <w:pStyle w:val="Standaard-Tabellen"/>
            </w:pPr>
            <w:r>
              <w:t>New Zealand White</w:t>
            </w:r>
          </w:p>
          <w:p w14:paraId="45BA8F99" w14:textId="77777777" w:rsidR="00C47639" w:rsidRPr="00C27EE4" w:rsidRDefault="00C47639" w:rsidP="00C47639">
            <w:pPr>
              <w:pStyle w:val="Standaard-Tabellen"/>
            </w:pPr>
            <w:r>
              <w:t>2</w:t>
            </w:r>
            <w:r w:rsidRPr="00C27EE4">
              <w:rPr>
                <w:rFonts w:ascii="Segoe UI Symbol" w:hAnsi="Segoe UI Symbol" w:cs="Segoe UI Symbol"/>
              </w:rPr>
              <w:t>♂</w:t>
            </w:r>
            <w:r w:rsidRPr="00C27EE4">
              <w:t xml:space="preserve">, </w:t>
            </w:r>
            <w:r>
              <w:t>1</w:t>
            </w:r>
            <w:r w:rsidRPr="00C27EE4">
              <w:rPr>
                <w:rFonts w:ascii="Segoe UI Symbol" w:hAnsi="Segoe UI Symbol" w:cs="Segoe UI Symbol"/>
              </w:rPr>
              <w:t>♀</w:t>
            </w:r>
          </w:p>
          <w:p w14:paraId="2123B374" w14:textId="77777777" w:rsidR="00C47639" w:rsidRPr="00BD2EF1" w:rsidRDefault="00C47639" w:rsidP="00C47639">
            <w:pPr>
              <w:pStyle w:val="Standaard-Tabellen"/>
            </w:pPr>
            <w:r w:rsidRPr="00C27EE4">
              <w:t>1 test group, 3 animals</w:t>
            </w:r>
          </w:p>
        </w:tc>
        <w:tc>
          <w:tcPr>
            <w:tcW w:w="674" w:type="pct"/>
            <w:shd w:val="clear" w:color="auto" w:fill="auto"/>
          </w:tcPr>
          <w:p w14:paraId="71A83EEE" w14:textId="77777777" w:rsidR="00C47639" w:rsidRDefault="00C47639" w:rsidP="00C47639">
            <w:pPr>
              <w:pStyle w:val="Standaard-Tabellen"/>
            </w:pPr>
            <w:r>
              <w:t>EUS26-15 Insect Repellent Spray</w:t>
            </w:r>
          </w:p>
          <w:p w14:paraId="5E832FD6" w14:textId="77777777" w:rsidR="00C47639" w:rsidRDefault="00C47639" w:rsidP="00C47639">
            <w:pPr>
              <w:pStyle w:val="Standaard-Tabellen"/>
            </w:pPr>
            <w:r>
              <w:t>No vehicle</w:t>
            </w:r>
          </w:p>
          <w:p w14:paraId="69CF1CDA" w14:textId="77777777" w:rsidR="00C47639" w:rsidRDefault="00C47639" w:rsidP="00C47639">
            <w:pPr>
              <w:pStyle w:val="Standaard-Tabellen"/>
            </w:pPr>
            <w:r>
              <w:t>0.5 ml / 2.5 cm x 2.5 cm</w:t>
            </w:r>
          </w:p>
          <w:p w14:paraId="4992B78E" w14:textId="77777777" w:rsidR="00C47639" w:rsidRPr="00BD2EF1" w:rsidRDefault="00C47639" w:rsidP="00C47639">
            <w:pPr>
              <w:pStyle w:val="Standaard-Tabellen"/>
            </w:pPr>
            <w:r>
              <w:t>4h</w:t>
            </w:r>
          </w:p>
        </w:tc>
        <w:tc>
          <w:tcPr>
            <w:tcW w:w="1772" w:type="pct"/>
            <w:shd w:val="clear" w:color="auto" w:fill="auto"/>
          </w:tcPr>
          <w:p w14:paraId="1C988CB1" w14:textId="77777777" w:rsidR="00C47639" w:rsidRPr="00E23937" w:rsidRDefault="00C47639" w:rsidP="00C47639">
            <w:pPr>
              <w:pStyle w:val="Standaard-Tabellen"/>
              <w:rPr>
                <w:lang w:val="nl-BE"/>
              </w:rPr>
            </w:pPr>
            <w:r w:rsidRPr="00E23937">
              <w:rPr>
                <w:lang w:val="nl-BE"/>
              </w:rPr>
              <w:t xml:space="preserve">Erythema: </w:t>
            </w:r>
          </w:p>
          <w:p w14:paraId="235A2E6E" w14:textId="77777777" w:rsidR="00C47639" w:rsidRPr="00E23937" w:rsidRDefault="00C47639" w:rsidP="00C47639">
            <w:pPr>
              <w:pStyle w:val="Standaard-Tabellen"/>
              <w:rPr>
                <w:lang w:val="nl-BE"/>
              </w:rPr>
            </w:pPr>
            <w:r w:rsidRPr="00E23937">
              <w:rPr>
                <w:lang w:val="nl-BE"/>
              </w:rPr>
              <w:t xml:space="preserve">24h: </w:t>
            </w:r>
            <w:r>
              <w:rPr>
                <w:lang w:val="nl-BE"/>
              </w:rPr>
              <w:t>1.0</w:t>
            </w:r>
          </w:p>
          <w:p w14:paraId="55B3FA6A" w14:textId="77777777" w:rsidR="00C47639" w:rsidRPr="00E23937" w:rsidRDefault="00C47639" w:rsidP="00C47639">
            <w:pPr>
              <w:pStyle w:val="Standaard-Tabellen"/>
              <w:rPr>
                <w:lang w:val="nl-BE"/>
              </w:rPr>
            </w:pPr>
            <w:r w:rsidRPr="00E23937">
              <w:rPr>
                <w:lang w:val="nl-BE"/>
              </w:rPr>
              <w:t xml:space="preserve">48h: </w:t>
            </w:r>
            <w:r>
              <w:rPr>
                <w:lang w:val="nl-BE"/>
              </w:rPr>
              <w:t>0.6</w:t>
            </w:r>
          </w:p>
          <w:p w14:paraId="749AA725" w14:textId="77777777" w:rsidR="00C47639" w:rsidRPr="00D63744" w:rsidRDefault="00C47639" w:rsidP="00C47639">
            <w:pPr>
              <w:pStyle w:val="Standaard-Tabellen"/>
              <w:rPr>
                <w:lang w:val="nl-NL"/>
              </w:rPr>
            </w:pPr>
            <w:r w:rsidRPr="00D63744">
              <w:rPr>
                <w:lang w:val="nl-NL"/>
              </w:rPr>
              <w:t>72h: 1.0</w:t>
            </w:r>
          </w:p>
          <w:p w14:paraId="6C0B3332" w14:textId="77777777" w:rsidR="00C47639" w:rsidRPr="00D63744" w:rsidRDefault="00C47639" w:rsidP="00C47639">
            <w:pPr>
              <w:pStyle w:val="Standaard-Tabellen"/>
              <w:rPr>
                <w:lang w:val="nl-NL"/>
              </w:rPr>
            </w:pPr>
            <w:proofErr w:type="spellStart"/>
            <w:r w:rsidRPr="00D63744">
              <w:rPr>
                <w:lang w:val="nl-NL"/>
              </w:rPr>
              <w:t>Edema</w:t>
            </w:r>
            <w:proofErr w:type="spellEnd"/>
            <w:r w:rsidRPr="00D63744">
              <w:rPr>
                <w:lang w:val="nl-NL"/>
              </w:rPr>
              <w:t xml:space="preserve">: </w:t>
            </w:r>
          </w:p>
          <w:p w14:paraId="04B7EFA4" w14:textId="77777777" w:rsidR="00C47639" w:rsidRPr="00173F67" w:rsidRDefault="00C47639" w:rsidP="00C47639">
            <w:pPr>
              <w:pStyle w:val="Standaard-Tabellen"/>
            </w:pPr>
            <w:r w:rsidRPr="00173F67">
              <w:t xml:space="preserve">24h: </w:t>
            </w:r>
            <w:r>
              <w:t>1.0</w:t>
            </w:r>
          </w:p>
          <w:p w14:paraId="1F711E67" w14:textId="77777777" w:rsidR="00C47639" w:rsidRPr="00173F67" w:rsidRDefault="00C47639" w:rsidP="00C47639">
            <w:pPr>
              <w:pStyle w:val="Standaard-Tabellen"/>
            </w:pPr>
            <w:r w:rsidRPr="00173F67">
              <w:t>48h: 0.</w:t>
            </w:r>
            <w:r>
              <w:t>6</w:t>
            </w:r>
          </w:p>
          <w:p w14:paraId="51A81542" w14:textId="77777777" w:rsidR="00C47639" w:rsidRPr="00173F67" w:rsidRDefault="00C47639" w:rsidP="00C47639">
            <w:pPr>
              <w:pStyle w:val="Standaard-Tabellen"/>
            </w:pPr>
            <w:r w:rsidRPr="00173F67">
              <w:t>72h: 0.</w:t>
            </w:r>
            <w:r>
              <w:t>3</w:t>
            </w:r>
          </w:p>
          <w:p w14:paraId="38445586" w14:textId="77777777" w:rsidR="00C47639" w:rsidRDefault="00C47639" w:rsidP="00C47639">
            <w:pPr>
              <w:pStyle w:val="Standaard-Tabellen"/>
            </w:pPr>
            <w:r>
              <w:t>Very slight erythema and edema.</w:t>
            </w:r>
          </w:p>
          <w:p w14:paraId="3091D9A3" w14:textId="77777777" w:rsidR="00C47639" w:rsidRDefault="00C47639" w:rsidP="00C47639">
            <w:pPr>
              <w:pStyle w:val="Standaard-Tabellen"/>
            </w:pPr>
            <w:r>
              <w:t>Max score erythema 1, earliest onset 0.5-1h; max score edema 1, earliest onset 0.5-1h. Very slight erythema persisted for 2 animals through study termination.</w:t>
            </w:r>
          </w:p>
          <w:p w14:paraId="66570187" w14:textId="77777777" w:rsidR="00C47639" w:rsidRPr="00BD2EF1" w:rsidRDefault="00C47639" w:rsidP="00C47639">
            <w:pPr>
              <w:pStyle w:val="Standaard-Tabellen"/>
            </w:pPr>
            <w:r>
              <w:t xml:space="preserve">No deaths, no remarkable </w:t>
            </w:r>
            <w:proofErr w:type="spellStart"/>
            <w:r>
              <w:t>bw</w:t>
            </w:r>
            <w:proofErr w:type="spellEnd"/>
            <w:r>
              <w:t xml:space="preserve"> changes</w:t>
            </w:r>
          </w:p>
        </w:tc>
        <w:tc>
          <w:tcPr>
            <w:tcW w:w="1006" w:type="pct"/>
          </w:tcPr>
          <w:p w14:paraId="32E2848A" w14:textId="77777777" w:rsidR="00C47639" w:rsidRPr="00BD2EF1" w:rsidRDefault="00C47639" w:rsidP="00C47639">
            <w:pPr>
              <w:pStyle w:val="Standaard-Tabellen"/>
            </w:pPr>
            <w:r>
              <w:t>US Pump Spray Formulation</w:t>
            </w:r>
          </w:p>
        </w:tc>
        <w:tc>
          <w:tcPr>
            <w:tcW w:w="501" w:type="pct"/>
            <w:shd w:val="clear" w:color="auto" w:fill="auto"/>
          </w:tcPr>
          <w:p w14:paraId="37037C92" w14:textId="77777777" w:rsidR="00C47639" w:rsidRPr="00BD2EF1" w:rsidRDefault="00C47639" w:rsidP="00C47639">
            <w:pPr>
              <w:pStyle w:val="Standaard-Tabellen"/>
            </w:pPr>
            <w:proofErr w:type="spellStart"/>
            <w:r>
              <w:t>Hurley,J.M</w:t>
            </w:r>
            <w:proofErr w:type="spellEnd"/>
            <w:r>
              <w:t>. 2006 (a)</w:t>
            </w:r>
          </w:p>
        </w:tc>
      </w:tr>
    </w:tbl>
    <w:p w14:paraId="68120780" w14:textId="77777777" w:rsidR="00C47639" w:rsidRDefault="00C47639" w:rsidP="00C47639">
      <w:pPr>
        <w:spacing w:line="260" w:lineRule="atLeast"/>
        <w:rPr>
          <w:bCs/>
          <w:highlight w:val="yellow"/>
        </w:rPr>
      </w:pPr>
    </w:p>
    <w:p w14:paraId="16B6B117" w14:textId="77777777" w:rsidR="00C47639" w:rsidRDefault="00C47639" w:rsidP="00C47639">
      <w:pPr>
        <w:spacing w:before="0" w:after="160" w:line="259" w:lineRule="auto"/>
        <w:rPr>
          <w:bCs/>
          <w:highlight w:val="yellow"/>
        </w:rPr>
      </w:pPr>
      <w:r>
        <w:rPr>
          <w:bCs/>
          <w:highlight w:val="yellow"/>
        </w:rPr>
        <w:br w:type="page"/>
      </w:r>
    </w:p>
    <w:tbl>
      <w:tblPr>
        <w:tblStyle w:val="Grilledutableau"/>
        <w:tblW w:w="0" w:type="auto"/>
        <w:tblLook w:val="04A0" w:firstRow="1" w:lastRow="0" w:firstColumn="1" w:lastColumn="0" w:noHBand="0" w:noVBand="1"/>
      </w:tblPr>
      <w:tblGrid>
        <w:gridCol w:w="14334"/>
      </w:tblGrid>
      <w:tr w:rsidR="00C47639" w:rsidRPr="00D63744" w14:paraId="1A10ADC7" w14:textId="77777777" w:rsidTr="00C47639">
        <w:tc>
          <w:tcPr>
            <w:tcW w:w="14334" w:type="dxa"/>
            <w:shd w:val="clear" w:color="auto" w:fill="FFFFCC"/>
          </w:tcPr>
          <w:p w14:paraId="79B46EEF" w14:textId="77777777" w:rsidR="00C47639" w:rsidRPr="00D63744" w:rsidRDefault="00C47639" w:rsidP="00C47639">
            <w:pPr>
              <w:pStyle w:val="Standaard-Tabellen"/>
              <w:jc w:val="center"/>
              <w:rPr>
                <w:b/>
              </w:rPr>
            </w:pPr>
            <w:r>
              <w:rPr>
                <w:b/>
              </w:rPr>
              <w:lastRenderedPageBreak/>
              <w:t>I</w:t>
            </w:r>
            <w:r w:rsidRPr="00D63744">
              <w:rPr>
                <w:b/>
              </w:rPr>
              <w:t xml:space="preserve">ndividual and mean dermal scores for </w:t>
            </w:r>
            <w:r>
              <w:rPr>
                <w:b/>
              </w:rPr>
              <w:t>erythema and edema (Hurley, J.M., 2006 (a))</w:t>
            </w:r>
          </w:p>
        </w:tc>
      </w:tr>
      <w:tr w:rsidR="00C47639" w14:paraId="267E56F6" w14:textId="77777777" w:rsidTr="00C47639">
        <w:tc>
          <w:tcPr>
            <w:tcW w:w="14334" w:type="dxa"/>
          </w:tcPr>
          <w:p w14:paraId="0CE774F3" w14:textId="77777777" w:rsidR="00C47639" w:rsidRDefault="00C47639" w:rsidP="00C47639">
            <w:pPr>
              <w:pStyle w:val="Standaard-Tabellen"/>
              <w:rPr>
                <w:highlight w:val="yellow"/>
              </w:rPr>
            </w:pPr>
            <w:r w:rsidRPr="00B31E66">
              <w:rPr>
                <w:noProof/>
                <w:lang w:val="fr-FR" w:eastAsia="fr-FR"/>
              </w:rPr>
              <w:drawing>
                <wp:inline distT="0" distB="0" distL="0" distR="0" wp14:anchorId="7FE9D1C6" wp14:editId="48219D67">
                  <wp:extent cx="5848350" cy="20478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350" cy="2047875"/>
                          </a:xfrm>
                          <a:prstGeom prst="rect">
                            <a:avLst/>
                          </a:prstGeom>
                          <a:noFill/>
                          <a:ln>
                            <a:noFill/>
                          </a:ln>
                        </pic:spPr>
                      </pic:pic>
                    </a:graphicData>
                  </a:graphic>
                </wp:inline>
              </w:drawing>
            </w:r>
          </w:p>
        </w:tc>
      </w:tr>
    </w:tbl>
    <w:p w14:paraId="57DAD62F" w14:textId="77777777" w:rsidR="00C47639" w:rsidRPr="00A7430E" w:rsidRDefault="00C47639" w:rsidP="00C47639">
      <w:pPr>
        <w:rPr>
          <w:highlight w:val="yellow"/>
        </w:rPr>
      </w:pPr>
    </w:p>
    <w:p w14:paraId="0157B979" w14:textId="77777777" w:rsidR="00C47639" w:rsidRPr="00A7430E" w:rsidRDefault="00C47639" w:rsidP="00C47639">
      <w:r w:rsidRPr="00A7430E">
        <w:t xml:space="preserve">There were no deaths or remarkable body weight changes noted during the study. Dermal findings for the 4-hour exposure sites consisted of very slight erythema and edema (grade 1). Very slight erythema persisted for two animals through study termination. Based on the evaluation according to EU criteria, the mean scores at 24-72 hours for erythema and edema were calculated to be 0.89 and 0.67, respectively. </w:t>
      </w:r>
    </w:p>
    <w:p w14:paraId="1D72F5C1" w14:textId="77777777" w:rsidR="00C47639" w:rsidRPr="00A7430E" w:rsidRDefault="00C47639" w:rsidP="00C47639">
      <w:r w:rsidRPr="00A7430E">
        <w:t xml:space="preserve">The mean scores determined for erythema (0.89) and edema (0.67) do not require a classification according to the EU and GHS classification and labelling system. </w:t>
      </w:r>
    </w:p>
    <w:p w14:paraId="5E4AB9B1" w14:textId="77777777" w:rsidR="00C47639" w:rsidRPr="00A7430E" w:rsidRDefault="00C47639" w:rsidP="00C47639">
      <w:pPr>
        <w:rPr>
          <w:highlight w:val="yellow"/>
        </w:rPr>
      </w:pPr>
      <w:r w:rsidRPr="00A7430E">
        <w:t xml:space="preserve">Although erythema grade 1 (very slight erythema, barely perceptible, area of edges not well defined) persisted in two out of three animals until the end of the 14-day post-observation period, a classification as a potential skin irritant is not required. According to EU Directive 2001/59/EC or Regulation (EC) No. 1272/2008 (CLP), a classification as a skin irritant should be considered when </w:t>
      </w:r>
      <w:r w:rsidRPr="00A7430E">
        <w:rPr>
          <w:rFonts w:eastAsia="SimSun"/>
          <w:lang w:eastAsia="zh-CN"/>
        </w:rPr>
        <w:t>hyperplasia, hyperkeratosis, scaling, discoloration, fissures, scabs or alopecia</w:t>
      </w:r>
      <w:r w:rsidRPr="00A7430E">
        <w:t xml:space="preserve"> persist in two or more animals at the end of the observation period which has not been observed in the skin irritation study with Insect Repellent Pump Spray IR3535</w:t>
      </w:r>
      <w:r w:rsidRPr="00A7430E">
        <w:rPr>
          <w:vertAlign w:val="superscript"/>
        </w:rPr>
        <w:t>®</w:t>
      </w:r>
      <w:r w:rsidRPr="00A7430E">
        <w:t xml:space="preserve"> 20 %.</w:t>
      </w:r>
    </w:p>
    <w:p w14:paraId="73C292B4" w14:textId="77777777" w:rsidR="00C47639" w:rsidRPr="00A7430E" w:rsidRDefault="00C47639" w:rsidP="00C47639">
      <w:pPr>
        <w:rPr>
          <w:highlight w:val="yellow"/>
        </w:rPr>
      </w:pPr>
    </w:p>
    <w:p w14:paraId="0A82EBFE" w14:textId="77777777" w:rsidR="00C47639" w:rsidRPr="00BA34A3" w:rsidRDefault="00C47639" w:rsidP="00C47639">
      <w:pPr>
        <w:spacing w:line="260" w:lineRule="atLeast"/>
      </w:pPr>
      <w:r w:rsidRPr="00A85902">
        <w:rPr>
          <w:iCs/>
        </w:rPr>
        <w:t xml:space="preserve">No </w:t>
      </w:r>
      <w:r w:rsidRPr="00A85902">
        <w:rPr>
          <w:i/>
          <w:iCs/>
        </w:rPr>
        <w:t>in vitro</w:t>
      </w:r>
      <w:r w:rsidRPr="00A85902">
        <w:rPr>
          <w:iCs/>
        </w:rPr>
        <w:t xml:space="preserve"> or human data are available for skin corrosion/irritation.</w:t>
      </w:r>
    </w:p>
    <w:p w14:paraId="5BA438A0" w14:textId="77777777" w:rsidR="00C47639" w:rsidRPr="00D63744"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78"/>
        <w:gridCol w:w="10453"/>
      </w:tblGrid>
      <w:tr w:rsidR="00C47639" w:rsidRPr="00BD2EF1" w14:paraId="6CEC5DB2"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61D4BA9" w14:textId="77777777" w:rsidR="00C47639" w:rsidRPr="00BD2EF1" w:rsidRDefault="00C47639" w:rsidP="00C47639">
            <w:pPr>
              <w:rPr>
                <w:b/>
              </w:rPr>
            </w:pPr>
            <w:r w:rsidRPr="00BD2EF1">
              <w:rPr>
                <w:b/>
              </w:rPr>
              <w:t>Conclusion used in Risk Assessment – Skin corrosion and irritation</w:t>
            </w:r>
          </w:p>
        </w:tc>
      </w:tr>
      <w:tr w:rsidR="00C47639" w:rsidRPr="00BD2EF1" w14:paraId="30F97170" w14:textId="77777777" w:rsidTr="00C47639">
        <w:trPr>
          <w:trHeight w:val="298"/>
        </w:trPr>
        <w:tc>
          <w:tcPr>
            <w:tcW w:w="1353" w:type="pct"/>
            <w:tcBorders>
              <w:top w:val="single" w:sz="6" w:space="0" w:color="auto"/>
              <w:left w:val="single" w:sz="4" w:space="0" w:color="auto"/>
              <w:bottom w:val="single" w:sz="6" w:space="0" w:color="auto"/>
              <w:right w:val="single" w:sz="6" w:space="0" w:color="auto"/>
            </w:tcBorders>
            <w:shd w:val="clear" w:color="auto" w:fill="auto"/>
          </w:tcPr>
          <w:p w14:paraId="42D3648F" w14:textId="77777777" w:rsidR="00C47639" w:rsidRPr="00BD2EF1" w:rsidRDefault="00C47639" w:rsidP="00C47639">
            <w:r w:rsidRPr="00BD2EF1">
              <w:t>Value/conclusion</w:t>
            </w:r>
          </w:p>
        </w:tc>
        <w:tc>
          <w:tcPr>
            <w:tcW w:w="3647" w:type="pct"/>
            <w:tcBorders>
              <w:top w:val="single" w:sz="6" w:space="0" w:color="auto"/>
              <w:left w:val="single" w:sz="6" w:space="0" w:color="auto"/>
              <w:bottom w:val="single" w:sz="6" w:space="0" w:color="auto"/>
              <w:right w:val="single" w:sz="6" w:space="0" w:color="auto"/>
            </w:tcBorders>
          </w:tcPr>
          <w:p w14:paraId="42C59532" w14:textId="77777777" w:rsidR="00C47639" w:rsidRPr="00BD2EF1" w:rsidRDefault="00C47639" w:rsidP="00C47639">
            <w:r>
              <w:t xml:space="preserve">Biocidal product not classified for skin corrosion/irritation according to (EU) </w:t>
            </w:r>
            <w:proofErr w:type="spellStart"/>
            <w:r>
              <w:t>nr</w:t>
            </w:r>
            <w:proofErr w:type="spellEnd"/>
            <w:r>
              <w:t>. 1272/2008</w:t>
            </w:r>
          </w:p>
        </w:tc>
      </w:tr>
      <w:tr w:rsidR="00C47639" w:rsidRPr="00BD2EF1" w14:paraId="2C4CBC24" w14:textId="77777777" w:rsidTr="00C47639">
        <w:tc>
          <w:tcPr>
            <w:tcW w:w="1353" w:type="pct"/>
            <w:tcBorders>
              <w:top w:val="single" w:sz="6" w:space="0" w:color="auto"/>
              <w:left w:val="single" w:sz="4" w:space="0" w:color="auto"/>
              <w:bottom w:val="single" w:sz="6" w:space="0" w:color="auto"/>
              <w:right w:val="single" w:sz="6" w:space="0" w:color="auto"/>
            </w:tcBorders>
            <w:shd w:val="clear" w:color="auto" w:fill="auto"/>
          </w:tcPr>
          <w:p w14:paraId="6C819A18" w14:textId="77777777" w:rsidR="00C47639" w:rsidRPr="00BD2EF1" w:rsidRDefault="00C47639" w:rsidP="00C47639">
            <w:r w:rsidRPr="00BD2EF1">
              <w:t>Justification for the value/conclusion</w:t>
            </w:r>
          </w:p>
        </w:tc>
        <w:tc>
          <w:tcPr>
            <w:tcW w:w="3647" w:type="pct"/>
            <w:tcBorders>
              <w:top w:val="single" w:sz="6" w:space="0" w:color="auto"/>
              <w:left w:val="single" w:sz="6" w:space="0" w:color="auto"/>
              <w:bottom w:val="single" w:sz="6" w:space="0" w:color="auto"/>
              <w:right w:val="single" w:sz="6" w:space="0" w:color="auto"/>
            </w:tcBorders>
          </w:tcPr>
          <w:p w14:paraId="430184B4" w14:textId="77777777" w:rsidR="00C47639" w:rsidRPr="00BD2EF1" w:rsidRDefault="00C47639" w:rsidP="00C47639">
            <w:r>
              <w:t>M</w:t>
            </w:r>
            <w:r w:rsidRPr="00BA34A3">
              <w:t xml:space="preserve">ean scores for erythema </w:t>
            </w:r>
            <w:r>
              <w:t>a</w:t>
            </w:r>
            <w:r w:rsidRPr="00BA34A3">
              <w:t>nd edema do not trigger a classification</w:t>
            </w:r>
            <w:r>
              <w:t>. Severity of s</w:t>
            </w:r>
            <w:r w:rsidRPr="00BA34A3">
              <w:t xml:space="preserve">kin reactions </w:t>
            </w:r>
            <w:r>
              <w:t>that persisted to the end of the observation period was limited (erythema grade 1)</w:t>
            </w:r>
            <w:r w:rsidRPr="00BA34A3">
              <w:t>.</w:t>
            </w:r>
          </w:p>
        </w:tc>
      </w:tr>
      <w:tr w:rsidR="00C47639" w:rsidRPr="00BD2EF1" w14:paraId="40D5D9BE" w14:textId="77777777" w:rsidTr="00C47639">
        <w:tc>
          <w:tcPr>
            <w:tcW w:w="1353" w:type="pct"/>
            <w:tcBorders>
              <w:top w:val="single" w:sz="6" w:space="0" w:color="auto"/>
              <w:left w:val="single" w:sz="4" w:space="0" w:color="auto"/>
              <w:bottom w:val="single" w:sz="6" w:space="0" w:color="auto"/>
              <w:right w:val="single" w:sz="6" w:space="0" w:color="auto"/>
            </w:tcBorders>
            <w:shd w:val="clear" w:color="auto" w:fill="auto"/>
          </w:tcPr>
          <w:p w14:paraId="16DA8740" w14:textId="77777777" w:rsidR="00C47639" w:rsidRPr="00BD2EF1" w:rsidRDefault="00C47639" w:rsidP="00C47639">
            <w:r w:rsidRPr="00BD2EF1">
              <w:lastRenderedPageBreak/>
              <w:t>Classification of the product according to CLP and DSD</w:t>
            </w:r>
          </w:p>
        </w:tc>
        <w:tc>
          <w:tcPr>
            <w:tcW w:w="3647" w:type="pct"/>
            <w:tcBorders>
              <w:top w:val="single" w:sz="6" w:space="0" w:color="auto"/>
              <w:left w:val="single" w:sz="6" w:space="0" w:color="auto"/>
              <w:bottom w:val="single" w:sz="6" w:space="0" w:color="auto"/>
              <w:right w:val="single" w:sz="6" w:space="0" w:color="auto"/>
            </w:tcBorders>
          </w:tcPr>
          <w:p w14:paraId="58835161" w14:textId="77777777" w:rsidR="00C47639" w:rsidRPr="00BD2EF1" w:rsidRDefault="00C47639" w:rsidP="00C47639">
            <w:r>
              <w:t>none</w:t>
            </w:r>
          </w:p>
        </w:tc>
      </w:tr>
    </w:tbl>
    <w:p w14:paraId="670F3041" w14:textId="77777777" w:rsidR="00C47639" w:rsidRPr="00BD2EF1" w:rsidRDefault="00C47639" w:rsidP="00C47639">
      <w:pPr>
        <w:pStyle w:val="Titre5"/>
        <w:rPr>
          <w:lang w:val="en-GB"/>
        </w:rPr>
      </w:pPr>
      <w:bookmarkStart w:id="157" w:name="_Toc532391086"/>
      <w:bookmarkStart w:id="158" w:name="_Toc8296500"/>
      <w:r w:rsidRPr="00BD2EF1">
        <w:rPr>
          <w:lang w:val="en-GB"/>
        </w:rPr>
        <w:t>Eye Irritation</w:t>
      </w:r>
      <w:bookmarkEnd w:id="157"/>
      <w:bookmarkEnd w:id="158"/>
    </w:p>
    <w:p w14:paraId="4CBB0C79" w14:textId="77777777" w:rsidR="00C47639" w:rsidRPr="004F670F" w:rsidRDefault="00C47639" w:rsidP="00C47639">
      <w:pPr>
        <w:spacing w:line="260" w:lineRule="atLeast"/>
        <w:rPr>
          <w:iCs/>
        </w:rPr>
      </w:pPr>
      <w:r w:rsidRPr="004F670F">
        <w:rPr>
          <w:iCs/>
        </w:rPr>
        <w:t xml:space="preserve">New data for this section </w:t>
      </w:r>
      <w:r>
        <w:rPr>
          <w:iCs/>
        </w:rPr>
        <w:t>are</w:t>
      </w:r>
      <w:r w:rsidRPr="004F670F">
        <w:rPr>
          <w:iCs/>
        </w:rPr>
        <w:t xml:space="preserve"> due to differences in product composition.</w:t>
      </w:r>
    </w:p>
    <w:p w14:paraId="3EDA5626" w14:textId="77777777" w:rsidR="00C47639" w:rsidRPr="00BD2EF1" w:rsidRDefault="00C47639" w:rsidP="00C476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557"/>
        <w:gridCol w:w="2861"/>
        <w:gridCol w:w="3403"/>
        <w:gridCol w:w="3337"/>
        <w:gridCol w:w="1571"/>
      </w:tblGrid>
      <w:tr w:rsidR="00C47639" w:rsidRPr="00BD2EF1" w14:paraId="653BFE73" w14:textId="77777777" w:rsidTr="00C47639">
        <w:tc>
          <w:tcPr>
            <w:tcW w:w="5000" w:type="pct"/>
            <w:gridSpan w:val="6"/>
            <w:shd w:val="clear" w:color="auto" w:fill="FFFFCC"/>
          </w:tcPr>
          <w:p w14:paraId="5927C1A0" w14:textId="77777777" w:rsidR="00C47639" w:rsidRPr="00BD2EF1" w:rsidRDefault="00C47639" w:rsidP="00C47639">
            <w:pPr>
              <w:pStyle w:val="Standaard-Tabellen"/>
              <w:jc w:val="center"/>
              <w:rPr>
                <w:b/>
              </w:rPr>
            </w:pPr>
            <w:r w:rsidRPr="00BD2EF1">
              <w:rPr>
                <w:b/>
              </w:rPr>
              <w:t>Summary table of animal studies on serious eye damage and eye irritation</w:t>
            </w:r>
          </w:p>
        </w:tc>
      </w:tr>
      <w:tr w:rsidR="00C47639" w:rsidRPr="00BD2EF1" w14:paraId="0F1E8821" w14:textId="77777777" w:rsidTr="00C47639">
        <w:tc>
          <w:tcPr>
            <w:tcW w:w="560" w:type="pct"/>
            <w:shd w:val="clear" w:color="auto" w:fill="BFBFBF" w:themeFill="background1" w:themeFillShade="BF"/>
          </w:tcPr>
          <w:p w14:paraId="499D6E20" w14:textId="77777777" w:rsidR="00C47639" w:rsidRPr="00BD2EF1" w:rsidRDefault="00C47639" w:rsidP="00C47639">
            <w:pPr>
              <w:pStyle w:val="Standaard-Tabellen"/>
              <w:rPr>
                <w:b/>
              </w:rPr>
            </w:pPr>
            <w:r w:rsidRPr="00BD2EF1">
              <w:rPr>
                <w:b/>
              </w:rPr>
              <w:t>Method,</w:t>
            </w:r>
            <w:r w:rsidRPr="00BD2EF1">
              <w:rPr>
                <w:b/>
              </w:rPr>
              <w:br/>
              <w:t xml:space="preserve">Guideline, </w:t>
            </w:r>
          </w:p>
          <w:p w14:paraId="37968E21" w14:textId="77777777" w:rsidR="00C47639" w:rsidRPr="00BD2EF1" w:rsidRDefault="00C47639" w:rsidP="00C47639">
            <w:pPr>
              <w:pStyle w:val="Standaard-Tabellen"/>
              <w:rPr>
                <w:b/>
                <w:highlight w:val="cyan"/>
                <w:lang w:eastAsia="en-US"/>
              </w:rPr>
            </w:pPr>
            <w:r w:rsidRPr="00BD2EF1">
              <w:rPr>
                <w:b/>
              </w:rPr>
              <w:t>GLP status, Reliability</w:t>
            </w:r>
          </w:p>
        </w:tc>
        <w:tc>
          <w:tcPr>
            <w:tcW w:w="543" w:type="pct"/>
            <w:shd w:val="clear" w:color="auto" w:fill="BFBFBF" w:themeFill="background1" w:themeFillShade="BF"/>
          </w:tcPr>
          <w:p w14:paraId="25D74CED" w14:textId="77777777" w:rsidR="00C47639" w:rsidRPr="00BD2EF1" w:rsidRDefault="00C47639" w:rsidP="00C47639">
            <w:pPr>
              <w:pStyle w:val="Standaard-Tabellen"/>
              <w:rPr>
                <w:b/>
              </w:rPr>
            </w:pPr>
            <w:r w:rsidRPr="00BD2EF1">
              <w:rPr>
                <w:b/>
              </w:rPr>
              <w:t>Species,</w:t>
            </w:r>
            <w:r w:rsidRPr="00BD2EF1">
              <w:rPr>
                <w:b/>
              </w:rPr>
              <w:br/>
              <w:t>Strain,</w:t>
            </w:r>
            <w:r w:rsidRPr="00BD2EF1">
              <w:rPr>
                <w:b/>
              </w:rPr>
              <w:br/>
              <w:t>Sex,</w:t>
            </w:r>
            <w:r w:rsidRPr="00BD2EF1">
              <w:rPr>
                <w:b/>
              </w:rPr>
              <w:br/>
              <w:t>No/group</w:t>
            </w:r>
          </w:p>
        </w:tc>
        <w:tc>
          <w:tcPr>
            <w:tcW w:w="998" w:type="pct"/>
            <w:shd w:val="clear" w:color="auto" w:fill="BFBFBF" w:themeFill="background1" w:themeFillShade="BF"/>
          </w:tcPr>
          <w:p w14:paraId="4FAED7C5" w14:textId="77777777" w:rsidR="00C47639" w:rsidRPr="00BD2EF1" w:rsidRDefault="00C47639" w:rsidP="00C47639">
            <w:pPr>
              <w:pStyle w:val="Standaard-Tabellen"/>
              <w:rPr>
                <w:b/>
              </w:rPr>
            </w:pPr>
            <w:r w:rsidRPr="00BD2EF1">
              <w:rPr>
                <w:b/>
              </w:rPr>
              <w:t xml:space="preserve">Test </w:t>
            </w:r>
            <w:proofErr w:type="spellStart"/>
            <w:r w:rsidRPr="00BD2EF1">
              <w:rPr>
                <w:b/>
              </w:rPr>
              <w:t>substance,Dose</w:t>
            </w:r>
            <w:proofErr w:type="spellEnd"/>
            <w:r w:rsidRPr="00BD2EF1">
              <w:rPr>
                <w:b/>
              </w:rPr>
              <w:t xml:space="preserve"> levels, Duration of exposure</w:t>
            </w:r>
          </w:p>
        </w:tc>
        <w:tc>
          <w:tcPr>
            <w:tcW w:w="1187" w:type="pct"/>
            <w:shd w:val="clear" w:color="auto" w:fill="BFBFBF" w:themeFill="background1" w:themeFillShade="BF"/>
          </w:tcPr>
          <w:p w14:paraId="019878D6" w14:textId="77777777" w:rsidR="00C47639" w:rsidRPr="00BD2EF1" w:rsidRDefault="00C47639" w:rsidP="00C47639">
            <w:pPr>
              <w:pStyle w:val="Standaard-Tabellen"/>
              <w:rPr>
                <w:b/>
              </w:rPr>
            </w:pPr>
            <w:r w:rsidRPr="00BD2EF1">
              <w:rPr>
                <w:b/>
              </w:rPr>
              <w:t>Results</w:t>
            </w:r>
          </w:p>
          <w:p w14:paraId="51605C2B" w14:textId="77777777" w:rsidR="00C47639" w:rsidRPr="00BD2EF1" w:rsidRDefault="00C47639" w:rsidP="00C47639">
            <w:pPr>
              <w:pStyle w:val="Standaard-Tabellen"/>
              <w:rPr>
                <w:b/>
                <w:i/>
              </w:rPr>
            </w:pPr>
            <w:r w:rsidRPr="00BD2EF1">
              <w:rPr>
                <w:b/>
                <w:i/>
              </w:rPr>
              <w:t>Average score (24, 48, 72h)/</w:t>
            </w:r>
          </w:p>
          <w:p w14:paraId="78BCC0D3" w14:textId="77777777" w:rsidR="00C47639" w:rsidRPr="00BD2EF1" w:rsidRDefault="00C47639" w:rsidP="00C47639">
            <w:pPr>
              <w:pStyle w:val="Standaard-Tabellen"/>
              <w:rPr>
                <w:b/>
              </w:rPr>
            </w:pPr>
            <w:r w:rsidRPr="00BD2EF1">
              <w:rPr>
                <w:b/>
                <w:i/>
              </w:rPr>
              <w:t>observations and time point of onset, reversibility</w:t>
            </w:r>
          </w:p>
        </w:tc>
        <w:tc>
          <w:tcPr>
            <w:tcW w:w="1164" w:type="pct"/>
            <w:shd w:val="clear" w:color="auto" w:fill="BFBFBF" w:themeFill="background1" w:themeFillShade="BF"/>
          </w:tcPr>
          <w:p w14:paraId="7C3E56D5" w14:textId="77777777" w:rsidR="00C47639" w:rsidRPr="00BD2EF1" w:rsidRDefault="00C47639" w:rsidP="00C47639">
            <w:pPr>
              <w:pStyle w:val="Standaard-Tabellen"/>
              <w:rPr>
                <w:b/>
              </w:rPr>
            </w:pPr>
            <w:r w:rsidRPr="00BD2EF1">
              <w:rPr>
                <w:b/>
              </w:rPr>
              <w:t xml:space="preserve">Remarks </w:t>
            </w:r>
            <w:r w:rsidRPr="00BD2EF1">
              <w:rPr>
                <w:b/>
                <w:i/>
              </w:rPr>
              <w:t>(e.g. major deviations)</w:t>
            </w:r>
          </w:p>
        </w:tc>
        <w:tc>
          <w:tcPr>
            <w:tcW w:w="548" w:type="pct"/>
            <w:shd w:val="clear" w:color="auto" w:fill="BFBFBF" w:themeFill="background1" w:themeFillShade="BF"/>
          </w:tcPr>
          <w:p w14:paraId="7E963711" w14:textId="77777777" w:rsidR="00C47639" w:rsidRPr="00BD2EF1" w:rsidRDefault="00C47639" w:rsidP="00C47639">
            <w:pPr>
              <w:pStyle w:val="Standaard-Tabellen"/>
              <w:rPr>
                <w:b/>
              </w:rPr>
            </w:pPr>
            <w:r w:rsidRPr="00BD2EF1">
              <w:rPr>
                <w:b/>
              </w:rPr>
              <w:t xml:space="preserve">Reference </w:t>
            </w:r>
          </w:p>
          <w:p w14:paraId="63CB7398" w14:textId="77777777" w:rsidR="00C47639" w:rsidRPr="00BD2EF1" w:rsidRDefault="00C47639" w:rsidP="00C47639">
            <w:pPr>
              <w:pStyle w:val="Standaard-Tabellen"/>
              <w:rPr>
                <w:b/>
              </w:rPr>
            </w:pPr>
          </w:p>
        </w:tc>
      </w:tr>
      <w:tr w:rsidR="00C47639" w:rsidRPr="00BD2EF1" w14:paraId="655ACC49" w14:textId="77777777" w:rsidTr="00C47639">
        <w:tc>
          <w:tcPr>
            <w:tcW w:w="560" w:type="pct"/>
            <w:shd w:val="clear" w:color="auto" w:fill="auto"/>
          </w:tcPr>
          <w:p w14:paraId="215921C6" w14:textId="77777777" w:rsidR="00C47639" w:rsidRPr="00464A29" w:rsidRDefault="00C47639" w:rsidP="00C47639">
            <w:pPr>
              <w:pStyle w:val="Standaard-Tabellen"/>
              <w:rPr>
                <w:lang w:val="de-DE"/>
              </w:rPr>
            </w:pPr>
            <w:r w:rsidRPr="00464A29">
              <w:rPr>
                <w:lang w:val="de-DE"/>
              </w:rPr>
              <w:t>OPPTS 870.2400</w:t>
            </w:r>
          </w:p>
          <w:p w14:paraId="73715CDA" w14:textId="77777777" w:rsidR="00C47639" w:rsidRPr="00464A29" w:rsidRDefault="00C47639" w:rsidP="00C47639">
            <w:pPr>
              <w:pStyle w:val="Standaard-Tabellen"/>
              <w:rPr>
                <w:lang w:val="de-DE"/>
              </w:rPr>
            </w:pPr>
            <w:r w:rsidRPr="00464A29">
              <w:rPr>
                <w:lang w:val="de-DE"/>
              </w:rPr>
              <w:t>OECD 405</w:t>
            </w:r>
          </w:p>
          <w:p w14:paraId="5F0412AD" w14:textId="77777777" w:rsidR="00C47639" w:rsidRPr="00464A29" w:rsidRDefault="00C47639" w:rsidP="00C47639">
            <w:pPr>
              <w:pStyle w:val="Standaard-Tabellen"/>
              <w:rPr>
                <w:lang w:val="de-DE"/>
              </w:rPr>
            </w:pPr>
            <w:r w:rsidRPr="00464A29">
              <w:rPr>
                <w:lang w:val="de-DE"/>
              </w:rPr>
              <w:t>EU 92/69 Annex V, B5</w:t>
            </w:r>
          </w:p>
          <w:p w14:paraId="3A4D5DE0" w14:textId="77777777" w:rsidR="00C47639" w:rsidRDefault="00C47639" w:rsidP="00C47639">
            <w:pPr>
              <w:pStyle w:val="Standaard-Tabellen"/>
            </w:pPr>
            <w:r>
              <w:t>GLP=yes</w:t>
            </w:r>
          </w:p>
          <w:p w14:paraId="45172AD9" w14:textId="77777777" w:rsidR="00C47639" w:rsidRPr="00BD2EF1" w:rsidRDefault="00C47639" w:rsidP="00C47639">
            <w:pPr>
              <w:pStyle w:val="Standaard-Tabellen"/>
            </w:pPr>
            <w:proofErr w:type="spellStart"/>
            <w:r>
              <w:t>Rel</w:t>
            </w:r>
            <w:proofErr w:type="spellEnd"/>
            <w:r>
              <w:t>=1</w:t>
            </w:r>
          </w:p>
        </w:tc>
        <w:tc>
          <w:tcPr>
            <w:tcW w:w="543" w:type="pct"/>
            <w:shd w:val="clear" w:color="auto" w:fill="auto"/>
          </w:tcPr>
          <w:p w14:paraId="24D3A3D2" w14:textId="77777777" w:rsidR="00C47639" w:rsidRDefault="00C47639" w:rsidP="00C47639">
            <w:pPr>
              <w:pStyle w:val="Standaard-Tabellen"/>
            </w:pPr>
            <w:r>
              <w:t>Albino rabbit</w:t>
            </w:r>
          </w:p>
          <w:p w14:paraId="664072B9" w14:textId="77777777" w:rsidR="00C47639" w:rsidRDefault="00C47639" w:rsidP="00C47639">
            <w:pPr>
              <w:pStyle w:val="Standaard-Tabellen"/>
            </w:pPr>
            <w:r>
              <w:t>New Zealand White</w:t>
            </w:r>
          </w:p>
          <w:p w14:paraId="517E0F54" w14:textId="77777777" w:rsidR="00C47639" w:rsidRPr="00C27EE4" w:rsidRDefault="00C47639" w:rsidP="00C47639">
            <w:pPr>
              <w:pStyle w:val="Standaard-Tabellen"/>
            </w:pPr>
            <w:r>
              <w:t>2</w:t>
            </w:r>
            <w:r w:rsidRPr="00C27EE4">
              <w:rPr>
                <w:rFonts w:ascii="Segoe UI Symbol" w:hAnsi="Segoe UI Symbol" w:cs="Segoe UI Symbol"/>
              </w:rPr>
              <w:t>♂</w:t>
            </w:r>
            <w:r w:rsidRPr="00C27EE4">
              <w:t xml:space="preserve">, </w:t>
            </w:r>
            <w:r>
              <w:t>1</w:t>
            </w:r>
            <w:r w:rsidRPr="00C27EE4">
              <w:rPr>
                <w:rFonts w:ascii="Segoe UI Symbol" w:hAnsi="Segoe UI Symbol" w:cs="Segoe UI Symbol"/>
              </w:rPr>
              <w:t>♀</w:t>
            </w:r>
          </w:p>
          <w:p w14:paraId="6C1EE779" w14:textId="77777777" w:rsidR="00C47639" w:rsidRPr="00BD2EF1" w:rsidRDefault="00C47639" w:rsidP="00C47639">
            <w:pPr>
              <w:pStyle w:val="Standaard-Tabellen"/>
            </w:pPr>
            <w:r w:rsidRPr="00C27EE4">
              <w:t>1 test group, 3 animals</w:t>
            </w:r>
          </w:p>
        </w:tc>
        <w:tc>
          <w:tcPr>
            <w:tcW w:w="998" w:type="pct"/>
            <w:shd w:val="clear" w:color="auto" w:fill="auto"/>
          </w:tcPr>
          <w:p w14:paraId="78A3049D" w14:textId="77777777" w:rsidR="00C47639" w:rsidRDefault="00C47639" w:rsidP="00C47639">
            <w:pPr>
              <w:pStyle w:val="Standaard-Tabellen"/>
            </w:pPr>
            <w:r>
              <w:t>EUS26-15 Insect Repellent Spray</w:t>
            </w:r>
          </w:p>
          <w:p w14:paraId="20F4FE63" w14:textId="77777777" w:rsidR="00C47639" w:rsidRDefault="00C47639" w:rsidP="00C47639">
            <w:pPr>
              <w:pStyle w:val="Standaard-Tabellen"/>
            </w:pPr>
            <w:r>
              <w:t>No vehicle</w:t>
            </w:r>
          </w:p>
          <w:p w14:paraId="71CFDF79" w14:textId="77777777" w:rsidR="00C47639" w:rsidRDefault="00C47639" w:rsidP="00C47639">
            <w:pPr>
              <w:pStyle w:val="Standaard-Tabellen"/>
            </w:pPr>
            <w:r>
              <w:t>0.1ml</w:t>
            </w:r>
          </w:p>
          <w:p w14:paraId="4EBD180C" w14:textId="77777777" w:rsidR="00C47639" w:rsidRPr="00BD2EF1" w:rsidRDefault="00C47639" w:rsidP="00C47639">
            <w:pPr>
              <w:pStyle w:val="Standaard-Tabellen"/>
            </w:pPr>
            <w:r>
              <w:t>1 single unwashed exposure</w:t>
            </w:r>
          </w:p>
        </w:tc>
        <w:tc>
          <w:tcPr>
            <w:tcW w:w="1187" w:type="pct"/>
            <w:shd w:val="clear" w:color="auto" w:fill="auto"/>
          </w:tcPr>
          <w:p w14:paraId="47505E33" w14:textId="77777777" w:rsidR="00C47639" w:rsidRPr="00AE4416" w:rsidRDefault="00C47639" w:rsidP="00C47639">
            <w:pPr>
              <w:pStyle w:val="Standaard-Tabellen"/>
            </w:pPr>
            <w:r w:rsidRPr="00AE4416">
              <w:t>Cornea:</w:t>
            </w:r>
          </w:p>
          <w:p w14:paraId="713A9C32" w14:textId="77777777" w:rsidR="00C47639" w:rsidRPr="00AE4416" w:rsidRDefault="00C47639" w:rsidP="00C47639">
            <w:pPr>
              <w:pStyle w:val="Standaard-Tabellen"/>
            </w:pPr>
            <w:r w:rsidRPr="00AE4416">
              <w:t xml:space="preserve">24h: </w:t>
            </w:r>
            <w:r>
              <w:t>2.0</w:t>
            </w:r>
          </w:p>
          <w:p w14:paraId="708729EA" w14:textId="77777777" w:rsidR="00C47639" w:rsidRPr="00AE4416" w:rsidRDefault="00C47639" w:rsidP="00C47639">
            <w:pPr>
              <w:pStyle w:val="Standaard-Tabellen"/>
            </w:pPr>
            <w:r w:rsidRPr="00AE4416">
              <w:t xml:space="preserve">48h: </w:t>
            </w:r>
            <w:r>
              <w:t>1.3</w:t>
            </w:r>
          </w:p>
          <w:p w14:paraId="0C5FEAAD" w14:textId="77777777" w:rsidR="00C47639" w:rsidRPr="00AE4416" w:rsidRDefault="00C47639" w:rsidP="00C47639">
            <w:pPr>
              <w:pStyle w:val="Standaard-Tabellen"/>
            </w:pPr>
            <w:r w:rsidRPr="00AE4416">
              <w:t xml:space="preserve">72h: </w:t>
            </w:r>
            <w:r>
              <w:t>1</w:t>
            </w:r>
            <w:r w:rsidRPr="00AE4416">
              <w:t>.0</w:t>
            </w:r>
          </w:p>
          <w:p w14:paraId="56BA9B47" w14:textId="77777777" w:rsidR="00C47639" w:rsidRPr="00AE4416" w:rsidRDefault="00C47639" w:rsidP="00C47639">
            <w:pPr>
              <w:pStyle w:val="Standaard-Tabellen"/>
            </w:pPr>
          </w:p>
          <w:p w14:paraId="4FE3E7FB" w14:textId="77777777" w:rsidR="00C47639" w:rsidRPr="00AE4416" w:rsidRDefault="00C47639" w:rsidP="00C47639">
            <w:pPr>
              <w:pStyle w:val="Standaard-Tabellen"/>
            </w:pPr>
            <w:r w:rsidRPr="00AE4416">
              <w:t>Iris:</w:t>
            </w:r>
          </w:p>
          <w:p w14:paraId="75476551" w14:textId="77777777" w:rsidR="00C47639" w:rsidRPr="00AE4416" w:rsidRDefault="00C47639" w:rsidP="00C47639">
            <w:pPr>
              <w:pStyle w:val="Standaard-Tabellen"/>
            </w:pPr>
            <w:r w:rsidRPr="00AE4416">
              <w:t>24h: 0.0</w:t>
            </w:r>
          </w:p>
          <w:p w14:paraId="4F06CC29" w14:textId="77777777" w:rsidR="00C47639" w:rsidRPr="00AE4416" w:rsidRDefault="00C47639" w:rsidP="00C47639">
            <w:pPr>
              <w:pStyle w:val="Standaard-Tabellen"/>
            </w:pPr>
            <w:r w:rsidRPr="00AE4416">
              <w:t>48h: 0.0</w:t>
            </w:r>
          </w:p>
          <w:p w14:paraId="52D324EC" w14:textId="77777777" w:rsidR="00C47639" w:rsidRPr="00AE4416" w:rsidRDefault="00C47639" w:rsidP="00C47639">
            <w:pPr>
              <w:pStyle w:val="Standaard-Tabellen"/>
            </w:pPr>
            <w:r w:rsidRPr="00AE4416">
              <w:t>72h: 0.0</w:t>
            </w:r>
          </w:p>
          <w:p w14:paraId="093C5E62" w14:textId="77777777" w:rsidR="00C47639" w:rsidRPr="00AE4416" w:rsidRDefault="00C47639" w:rsidP="00C47639">
            <w:pPr>
              <w:pStyle w:val="Standaard-Tabellen"/>
            </w:pPr>
          </w:p>
          <w:p w14:paraId="6BFD979C" w14:textId="77777777" w:rsidR="00C47639" w:rsidRPr="00AE4416" w:rsidRDefault="00C47639" w:rsidP="00C47639">
            <w:pPr>
              <w:pStyle w:val="Standaard-Tabellen"/>
            </w:pPr>
            <w:r w:rsidRPr="00AE4416">
              <w:t>Conjunctiva; redness:</w:t>
            </w:r>
          </w:p>
          <w:p w14:paraId="7AAE3CD8" w14:textId="77777777" w:rsidR="00C47639" w:rsidRPr="00AE4416" w:rsidRDefault="00C47639" w:rsidP="00C47639">
            <w:pPr>
              <w:pStyle w:val="Standaard-Tabellen"/>
            </w:pPr>
            <w:r w:rsidRPr="00AE4416">
              <w:t xml:space="preserve">24h: </w:t>
            </w:r>
            <w:r>
              <w:t>3</w:t>
            </w:r>
            <w:r w:rsidRPr="00AE4416">
              <w:t>.0</w:t>
            </w:r>
          </w:p>
          <w:p w14:paraId="0961305F" w14:textId="77777777" w:rsidR="00C47639" w:rsidRPr="00AE4416" w:rsidRDefault="00C47639" w:rsidP="00C47639">
            <w:pPr>
              <w:pStyle w:val="Standaard-Tabellen"/>
            </w:pPr>
            <w:r w:rsidRPr="00AE4416">
              <w:t xml:space="preserve">48h: </w:t>
            </w:r>
            <w:r>
              <w:t>3.0</w:t>
            </w:r>
          </w:p>
          <w:p w14:paraId="70895066" w14:textId="77777777" w:rsidR="00C47639" w:rsidRPr="00AE4416" w:rsidRDefault="00C47639" w:rsidP="00C47639">
            <w:pPr>
              <w:pStyle w:val="Standaard-Tabellen"/>
            </w:pPr>
            <w:r w:rsidRPr="00AE4416">
              <w:t xml:space="preserve">72h: </w:t>
            </w:r>
            <w:r>
              <w:t>2.3</w:t>
            </w:r>
          </w:p>
          <w:p w14:paraId="5EDE597B" w14:textId="77777777" w:rsidR="00C47639" w:rsidRPr="00AE4416" w:rsidRDefault="00C47639" w:rsidP="00C47639">
            <w:pPr>
              <w:pStyle w:val="Standaard-Tabellen"/>
            </w:pPr>
          </w:p>
          <w:p w14:paraId="131BAA6A" w14:textId="77777777" w:rsidR="00C47639" w:rsidRPr="00AE4416" w:rsidRDefault="00C47639" w:rsidP="00C47639">
            <w:pPr>
              <w:pStyle w:val="Standaard-Tabellen"/>
            </w:pPr>
            <w:r w:rsidRPr="00AE4416">
              <w:t xml:space="preserve">Conjunctiva; </w:t>
            </w:r>
            <w:proofErr w:type="spellStart"/>
            <w:r w:rsidRPr="00AE4416">
              <w:t>chemosis</w:t>
            </w:r>
            <w:proofErr w:type="spellEnd"/>
            <w:r w:rsidRPr="00AE4416">
              <w:t>:</w:t>
            </w:r>
          </w:p>
          <w:p w14:paraId="2765591C" w14:textId="77777777" w:rsidR="00C47639" w:rsidRPr="00AE4416" w:rsidRDefault="00C47639" w:rsidP="00C47639">
            <w:pPr>
              <w:pStyle w:val="Standaard-Tabellen"/>
            </w:pPr>
            <w:r w:rsidRPr="00AE4416">
              <w:t xml:space="preserve">24h: </w:t>
            </w:r>
            <w:r>
              <w:t>2.3</w:t>
            </w:r>
          </w:p>
          <w:p w14:paraId="76184E47" w14:textId="77777777" w:rsidR="00C47639" w:rsidRPr="00AE4416" w:rsidRDefault="00C47639" w:rsidP="00C47639">
            <w:pPr>
              <w:pStyle w:val="Standaard-Tabellen"/>
            </w:pPr>
            <w:r w:rsidRPr="00AE4416">
              <w:t xml:space="preserve">48h: </w:t>
            </w:r>
            <w:r>
              <w:t>2.3</w:t>
            </w:r>
          </w:p>
          <w:p w14:paraId="1D7FE218" w14:textId="77777777" w:rsidR="00C47639" w:rsidRDefault="00C47639" w:rsidP="00C47639">
            <w:pPr>
              <w:pStyle w:val="Standaard-Tabellen"/>
            </w:pPr>
            <w:r w:rsidRPr="00AE4416">
              <w:t xml:space="preserve">72h: </w:t>
            </w:r>
            <w:r>
              <w:t>2.0</w:t>
            </w:r>
          </w:p>
          <w:p w14:paraId="4E118690" w14:textId="77777777" w:rsidR="00C47639" w:rsidRDefault="00C47639" w:rsidP="00C47639">
            <w:pPr>
              <w:pStyle w:val="Standaard-Tabellen"/>
            </w:pPr>
            <w:r w:rsidRPr="00AE4416">
              <w:t>Reversibility: Yes</w:t>
            </w:r>
          </w:p>
          <w:p w14:paraId="116425F8" w14:textId="77777777" w:rsidR="00C47639" w:rsidRDefault="00C47639" w:rsidP="00C47639">
            <w:pPr>
              <w:pStyle w:val="Standaard-Tabellen"/>
            </w:pPr>
            <w:r>
              <w:t>Earliest onset for all symptoms: 1h</w:t>
            </w:r>
          </w:p>
          <w:p w14:paraId="4A1164E6" w14:textId="77777777" w:rsidR="00C47639" w:rsidRDefault="00C47639" w:rsidP="00C47639">
            <w:pPr>
              <w:pStyle w:val="Standaard-Tabellen"/>
            </w:pPr>
            <w:r>
              <w:t xml:space="preserve">Max scores: cornea 2, conjunctiva, redness 3, conjunctiva, </w:t>
            </w:r>
            <w:proofErr w:type="spellStart"/>
            <w:r>
              <w:t>chemosis</w:t>
            </w:r>
            <w:proofErr w:type="spellEnd"/>
            <w:r>
              <w:t xml:space="preserve"> 4</w:t>
            </w:r>
          </w:p>
          <w:p w14:paraId="1858A22D" w14:textId="77777777" w:rsidR="00C47639" w:rsidRDefault="00C47639" w:rsidP="00C47639">
            <w:pPr>
              <w:pStyle w:val="Standaard-Tabellen"/>
            </w:pPr>
            <w:r>
              <w:t>Reversible at d14</w:t>
            </w:r>
          </w:p>
          <w:p w14:paraId="1B524AED" w14:textId="77777777" w:rsidR="00C47639" w:rsidRPr="00BD2EF1" w:rsidRDefault="00C47639" w:rsidP="00C47639">
            <w:pPr>
              <w:pStyle w:val="Standaard-Tabellen"/>
            </w:pPr>
            <w:r>
              <w:t>2 out of 3 animals: average corneal opacity ≥1, average conjunctival redness ≥2</w:t>
            </w:r>
          </w:p>
        </w:tc>
        <w:tc>
          <w:tcPr>
            <w:tcW w:w="1164" w:type="pct"/>
            <w:shd w:val="clear" w:color="auto" w:fill="auto"/>
          </w:tcPr>
          <w:p w14:paraId="3F1130E0" w14:textId="77777777" w:rsidR="00C47639" w:rsidRPr="00BD2EF1" w:rsidRDefault="00C47639" w:rsidP="00C47639">
            <w:pPr>
              <w:pStyle w:val="Standaard-Tabellen"/>
            </w:pPr>
            <w:r>
              <w:t xml:space="preserve">US Pump Spray </w:t>
            </w:r>
            <w:r w:rsidRPr="00DD0085">
              <w:t>Formulation</w:t>
            </w:r>
          </w:p>
        </w:tc>
        <w:tc>
          <w:tcPr>
            <w:tcW w:w="548" w:type="pct"/>
          </w:tcPr>
          <w:p w14:paraId="118CE5DB" w14:textId="77777777" w:rsidR="00C47639" w:rsidRPr="00BD2EF1" w:rsidRDefault="00C47639" w:rsidP="00C47639">
            <w:pPr>
              <w:pStyle w:val="Standaard-Tabellen"/>
            </w:pPr>
            <w:r>
              <w:t>Hurley, J.M. (2006) (b)</w:t>
            </w:r>
          </w:p>
        </w:tc>
      </w:tr>
    </w:tbl>
    <w:p w14:paraId="675C0288" w14:textId="77777777" w:rsidR="00C47639" w:rsidRDefault="00C47639" w:rsidP="00C47639"/>
    <w:tbl>
      <w:tblPr>
        <w:tblStyle w:val="Grilledutableau"/>
        <w:tblW w:w="0" w:type="auto"/>
        <w:tblLook w:val="04A0" w:firstRow="1" w:lastRow="0" w:firstColumn="1" w:lastColumn="0" w:noHBand="0" w:noVBand="1"/>
      </w:tblPr>
      <w:tblGrid>
        <w:gridCol w:w="14334"/>
      </w:tblGrid>
      <w:tr w:rsidR="00C47639" w:rsidRPr="00D63744" w14:paraId="781DDDFF" w14:textId="77777777" w:rsidTr="00C47639">
        <w:tc>
          <w:tcPr>
            <w:tcW w:w="14334" w:type="dxa"/>
            <w:shd w:val="clear" w:color="auto" w:fill="FFFFCC"/>
          </w:tcPr>
          <w:p w14:paraId="4FD9F877" w14:textId="77777777" w:rsidR="00C47639" w:rsidRPr="00D63744" w:rsidRDefault="00C47639" w:rsidP="00C47639">
            <w:pPr>
              <w:pStyle w:val="Standaard-Tabellen"/>
              <w:jc w:val="center"/>
              <w:rPr>
                <w:b/>
              </w:rPr>
            </w:pPr>
            <w:r>
              <w:rPr>
                <w:b/>
              </w:rPr>
              <w:t>I</w:t>
            </w:r>
            <w:r w:rsidRPr="00D63744">
              <w:rPr>
                <w:b/>
              </w:rPr>
              <w:t xml:space="preserve">ndividual </w:t>
            </w:r>
            <w:r>
              <w:rPr>
                <w:b/>
              </w:rPr>
              <w:t>Total Scores and for Ocular Irritation (Hurley, J.M., 2006 (b))</w:t>
            </w:r>
          </w:p>
        </w:tc>
      </w:tr>
      <w:tr w:rsidR="00C47639" w14:paraId="51C6B68C" w14:textId="77777777" w:rsidTr="00C47639">
        <w:tc>
          <w:tcPr>
            <w:tcW w:w="14334" w:type="dxa"/>
          </w:tcPr>
          <w:p w14:paraId="2CDA67A4" w14:textId="77777777" w:rsidR="00C47639" w:rsidRDefault="00C47639" w:rsidP="00C47639">
            <w:pPr>
              <w:pStyle w:val="Standaard-Tabellen"/>
              <w:rPr>
                <w:highlight w:val="yellow"/>
              </w:rPr>
            </w:pPr>
            <w:r>
              <w:rPr>
                <w:rFonts w:ascii="Times New Roman" w:hAnsi="Times New Roman"/>
                <w:iCs/>
                <w:noProof/>
                <w:lang w:val="fr-FR" w:eastAsia="fr-FR"/>
              </w:rPr>
              <w:drawing>
                <wp:inline distT="0" distB="0" distL="0" distR="0" wp14:anchorId="4CA057A7" wp14:editId="3E4F7656">
                  <wp:extent cx="5867400" cy="35909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7400" cy="3590925"/>
                          </a:xfrm>
                          <a:prstGeom prst="rect">
                            <a:avLst/>
                          </a:prstGeom>
                          <a:noFill/>
                          <a:ln>
                            <a:noFill/>
                          </a:ln>
                        </pic:spPr>
                      </pic:pic>
                    </a:graphicData>
                  </a:graphic>
                </wp:inline>
              </w:drawing>
            </w:r>
          </w:p>
        </w:tc>
      </w:tr>
    </w:tbl>
    <w:p w14:paraId="4F560CFF" w14:textId="77777777" w:rsidR="00C47639" w:rsidRDefault="00C47639" w:rsidP="00C47639">
      <w:pPr>
        <w:rPr>
          <w:highlight w:val="yellow"/>
        </w:rPr>
      </w:pPr>
    </w:p>
    <w:p w14:paraId="333D814F" w14:textId="77777777" w:rsidR="00C47639" w:rsidRDefault="00C47639" w:rsidP="00C47639">
      <w:pPr>
        <w:rPr>
          <w:highlight w:val="yellow"/>
        </w:rPr>
      </w:pPr>
      <w:r w:rsidRPr="00041C8A">
        <w:t xml:space="preserve">There were no deaths or remarkable body weight changes noted during the study. Positive corneal and conjunctival irritations were noted for all animals. Corneal irritation subsided by study day 10 and </w:t>
      </w:r>
      <w:r w:rsidRPr="004E7268">
        <w:t xml:space="preserve">conjunctival irritation </w:t>
      </w:r>
      <w:r>
        <w:t>subsided by study day 14</w:t>
      </w:r>
      <w:r w:rsidRPr="00041C8A">
        <w:t xml:space="preserve">. The left (control) eyes were free of evidence of ocular irritation and other findings for the duration of the study. </w:t>
      </w:r>
      <w:r w:rsidRPr="00041C8A">
        <w:rPr>
          <w:iCs/>
        </w:rPr>
        <w:t xml:space="preserve">According to EU and CLP criteria, the mean scores for corneal reactions, iritis, conjunctival redness and </w:t>
      </w:r>
      <w:proofErr w:type="spellStart"/>
      <w:r w:rsidRPr="00041C8A">
        <w:rPr>
          <w:iCs/>
        </w:rPr>
        <w:t>chemosis</w:t>
      </w:r>
      <w:proofErr w:type="spellEnd"/>
      <w:r w:rsidRPr="00041C8A">
        <w:rPr>
          <w:iCs/>
        </w:rPr>
        <w:t xml:space="preserve"> were 1.44, 0, 2.8 and 2.2, respectively, resulting in a classification as a potential eye irritant (EU criteria: Xi, R36; GHS criteria: Eye </w:t>
      </w:r>
      <w:proofErr w:type="spellStart"/>
      <w:r w:rsidRPr="00041C8A">
        <w:rPr>
          <w:iCs/>
        </w:rPr>
        <w:t>Irrit</w:t>
      </w:r>
      <w:proofErr w:type="spellEnd"/>
      <w:r w:rsidRPr="00041C8A">
        <w:rPr>
          <w:iCs/>
        </w:rPr>
        <w:t>. 2, H319).</w:t>
      </w:r>
    </w:p>
    <w:p w14:paraId="5996720A" w14:textId="77777777" w:rsidR="00C47639" w:rsidRPr="00A7430E" w:rsidRDefault="00C47639" w:rsidP="00C47639">
      <w:pPr>
        <w:rPr>
          <w:highlight w:val="yellow"/>
        </w:rPr>
      </w:pPr>
      <w:r w:rsidRPr="00041C8A">
        <w:t xml:space="preserve">Based on the results obtained in the eye irritation study with EUS26-15 Insect Repellent Spray in rabbits, the biocidal product is a potential eye irritant and needs to be classified with respect to eye irritancy (EU criteria: Xi, R36; GHS criteria: Eye </w:t>
      </w:r>
      <w:proofErr w:type="spellStart"/>
      <w:r w:rsidRPr="00041C8A">
        <w:t>Irrit</w:t>
      </w:r>
      <w:proofErr w:type="spellEnd"/>
      <w:r w:rsidRPr="00041C8A">
        <w:t>. 2, H319).</w:t>
      </w:r>
    </w:p>
    <w:p w14:paraId="7BA1C844" w14:textId="77777777" w:rsidR="00C47639" w:rsidRDefault="00C47639" w:rsidP="00C47639"/>
    <w:p w14:paraId="088CC25B" w14:textId="77777777" w:rsidR="00C47639" w:rsidRPr="00BA34A3" w:rsidRDefault="00C47639" w:rsidP="00C47639">
      <w:r w:rsidRPr="00A85902">
        <w:t xml:space="preserve">No </w:t>
      </w:r>
      <w:r w:rsidRPr="00A85902">
        <w:rPr>
          <w:i/>
        </w:rPr>
        <w:t>in vitro</w:t>
      </w:r>
      <w:r w:rsidRPr="00A85902">
        <w:t xml:space="preserve"> or human data are available for </w:t>
      </w:r>
      <w:r>
        <w:t xml:space="preserve">eye </w:t>
      </w:r>
      <w:r w:rsidRPr="00A85902">
        <w:t>corrosion/irritation.</w:t>
      </w:r>
    </w:p>
    <w:p w14:paraId="1B08D508" w14:textId="77777777" w:rsidR="00C47639" w:rsidRPr="00F62CCA"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49"/>
        <w:gridCol w:w="9582"/>
      </w:tblGrid>
      <w:tr w:rsidR="00C47639" w:rsidRPr="00BD2EF1" w14:paraId="2D6D3EE2"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CE161AF" w14:textId="77777777" w:rsidR="00C47639" w:rsidRPr="00BD2EF1" w:rsidRDefault="00C47639" w:rsidP="00C47639">
            <w:pPr>
              <w:rPr>
                <w:b/>
              </w:rPr>
            </w:pPr>
            <w:r w:rsidRPr="00BD2EF1">
              <w:rPr>
                <w:b/>
              </w:rPr>
              <w:t xml:space="preserve">Conclusion used in Risk Assessment – Eye irritation </w:t>
            </w:r>
          </w:p>
        </w:tc>
      </w:tr>
      <w:tr w:rsidR="00C47639" w:rsidRPr="00BD2EF1" w14:paraId="5BBF4E39" w14:textId="77777777" w:rsidTr="00C47639">
        <w:trPr>
          <w:trHeight w:val="298"/>
        </w:trPr>
        <w:tc>
          <w:tcPr>
            <w:tcW w:w="1657" w:type="pct"/>
            <w:tcBorders>
              <w:top w:val="single" w:sz="6" w:space="0" w:color="auto"/>
              <w:left w:val="single" w:sz="4" w:space="0" w:color="auto"/>
              <w:bottom w:val="single" w:sz="6" w:space="0" w:color="auto"/>
              <w:right w:val="single" w:sz="6" w:space="0" w:color="auto"/>
            </w:tcBorders>
            <w:shd w:val="clear" w:color="auto" w:fill="auto"/>
          </w:tcPr>
          <w:p w14:paraId="53122271" w14:textId="77777777" w:rsidR="00C47639" w:rsidRPr="00BD2EF1" w:rsidRDefault="00C47639" w:rsidP="00C47639">
            <w:r w:rsidRPr="00BD2EF1">
              <w:t>Value/conclusion</w:t>
            </w:r>
          </w:p>
        </w:tc>
        <w:tc>
          <w:tcPr>
            <w:tcW w:w="3343" w:type="pct"/>
            <w:tcBorders>
              <w:top w:val="single" w:sz="6" w:space="0" w:color="auto"/>
              <w:left w:val="single" w:sz="6" w:space="0" w:color="auto"/>
              <w:bottom w:val="single" w:sz="6" w:space="0" w:color="auto"/>
              <w:right w:val="single" w:sz="6" w:space="0" w:color="auto"/>
            </w:tcBorders>
          </w:tcPr>
          <w:p w14:paraId="79C027AF" w14:textId="77777777" w:rsidR="00C47639" w:rsidRPr="00BD2EF1" w:rsidRDefault="00C47639" w:rsidP="00C47639">
            <w:proofErr w:type="gramStart"/>
            <w:r w:rsidRPr="006014EB">
              <w:t>the</w:t>
            </w:r>
            <w:proofErr w:type="gramEnd"/>
            <w:r w:rsidRPr="006014EB">
              <w:t xml:space="preserve"> biocidal product has to be classified as a potential eye irritant according to </w:t>
            </w:r>
            <w:r>
              <w:t xml:space="preserve">(EU) </w:t>
            </w:r>
            <w:proofErr w:type="spellStart"/>
            <w:r>
              <w:t>nr</w:t>
            </w:r>
            <w:proofErr w:type="spellEnd"/>
            <w:r>
              <w:t>. 1272/2008</w:t>
            </w:r>
            <w:r w:rsidRPr="006014EB">
              <w:t xml:space="preserve"> (Eye </w:t>
            </w:r>
            <w:proofErr w:type="spellStart"/>
            <w:r w:rsidRPr="006014EB">
              <w:t>Irrit</w:t>
            </w:r>
            <w:proofErr w:type="spellEnd"/>
            <w:r w:rsidRPr="006014EB">
              <w:t>. 2, H319)</w:t>
            </w:r>
          </w:p>
        </w:tc>
      </w:tr>
      <w:tr w:rsidR="00C47639" w:rsidRPr="00BD2EF1" w14:paraId="077D323D" w14:textId="77777777" w:rsidTr="00C47639">
        <w:tc>
          <w:tcPr>
            <w:tcW w:w="1657" w:type="pct"/>
            <w:tcBorders>
              <w:top w:val="single" w:sz="6" w:space="0" w:color="auto"/>
              <w:left w:val="single" w:sz="4" w:space="0" w:color="auto"/>
              <w:bottom w:val="single" w:sz="6" w:space="0" w:color="auto"/>
              <w:right w:val="single" w:sz="6" w:space="0" w:color="auto"/>
            </w:tcBorders>
            <w:shd w:val="clear" w:color="auto" w:fill="auto"/>
          </w:tcPr>
          <w:p w14:paraId="5528BF0A" w14:textId="77777777" w:rsidR="00C47639" w:rsidRPr="00BD2EF1" w:rsidRDefault="00C47639" w:rsidP="00C47639">
            <w:r w:rsidRPr="00BD2EF1">
              <w:t>Justification for the value/conclusion</w:t>
            </w:r>
          </w:p>
        </w:tc>
        <w:tc>
          <w:tcPr>
            <w:tcW w:w="3343" w:type="pct"/>
            <w:tcBorders>
              <w:top w:val="single" w:sz="6" w:space="0" w:color="auto"/>
              <w:left w:val="single" w:sz="6" w:space="0" w:color="auto"/>
              <w:bottom w:val="single" w:sz="6" w:space="0" w:color="auto"/>
              <w:right w:val="single" w:sz="6" w:space="0" w:color="auto"/>
            </w:tcBorders>
          </w:tcPr>
          <w:p w14:paraId="1735D6C6" w14:textId="77777777" w:rsidR="00C47639" w:rsidRPr="00BD2EF1" w:rsidRDefault="00C47639" w:rsidP="00C47639">
            <w:r w:rsidRPr="006014EB">
              <w:t xml:space="preserve">average score was </w:t>
            </w:r>
            <w:r w:rsidRPr="006014EB">
              <w:sym w:font="Symbol" w:char="F0B3"/>
            </w:r>
            <w:r w:rsidRPr="006014EB">
              <w:t xml:space="preserve"> 1 for corneal opacity and </w:t>
            </w:r>
            <w:r w:rsidRPr="006014EB">
              <w:sym w:font="Symbol" w:char="F0B3"/>
            </w:r>
            <w:r w:rsidRPr="006014EB">
              <w:t xml:space="preserve"> 2 for conjunctival redness </w:t>
            </w:r>
            <w:r>
              <w:t xml:space="preserve">and </w:t>
            </w:r>
            <w:proofErr w:type="spellStart"/>
            <w:r>
              <w:t>chemosis</w:t>
            </w:r>
            <w:proofErr w:type="spellEnd"/>
            <w:r>
              <w:t xml:space="preserve"> </w:t>
            </w:r>
            <w:r w:rsidRPr="006014EB">
              <w:t xml:space="preserve">in </w:t>
            </w:r>
            <w:r>
              <w:t xml:space="preserve">2 out of 3 </w:t>
            </w:r>
            <w:r w:rsidRPr="006014EB">
              <w:t>animals</w:t>
            </w:r>
          </w:p>
        </w:tc>
      </w:tr>
      <w:tr w:rsidR="00C47639" w:rsidRPr="00BD2EF1" w14:paraId="6C2F2700" w14:textId="77777777" w:rsidTr="00C47639">
        <w:tc>
          <w:tcPr>
            <w:tcW w:w="1657" w:type="pct"/>
            <w:tcBorders>
              <w:top w:val="single" w:sz="6" w:space="0" w:color="auto"/>
              <w:left w:val="single" w:sz="4" w:space="0" w:color="auto"/>
              <w:bottom w:val="single" w:sz="6" w:space="0" w:color="auto"/>
              <w:right w:val="single" w:sz="6" w:space="0" w:color="auto"/>
            </w:tcBorders>
            <w:shd w:val="clear" w:color="auto" w:fill="auto"/>
          </w:tcPr>
          <w:p w14:paraId="68FD0C80" w14:textId="77777777" w:rsidR="00C47639" w:rsidRPr="00BD2EF1" w:rsidRDefault="00C47639" w:rsidP="00C47639">
            <w:r w:rsidRPr="00BD2EF1">
              <w:t>Classification of the product according to CLP and DSD</w:t>
            </w:r>
          </w:p>
        </w:tc>
        <w:tc>
          <w:tcPr>
            <w:tcW w:w="3343" w:type="pct"/>
            <w:tcBorders>
              <w:top w:val="single" w:sz="6" w:space="0" w:color="auto"/>
              <w:left w:val="single" w:sz="6" w:space="0" w:color="auto"/>
              <w:bottom w:val="single" w:sz="6" w:space="0" w:color="auto"/>
              <w:right w:val="single" w:sz="6" w:space="0" w:color="auto"/>
            </w:tcBorders>
          </w:tcPr>
          <w:p w14:paraId="4ED56922" w14:textId="77777777" w:rsidR="00C47639" w:rsidRPr="00BD2EF1" w:rsidRDefault="00C47639" w:rsidP="00C47639">
            <w:r>
              <w:t>Eye damage/irritation cat 2, H319</w:t>
            </w:r>
          </w:p>
        </w:tc>
      </w:tr>
    </w:tbl>
    <w:p w14:paraId="67F8092F" w14:textId="77777777" w:rsidR="00C47639" w:rsidRPr="00BD2EF1" w:rsidRDefault="00C47639" w:rsidP="00C47639">
      <w:pPr>
        <w:pStyle w:val="Titre5"/>
        <w:rPr>
          <w:lang w:val="en-GB"/>
        </w:rPr>
      </w:pPr>
      <w:bookmarkStart w:id="159" w:name="_Toc532391087"/>
      <w:bookmarkStart w:id="160" w:name="_Toc8296501"/>
      <w:r w:rsidRPr="00BD2EF1">
        <w:rPr>
          <w:lang w:val="en-GB"/>
        </w:rPr>
        <w:t>Respiratory tract irritation</w:t>
      </w:r>
      <w:bookmarkEnd w:id="159"/>
      <w:bookmarkEnd w:id="16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70"/>
        <w:gridCol w:w="10161"/>
      </w:tblGrid>
      <w:tr w:rsidR="00C47639" w:rsidRPr="00BD2EF1" w14:paraId="5E82F236"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85365A" w14:textId="77777777" w:rsidR="00C47639" w:rsidRPr="00BD2EF1" w:rsidRDefault="00C47639" w:rsidP="00C47639">
            <w:pPr>
              <w:rPr>
                <w:b/>
                <w:lang w:eastAsia="da-DK"/>
              </w:rPr>
            </w:pPr>
            <w:r w:rsidRPr="00BD2EF1">
              <w:rPr>
                <w:b/>
              </w:rPr>
              <w:t>Conclusion used in the Risk Assessment – Respiratory tract irritation</w:t>
            </w:r>
          </w:p>
        </w:tc>
      </w:tr>
      <w:tr w:rsidR="00C47639" w:rsidRPr="00BD2EF1" w14:paraId="41EBB99C" w14:textId="77777777" w:rsidTr="00C47639">
        <w:tc>
          <w:tcPr>
            <w:tcW w:w="1455" w:type="pct"/>
            <w:tcBorders>
              <w:top w:val="single" w:sz="6" w:space="0" w:color="auto"/>
              <w:left w:val="single" w:sz="4" w:space="0" w:color="auto"/>
              <w:bottom w:val="single" w:sz="6" w:space="0" w:color="auto"/>
              <w:right w:val="single" w:sz="6" w:space="0" w:color="auto"/>
            </w:tcBorders>
            <w:shd w:val="clear" w:color="auto" w:fill="auto"/>
          </w:tcPr>
          <w:p w14:paraId="6092E173" w14:textId="77777777" w:rsidR="00C47639" w:rsidRPr="00BD2EF1" w:rsidRDefault="00C47639" w:rsidP="00C47639">
            <w:r w:rsidRPr="00BD2EF1">
              <w:t>Justification for the conclusion</w:t>
            </w:r>
          </w:p>
        </w:tc>
        <w:tc>
          <w:tcPr>
            <w:tcW w:w="3545" w:type="pct"/>
            <w:tcBorders>
              <w:top w:val="single" w:sz="6" w:space="0" w:color="auto"/>
              <w:left w:val="single" w:sz="6" w:space="0" w:color="auto"/>
              <w:bottom w:val="single" w:sz="6" w:space="0" w:color="auto"/>
              <w:right w:val="single" w:sz="6" w:space="0" w:color="auto"/>
            </w:tcBorders>
          </w:tcPr>
          <w:p w14:paraId="7DDFDED4" w14:textId="77777777" w:rsidR="00C47639" w:rsidRPr="00D91AC4" w:rsidRDefault="00C47639" w:rsidP="00C47639">
            <w:r w:rsidRPr="00D91AC4">
              <w:t xml:space="preserve">Neither the active ingredient nor one of the other </w:t>
            </w:r>
            <w:r w:rsidRPr="004B563A">
              <w:t>relevant</w:t>
            </w:r>
            <w:r>
              <w:t xml:space="preserve"> </w:t>
            </w:r>
            <w:r w:rsidRPr="00D91AC4">
              <w:t xml:space="preserve">ingredients of the biocidal product are classified with respect to </w:t>
            </w:r>
            <w:r>
              <w:t>respiratory tract irritation</w:t>
            </w:r>
            <w:r w:rsidRPr="00D91AC4">
              <w:t xml:space="preserve">. </w:t>
            </w:r>
          </w:p>
          <w:p w14:paraId="107453FE" w14:textId="77777777" w:rsidR="00C47639" w:rsidRDefault="00C47639" w:rsidP="00C47639">
            <w:r w:rsidRPr="00C24B13">
              <w:t>Insect Repellent Pump Spray IR3535</w:t>
            </w:r>
            <w:r w:rsidRPr="00AC0EA0">
              <w:rPr>
                <w:vertAlign w:val="superscript"/>
              </w:rPr>
              <w:t>®</w:t>
            </w:r>
            <w:r w:rsidRPr="00C24B13">
              <w:t xml:space="preserve"> 20 % does not pose a</w:t>
            </w:r>
            <w:r>
              <w:t xml:space="preserve"> respiratory tract irritation</w:t>
            </w:r>
            <w:r w:rsidRPr="00C24B13">
              <w:t xml:space="preserve"> hazard. </w:t>
            </w:r>
          </w:p>
          <w:p w14:paraId="59C6FD2E" w14:textId="77777777" w:rsidR="00C47639" w:rsidRPr="00BD2EF1" w:rsidRDefault="00C47639" w:rsidP="00C47639"/>
        </w:tc>
      </w:tr>
      <w:tr w:rsidR="00C47639" w:rsidRPr="00BD2EF1" w14:paraId="6FAC93BD" w14:textId="77777777" w:rsidTr="00C47639">
        <w:tc>
          <w:tcPr>
            <w:tcW w:w="1455" w:type="pct"/>
            <w:tcBorders>
              <w:top w:val="single" w:sz="6" w:space="0" w:color="auto"/>
              <w:left w:val="single" w:sz="4" w:space="0" w:color="auto"/>
              <w:bottom w:val="single" w:sz="6" w:space="0" w:color="auto"/>
              <w:right w:val="single" w:sz="6" w:space="0" w:color="auto"/>
            </w:tcBorders>
            <w:shd w:val="clear" w:color="auto" w:fill="auto"/>
          </w:tcPr>
          <w:p w14:paraId="0B3C5EBB" w14:textId="77777777" w:rsidR="00C47639" w:rsidRPr="00BD2EF1" w:rsidRDefault="00C47639" w:rsidP="00C47639">
            <w:r w:rsidRPr="00BD2EF1">
              <w:t>Classification of the product according to CLP and DSD</w:t>
            </w:r>
          </w:p>
        </w:tc>
        <w:tc>
          <w:tcPr>
            <w:tcW w:w="3545" w:type="pct"/>
            <w:tcBorders>
              <w:top w:val="single" w:sz="6" w:space="0" w:color="auto"/>
              <w:left w:val="single" w:sz="6" w:space="0" w:color="auto"/>
              <w:bottom w:val="single" w:sz="6" w:space="0" w:color="auto"/>
              <w:right w:val="single" w:sz="6" w:space="0" w:color="auto"/>
            </w:tcBorders>
          </w:tcPr>
          <w:p w14:paraId="260AE33C" w14:textId="77777777" w:rsidR="00C47639" w:rsidRPr="00FD2055" w:rsidRDefault="00C47639" w:rsidP="00C47639">
            <w:r>
              <w:t>T</w:t>
            </w:r>
            <w:r w:rsidRPr="00541C92">
              <w:t>here is no indication that a classification with respect to respiratory tract irritation is necessary for Insect Repellent Pump Spray IR3535</w:t>
            </w:r>
            <w:r w:rsidRPr="00AC0EA0">
              <w:rPr>
                <w:vertAlign w:val="superscript"/>
              </w:rPr>
              <w:t>®</w:t>
            </w:r>
            <w:r w:rsidRPr="00541C92">
              <w:t xml:space="preserve"> 20 %.</w:t>
            </w:r>
          </w:p>
          <w:p w14:paraId="0ABC2A39" w14:textId="77777777" w:rsidR="00C47639" w:rsidRPr="00BD2EF1" w:rsidRDefault="00C47639" w:rsidP="00C47639"/>
        </w:tc>
      </w:tr>
    </w:tbl>
    <w:p w14:paraId="4AAC9AFE" w14:textId="77777777" w:rsidR="00C47639" w:rsidRPr="00BD2EF1" w:rsidRDefault="00C47639" w:rsidP="00C47639"/>
    <w:p w14:paraId="5AC2DA50" w14:textId="77777777" w:rsidR="00C47639" w:rsidRPr="00BD2EF1" w:rsidRDefault="00C47639" w:rsidP="00C47639">
      <w:pPr>
        <w:spacing w:before="0" w:after="160" w:line="259" w:lineRule="auto"/>
      </w:pPr>
      <w:r w:rsidRPr="00BD2EF1">
        <w:br w:type="page"/>
      </w:r>
    </w:p>
    <w:p w14:paraId="003E1951" w14:textId="77777777" w:rsidR="00C47639" w:rsidRPr="00BD2EF1" w:rsidRDefault="00C47639" w:rsidP="00C47639">
      <w:pPr>
        <w:pStyle w:val="Titre5"/>
        <w:rPr>
          <w:lang w:val="en-GB"/>
        </w:rPr>
      </w:pPr>
      <w:bookmarkStart w:id="161" w:name="_Toc532391088"/>
      <w:bookmarkStart w:id="162" w:name="_Toc8296502"/>
      <w:r w:rsidRPr="00BD2EF1">
        <w:rPr>
          <w:lang w:val="en-GB"/>
        </w:rPr>
        <w:lastRenderedPageBreak/>
        <w:t>Skin sensitization</w:t>
      </w:r>
      <w:bookmarkEnd w:id="161"/>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2"/>
        <w:gridCol w:w="1912"/>
        <w:gridCol w:w="2296"/>
        <w:gridCol w:w="4068"/>
        <w:gridCol w:w="2130"/>
        <w:gridCol w:w="1906"/>
      </w:tblGrid>
      <w:tr w:rsidR="00C47639" w:rsidRPr="00BD2EF1" w14:paraId="50B1AB4D" w14:textId="77777777" w:rsidTr="00C47639">
        <w:trPr>
          <w:trHeight w:val="348"/>
          <w:tblHeader/>
        </w:trPr>
        <w:tc>
          <w:tcPr>
            <w:tcW w:w="5000" w:type="pct"/>
            <w:gridSpan w:val="6"/>
            <w:shd w:val="clear" w:color="auto" w:fill="FFFFCC"/>
          </w:tcPr>
          <w:p w14:paraId="695DDB44" w14:textId="77777777" w:rsidR="00C47639" w:rsidRPr="00BD2EF1" w:rsidRDefault="00C47639" w:rsidP="00C47639">
            <w:pPr>
              <w:pStyle w:val="Standaard-Tabellen"/>
              <w:jc w:val="center"/>
              <w:rPr>
                <w:b/>
              </w:rPr>
            </w:pPr>
            <w:r w:rsidRPr="00BD2EF1">
              <w:rPr>
                <w:b/>
              </w:rPr>
              <w:t xml:space="preserve">Summary table of animal studies on skin </w:t>
            </w:r>
            <w:proofErr w:type="spellStart"/>
            <w:r w:rsidRPr="00BD2EF1">
              <w:rPr>
                <w:b/>
              </w:rPr>
              <w:t>sensitisation</w:t>
            </w:r>
            <w:proofErr w:type="spellEnd"/>
          </w:p>
        </w:tc>
      </w:tr>
      <w:tr w:rsidR="00C47639" w:rsidRPr="00BD2EF1" w14:paraId="423AEED0" w14:textId="77777777" w:rsidTr="00C47639">
        <w:trPr>
          <w:trHeight w:val="651"/>
          <w:tblHeader/>
        </w:trPr>
        <w:tc>
          <w:tcPr>
            <w:tcW w:w="705" w:type="pct"/>
            <w:shd w:val="clear" w:color="auto" w:fill="BFBFBF" w:themeFill="background1" w:themeFillShade="BF"/>
            <w:tcMar>
              <w:top w:w="57" w:type="dxa"/>
              <w:bottom w:w="57" w:type="dxa"/>
            </w:tcMar>
          </w:tcPr>
          <w:p w14:paraId="4B058AE7" w14:textId="77777777" w:rsidR="00C47639" w:rsidRPr="00BD2EF1" w:rsidRDefault="00C47639" w:rsidP="00C47639">
            <w:pPr>
              <w:pStyle w:val="Standaard-Tabellen"/>
              <w:rPr>
                <w:b/>
              </w:rPr>
            </w:pPr>
            <w:r w:rsidRPr="00BD2EF1">
              <w:rPr>
                <w:b/>
              </w:rPr>
              <w:t>Method</w:t>
            </w:r>
            <w:proofErr w:type="gramStart"/>
            <w:r w:rsidRPr="00BD2EF1">
              <w:rPr>
                <w:b/>
              </w:rPr>
              <w:t>,</w:t>
            </w:r>
            <w:proofErr w:type="gramEnd"/>
            <w:r w:rsidRPr="00BD2EF1">
              <w:rPr>
                <w:b/>
              </w:rPr>
              <w:br/>
              <w:t xml:space="preserve">Guideline, GLP status, </w:t>
            </w:r>
            <w:r w:rsidRPr="00BD2EF1">
              <w:rPr>
                <w:b/>
                <w:color w:val="000000"/>
              </w:rPr>
              <w:t>. Reliability</w:t>
            </w:r>
          </w:p>
        </w:tc>
        <w:tc>
          <w:tcPr>
            <w:tcW w:w="667" w:type="pct"/>
            <w:shd w:val="clear" w:color="auto" w:fill="BFBFBF" w:themeFill="background1" w:themeFillShade="BF"/>
          </w:tcPr>
          <w:p w14:paraId="2EAEA945" w14:textId="77777777" w:rsidR="00C47639" w:rsidRPr="00BD2EF1" w:rsidRDefault="00C47639" w:rsidP="00C47639">
            <w:pPr>
              <w:pStyle w:val="Standaard-Tabellen"/>
              <w:rPr>
                <w:b/>
              </w:rPr>
            </w:pPr>
            <w:r w:rsidRPr="00BD2EF1">
              <w:rPr>
                <w:b/>
              </w:rPr>
              <w:t>Species,</w:t>
            </w:r>
            <w:r w:rsidRPr="00BD2EF1">
              <w:rPr>
                <w:b/>
              </w:rPr>
              <w:br/>
              <w:t>Strain,</w:t>
            </w:r>
            <w:r w:rsidRPr="00BD2EF1">
              <w:rPr>
                <w:b/>
              </w:rPr>
              <w:br/>
              <w:t>Sex,</w:t>
            </w:r>
            <w:r w:rsidRPr="00BD2EF1">
              <w:rPr>
                <w:b/>
              </w:rPr>
              <w:br/>
              <w:t>No/group</w:t>
            </w:r>
          </w:p>
        </w:tc>
        <w:tc>
          <w:tcPr>
            <w:tcW w:w="801" w:type="pct"/>
            <w:shd w:val="clear" w:color="auto" w:fill="BFBFBF" w:themeFill="background1" w:themeFillShade="BF"/>
            <w:tcMar>
              <w:top w:w="57" w:type="dxa"/>
              <w:bottom w:w="57" w:type="dxa"/>
            </w:tcMar>
          </w:tcPr>
          <w:p w14:paraId="7DA07E60" w14:textId="77777777" w:rsidR="00C47639" w:rsidRPr="00BD2EF1" w:rsidRDefault="00C47639" w:rsidP="00C47639">
            <w:pPr>
              <w:pStyle w:val="Standaard-Tabellen"/>
              <w:rPr>
                <w:b/>
                <w:color w:val="000000"/>
              </w:rPr>
            </w:pPr>
            <w:r w:rsidRPr="00BD2EF1">
              <w:rPr>
                <w:b/>
                <w:color w:val="000000"/>
              </w:rPr>
              <w:t>Test substance, Vehicle,</w:t>
            </w:r>
          </w:p>
          <w:p w14:paraId="111D1F91" w14:textId="77777777" w:rsidR="00C47639" w:rsidRPr="00BD2EF1" w:rsidRDefault="00C47639" w:rsidP="00C47639">
            <w:pPr>
              <w:pStyle w:val="Standaard-Tabellen"/>
              <w:rPr>
                <w:b/>
              </w:rPr>
            </w:pPr>
            <w:r w:rsidRPr="00BD2EF1">
              <w:rPr>
                <w:b/>
                <w:color w:val="000000"/>
              </w:rPr>
              <w:t xml:space="preserve">Dose levels, </w:t>
            </w:r>
            <w:r w:rsidRPr="00BD2EF1">
              <w:rPr>
                <w:b/>
                <w:color w:val="000000"/>
              </w:rPr>
              <w:br/>
              <w:t>duration of exposure</w:t>
            </w:r>
            <w:r w:rsidRPr="00BD2EF1">
              <w:rPr>
                <w:b/>
              </w:rPr>
              <w:t xml:space="preserve"> Route of exposure </w:t>
            </w:r>
            <w:r w:rsidRPr="00516163">
              <w:rPr>
                <w:i/>
              </w:rPr>
              <w:t>(topical/intradermal, if relevant)</w:t>
            </w:r>
          </w:p>
        </w:tc>
        <w:tc>
          <w:tcPr>
            <w:tcW w:w="1419" w:type="pct"/>
            <w:shd w:val="clear" w:color="auto" w:fill="BFBFBF" w:themeFill="background1" w:themeFillShade="BF"/>
            <w:tcMar>
              <w:top w:w="57" w:type="dxa"/>
              <w:bottom w:w="57" w:type="dxa"/>
            </w:tcMar>
          </w:tcPr>
          <w:p w14:paraId="2550A65D" w14:textId="77777777" w:rsidR="00C47639" w:rsidRPr="00BD2EF1" w:rsidRDefault="00C47639" w:rsidP="00C47639">
            <w:pPr>
              <w:pStyle w:val="Standaard-Tabellen"/>
              <w:rPr>
                <w:b/>
              </w:rPr>
            </w:pPr>
            <w:r w:rsidRPr="00BD2EF1">
              <w:rPr>
                <w:b/>
              </w:rPr>
              <w:t xml:space="preserve">Results </w:t>
            </w:r>
          </w:p>
          <w:p w14:paraId="220B0977" w14:textId="77777777" w:rsidR="00C47639" w:rsidRPr="00516163" w:rsidRDefault="00C47639" w:rsidP="00C47639">
            <w:pPr>
              <w:pStyle w:val="Standaard-Tabellen"/>
            </w:pPr>
            <w:r w:rsidRPr="00516163">
              <w:rPr>
                <w:i/>
              </w:rPr>
              <w:t xml:space="preserve">(EC3-value or amount of </w:t>
            </w:r>
            <w:proofErr w:type="spellStart"/>
            <w:r w:rsidRPr="00516163">
              <w:rPr>
                <w:i/>
              </w:rPr>
              <w:t>sensitised</w:t>
            </w:r>
            <w:proofErr w:type="spellEnd"/>
            <w:r w:rsidRPr="00516163">
              <w:rPr>
                <w:i/>
              </w:rPr>
              <w:t xml:space="preserve"> animals at induction dose); evidence for local or systemic toxicity (time course of onset)</w:t>
            </w:r>
          </w:p>
        </w:tc>
        <w:tc>
          <w:tcPr>
            <w:tcW w:w="743" w:type="pct"/>
            <w:shd w:val="clear" w:color="auto" w:fill="BFBFBF" w:themeFill="background1" w:themeFillShade="BF"/>
          </w:tcPr>
          <w:p w14:paraId="1C76DF3E" w14:textId="77777777" w:rsidR="00C47639" w:rsidRPr="00BD2EF1" w:rsidRDefault="00C47639" w:rsidP="00C47639">
            <w:pPr>
              <w:pStyle w:val="Standaard-Tabellen"/>
              <w:rPr>
                <w:b/>
              </w:rPr>
            </w:pPr>
            <w:r w:rsidRPr="00BD2EF1">
              <w:rPr>
                <w:b/>
              </w:rPr>
              <w:t>Remarks</w:t>
            </w:r>
          </w:p>
          <w:p w14:paraId="175F0C2B" w14:textId="77777777" w:rsidR="00C47639" w:rsidRPr="00BD2EF1" w:rsidRDefault="00C47639" w:rsidP="00C47639">
            <w:pPr>
              <w:pStyle w:val="Standaard-Tabellen"/>
              <w:rPr>
                <w:b/>
                <w:i/>
              </w:rPr>
            </w:pPr>
            <w:r w:rsidRPr="00BD2EF1">
              <w:rPr>
                <w:b/>
                <w:i/>
              </w:rPr>
              <w:t>(e.g. major deviations)</w:t>
            </w:r>
          </w:p>
        </w:tc>
        <w:tc>
          <w:tcPr>
            <w:tcW w:w="665" w:type="pct"/>
            <w:shd w:val="clear" w:color="auto" w:fill="BFBFBF" w:themeFill="background1" w:themeFillShade="BF"/>
            <w:tcMar>
              <w:top w:w="57" w:type="dxa"/>
              <w:bottom w:w="57" w:type="dxa"/>
            </w:tcMar>
          </w:tcPr>
          <w:p w14:paraId="34627B67" w14:textId="77777777" w:rsidR="00C47639" w:rsidRPr="00BD2EF1" w:rsidRDefault="00C47639" w:rsidP="00C47639">
            <w:pPr>
              <w:pStyle w:val="Standaard-Tabellen"/>
              <w:rPr>
                <w:b/>
              </w:rPr>
            </w:pPr>
            <w:r w:rsidRPr="00BD2EF1">
              <w:rPr>
                <w:b/>
              </w:rPr>
              <w:t xml:space="preserve">Reference </w:t>
            </w:r>
          </w:p>
          <w:p w14:paraId="4124F795" w14:textId="77777777" w:rsidR="00C47639" w:rsidRPr="00BD2EF1" w:rsidRDefault="00C47639" w:rsidP="00C47639">
            <w:pPr>
              <w:pStyle w:val="Standaard-Tabellen"/>
              <w:rPr>
                <w:b/>
              </w:rPr>
            </w:pPr>
          </w:p>
        </w:tc>
      </w:tr>
      <w:tr w:rsidR="00C47639" w:rsidRPr="00FD2055" w14:paraId="4668439A" w14:textId="77777777" w:rsidTr="00C47639">
        <w:trPr>
          <w:trHeight w:val="227"/>
          <w:tblHeader/>
        </w:trPr>
        <w:tc>
          <w:tcPr>
            <w:tcW w:w="705" w:type="pct"/>
            <w:shd w:val="clear" w:color="auto" w:fill="auto"/>
          </w:tcPr>
          <w:p w14:paraId="69E879AD" w14:textId="77777777" w:rsidR="00C47639" w:rsidRPr="001C338A" w:rsidRDefault="00C47639" w:rsidP="00C47639">
            <w:pPr>
              <w:pStyle w:val="Standaard-Tabellen"/>
              <w:rPr>
                <w:lang w:val="de-DE"/>
              </w:rPr>
            </w:pPr>
            <w:r w:rsidRPr="001C338A">
              <w:rPr>
                <w:lang w:val="de-DE"/>
              </w:rPr>
              <w:t>OECD 406</w:t>
            </w:r>
          </w:p>
          <w:p w14:paraId="1690D311" w14:textId="77777777" w:rsidR="00C47639" w:rsidRPr="001C338A" w:rsidRDefault="00C47639" w:rsidP="00C47639">
            <w:pPr>
              <w:pStyle w:val="Standaard-Tabellen"/>
              <w:rPr>
                <w:lang w:val="de-DE"/>
              </w:rPr>
            </w:pPr>
            <w:r w:rsidRPr="001C338A">
              <w:rPr>
                <w:lang w:val="de-DE"/>
              </w:rPr>
              <w:t>OPPTS 870.2600</w:t>
            </w:r>
          </w:p>
          <w:p w14:paraId="4CFDF842" w14:textId="77777777" w:rsidR="00C47639" w:rsidRDefault="00C47639" w:rsidP="00C47639">
            <w:pPr>
              <w:pStyle w:val="Standaard-Tabellen"/>
              <w:rPr>
                <w:lang w:val="de-DE"/>
              </w:rPr>
            </w:pPr>
            <w:r w:rsidRPr="001C338A">
              <w:rPr>
                <w:lang w:val="de-DE"/>
              </w:rPr>
              <w:t>EU 92/69 An</w:t>
            </w:r>
            <w:r>
              <w:rPr>
                <w:lang w:val="de-DE"/>
              </w:rPr>
              <w:t>n</w:t>
            </w:r>
            <w:r w:rsidRPr="001C338A">
              <w:rPr>
                <w:lang w:val="de-DE"/>
              </w:rPr>
              <w:t>ex V, B6</w:t>
            </w:r>
          </w:p>
          <w:p w14:paraId="4629E7F3" w14:textId="77777777" w:rsidR="00C47639" w:rsidRPr="002A3933" w:rsidRDefault="00C47639" w:rsidP="00C47639">
            <w:pPr>
              <w:pStyle w:val="Standaard-Tabellen"/>
            </w:pPr>
            <w:r w:rsidRPr="002A3933">
              <w:t>GLP=yes</w:t>
            </w:r>
          </w:p>
          <w:p w14:paraId="50B4254D" w14:textId="77777777" w:rsidR="00C47639" w:rsidRPr="00FD2055" w:rsidRDefault="00C47639" w:rsidP="00C47639">
            <w:pPr>
              <w:pStyle w:val="Standaard-Tabellen"/>
            </w:pPr>
            <w:proofErr w:type="spellStart"/>
            <w:r w:rsidRPr="002A3933">
              <w:t>Rel</w:t>
            </w:r>
            <w:proofErr w:type="spellEnd"/>
            <w:r w:rsidRPr="002A3933">
              <w:t>=1</w:t>
            </w:r>
          </w:p>
        </w:tc>
        <w:tc>
          <w:tcPr>
            <w:tcW w:w="667" w:type="pct"/>
          </w:tcPr>
          <w:p w14:paraId="2A07D483" w14:textId="77777777" w:rsidR="00C47639" w:rsidRPr="001C338A" w:rsidRDefault="00C47639" w:rsidP="00C47639">
            <w:pPr>
              <w:pStyle w:val="Standaard-Tabellen"/>
            </w:pPr>
            <w:r w:rsidRPr="001C338A">
              <w:t>Guinea pig</w:t>
            </w:r>
          </w:p>
          <w:p w14:paraId="097081C1" w14:textId="77777777" w:rsidR="00C47639" w:rsidRDefault="00C47639" w:rsidP="00C47639">
            <w:pPr>
              <w:pStyle w:val="Standaard-Tabellen"/>
            </w:pPr>
            <w:r w:rsidRPr="001C338A">
              <w:t>Hartley [</w:t>
            </w:r>
            <w:proofErr w:type="spellStart"/>
            <w:r w:rsidRPr="001C338A">
              <w:t>Crl</w:t>
            </w:r>
            <w:proofErr w:type="spellEnd"/>
            <w:r w:rsidRPr="001C338A">
              <w:t>: HA]</w:t>
            </w:r>
            <w:r>
              <w:t xml:space="preserve"> </w:t>
            </w:r>
          </w:p>
          <w:p w14:paraId="3C2E8CA0" w14:textId="77777777" w:rsidR="00C47639" w:rsidRDefault="00C47639" w:rsidP="00C47639">
            <w:pPr>
              <w:pStyle w:val="Standaard-Tabellen"/>
            </w:pPr>
            <w:r w:rsidRPr="001C338A">
              <w:t xml:space="preserve">10 </w:t>
            </w:r>
            <w:r w:rsidRPr="00516163">
              <w:rPr>
                <w:rFonts w:ascii="Segoe UI Symbol" w:hAnsi="Segoe UI Symbol" w:cs="Segoe UI Symbol"/>
                <w:sz w:val="24"/>
              </w:rPr>
              <w:t>♂</w:t>
            </w:r>
            <w:r>
              <w:t xml:space="preserve"> and 10 </w:t>
            </w:r>
            <w:r w:rsidRPr="00516163">
              <w:rPr>
                <w:rFonts w:ascii="Segoe UI Symbol" w:hAnsi="Segoe UI Symbol" w:cs="Segoe UI Symbol"/>
                <w:sz w:val="24"/>
              </w:rPr>
              <w:t>♀</w:t>
            </w:r>
            <w:r w:rsidRPr="001C338A">
              <w:t>/</w:t>
            </w:r>
            <w:r>
              <w:t xml:space="preserve"> test </w:t>
            </w:r>
            <w:r w:rsidRPr="001C338A">
              <w:t>group</w:t>
            </w:r>
          </w:p>
          <w:p w14:paraId="60D5A2DA" w14:textId="77777777" w:rsidR="00C47639" w:rsidRPr="00FD2055" w:rsidRDefault="00C47639" w:rsidP="00C47639">
            <w:pPr>
              <w:pStyle w:val="Standaard-Tabellen"/>
            </w:pPr>
            <w:r>
              <w:t>5</w:t>
            </w:r>
            <w:r w:rsidRPr="001C338A">
              <w:t xml:space="preserve"> </w:t>
            </w:r>
            <w:r w:rsidRPr="00516163">
              <w:rPr>
                <w:rFonts w:ascii="Segoe UI Symbol" w:hAnsi="Segoe UI Symbol" w:cs="Segoe UI Symbol"/>
                <w:sz w:val="24"/>
              </w:rPr>
              <w:t>♂</w:t>
            </w:r>
            <w:r>
              <w:t xml:space="preserve"> and 5 </w:t>
            </w:r>
            <w:r w:rsidRPr="00516163">
              <w:rPr>
                <w:rFonts w:ascii="Segoe UI Symbol" w:hAnsi="Segoe UI Symbol" w:cs="Segoe UI Symbol"/>
                <w:sz w:val="24"/>
              </w:rPr>
              <w:t>♀</w:t>
            </w:r>
            <w:r w:rsidRPr="001C338A">
              <w:t>/</w:t>
            </w:r>
            <w:r>
              <w:t xml:space="preserve"> naïve control </w:t>
            </w:r>
            <w:r w:rsidRPr="001C338A">
              <w:t>group</w:t>
            </w:r>
          </w:p>
        </w:tc>
        <w:tc>
          <w:tcPr>
            <w:tcW w:w="801" w:type="pct"/>
          </w:tcPr>
          <w:p w14:paraId="7ED55F08" w14:textId="77777777" w:rsidR="00C47639" w:rsidRDefault="00C47639" w:rsidP="00C47639">
            <w:pPr>
              <w:pStyle w:val="Standaard-Tabellen"/>
            </w:pPr>
            <w:r>
              <w:t>EUS26-15 Insect Repellent Spray</w:t>
            </w:r>
          </w:p>
          <w:p w14:paraId="5AABADF1" w14:textId="77777777" w:rsidR="00C47639" w:rsidRDefault="00C47639" w:rsidP="00C47639">
            <w:pPr>
              <w:pStyle w:val="Standaard-Tabellen"/>
            </w:pPr>
            <w:r>
              <w:t>No vehicle</w:t>
            </w:r>
          </w:p>
          <w:p w14:paraId="073CD018" w14:textId="77777777" w:rsidR="00C47639" w:rsidRDefault="00C47639" w:rsidP="00C47639">
            <w:pPr>
              <w:pStyle w:val="Standaard-Tabellen"/>
            </w:pPr>
            <w:r>
              <w:t>Undiluted</w:t>
            </w:r>
          </w:p>
          <w:p w14:paraId="4307DE84" w14:textId="77777777" w:rsidR="00C47639" w:rsidRDefault="00C47639" w:rsidP="00C47639">
            <w:pPr>
              <w:pStyle w:val="Standaard-Tabellen"/>
            </w:pPr>
            <w:r>
              <w:t>0.3 ml/site</w:t>
            </w:r>
          </w:p>
          <w:p w14:paraId="1FF057D4" w14:textId="77777777" w:rsidR="00C47639" w:rsidRDefault="00C47639" w:rsidP="00C47639">
            <w:pPr>
              <w:pStyle w:val="Standaard-Tabellen"/>
            </w:pPr>
            <w:r>
              <w:t>6h exposure</w:t>
            </w:r>
          </w:p>
          <w:p w14:paraId="62662CBE" w14:textId="77777777" w:rsidR="00C47639" w:rsidRPr="00FD2055" w:rsidRDefault="00C47639" w:rsidP="00C47639">
            <w:pPr>
              <w:pStyle w:val="Standaard-Tabellen"/>
            </w:pPr>
            <w:proofErr w:type="spellStart"/>
            <w:r>
              <w:t>Epicutaneous</w:t>
            </w:r>
            <w:proofErr w:type="spellEnd"/>
            <w:r>
              <w:t>, occlusive</w:t>
            </w:r>
          </w:p>
        </w:tc>
        <w:tc>
          <w:tcPr>
            <w:tcW w:w="1419" w:type="pct"/>
            <w:shd w:val="clear" w:color="auto" w:fill="auto"/>
          </w:tcPr>
          <w:p w14:paraId="04CF4EDE" w14:textId="77777777" w:rsidR="00C47639" w:rsidRDefault="00C47639" w:rsidP="00C47639">
            <w:pPr>
              <w:pStyle w:val="Standaard-Tabellen"/>
            </w:pPr>
            <w:r>
              <w:t>No positive dermal reactions in the test or the naive control groups</w:t>
            </w:r>
          </w:p>
          <w:p w14:paraId="201145F6" w14:textId="77777777" w:rsidR="00C47639" w:rsidRDefault="00C47639" w:rsidP="00C47639">
            <w:pPr>
              <w:pStyle w:val="Standaard-Tabellen"/>
            </w:pPr>
            <w:r>
              <w:t xml:space="preserve">No deaths, no test article related clinical findings, no remarkable </w:t>
            </w:r>
            <w:proofErr w:type="spellStart"/>
            <w:r>
              <w:t>bw</w:t>
            </w:r>
            <w:proofErr w:type="spellEnd"/>
            <w:r>
              <w:t xml:space="preserve"> changes</w:t>
            </w:r>
          </w:p>
          <w:p w14:paraId="51B5A165" w14:textId="77777777" w:rsidR="00C47639" w:rsidRPr="00FD2055" w:rsidRDefault="00C47639" w:rsidP="00C47639">
            <w:pPr>
              <w:pStyle w:val="Standaard-Tabellen"/>
            </w:pPr>
          </w:p>
        </w:tc>
        <w:tc>
          <w:tcPr>
            <w:tcW w:w="743" w:type="pct"/>
            <w:shd w:val="clear" w:color="auto" w:fill="auto"/>
          </w:tcPr>
          <w:p w14:paraId="3FFD6DEB" w14:textId="77777777" w:rsidR="00C47639" w:rsidRPr="00FD2055" w:rsidRDefault="00C47639" w:rsidP="00C47639">
            <w:pPr>
              <w:pStyle w:val="Standaard-Tabellen"/>
            </w:pPr>
            <w:r>
              <w:t>US Pump Spray Formulation</w:t>
            </w:r>
          </w:p>
        </w:tc>
        <w:tc>
          <w:tcPr>
            <w:tcW w:w="665" w:type="pct"/>
          </w:tcPr>
          <w:p w14:paraId="786E9C1F" w14:textId="77777777" w:rsidR="00C47639" w:rsidRPr="00FD2055" w:rsidRDefault="00C47639" w:rsidP="00C47639">
            <w:pPr>
              <w:pStyle w:val="Standaard-Tabellen"/>
            </w:pPr>
            <w:r>
              <w:rPr>
                <w:lang w:val="de-DE"/>
              </w:rPr>
              <w:t>Hurley, J.M. (2006) (c)</w:t>
            </w:r>
          </w:p>
        </w:tc>
      </w:tr>
    </w:tbl>
    <w:p w14:paraId="28F64BFB" w14:textId="77777777" w:rsidR="00C47639" w:rsidRDefault="00C47639" w:rsidP="00C47639"/>
    <w:tbl>
      <w:tblPr>
        <w:tblStyle w:val="Grilledutableau"/>
        <w:tblW w:w="0" w:type="auto"/>
        <w:tblLook w:val="04A0" w:firstRow="1" w:lastRow="0" w:firstColumn="1" w:lastColumn="0" w:noHBand="0" w:noVBand="1"/>
      </w:tblPr>
      <w:tblGrid>
        <w:gridCol w:w="14334"/>
      </w:tblGrid>
      <w:tr w:rsidR="00C47639" w:rsidRPr="00D63744" w14:paraId="6957A931" w14:textId="77777777" w:rsidTr="00C47639">
        <w:tc>
          <w:tcPr>
            <w:tcW w:w="14334" w:type="dxa"/>
            <w:shd w:val="clear" w:color="auto" w:fill="FFFFCC"/>
          </w:tcPr>
          <w:p w14:paraId="0BCD9848" w14:textId="77777777" w:rsidR="00C47639" w:rsidRPr="00D63744" w:rsidRDefault="00C47639" w:rsidP="00C47639">
            <w:pPr>
              <w:pStyle w:val="Standaard-Tabellen"/>
              <w:jc w:val="center"/>
              <w:rPr>
                <w:b/>
              </w:rPr>
            </w:pPr>
            <w:r>
              <w:rPr>
                <w:b/>
              </w:rPr>
              <w:t>Dermal Observations and Severity Indices (Hurley, J.M., 2006 (c))</w:t>
            </w:r>
          </w:p>
        </w:tc>
      </w:tr>
      <w:tr w:rsidR="00C47639" w14:paraId="79001937" w14:textId="77777777" w:rsidTr="00C47639">
        <w:tc>
          <w:tcPr>
            <w:tcW w:w="14334" w:type="dxa"/>
          </w:tcPr>
          <w:p w14:paraId="6302AEFD" w14:textId="77777777" w:rsidR="00C47639" w:rsidRDefault="00C47639" w:rsidP="00C47639">
            <w:pPr>
              <w:pStyle w:val="Standaard-Tabellen"/>
              <w:rPr>
                <w:highlight w:val="yellow"/>
              </w:rPr>
            </w:pPr>
            <w:r>
              <w:rPr>
                <w:noProof/>
                <w:lang w:val="fr-FR" w:eastAsia="fr-FR"/>
              </w:rPr>
              <w:drawing>
                <wp:inline distT="0" distB="0" distL="0" distR="0" wp14:anchorId="097BA4D3" wp14:editId="676EF57C">
                  <wp:extent cx="6343650" cy="18478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343650" cy="1847850"/>
                          </a:xfrm>
                          <a:prstGeom prst="rect">
                            <a:avLst/>
                          </a:prstGeom>
                        </pic:spPr>
                      </pic:pic>
                    </a:graphicData>
                  </a:graphic>
                </wp:inline>
              </w:drawing>
            </w:r>
          </w:p>
        </w:tc>
      </w:tr>
    </w:tbl>
    <w:p w14:paraId="13D4561C" w14:textId="77777777" w:rsidR="00C47639" w:rsidRDefault="00C47639" w:rsidP="00C47639"/>
    <w:p w14:paraId="53F81EDA" w14:textId="77777777" w:rsidR="00C47639" w:rsidRDefault="00C47639" w:rsidP="00C47639">
      <w:r w:rsidRPr="00593615">
        <w:t xml:space="preserve">The skin </w:t>
      </w:r>
      <w:proofErr w:type="spellStart"/>
      <w:r w:rsidRPr="00593615">
        <w:t>sensitisation</w:t>
      </w:r>
      <w:proofErr w:type="spellEnd"/>
      <w:r w:rsidRPr="00593615">
        <w:t xml:space="preserve"> potential of EUS26-15 Insect Repellent Spray was evaluated using the modified Buehler test method.</w:t>
      </w:r>
      <w:r w:rsidRPr="00545F89">
        <w:t xml:space="preserve"> </w:t>
      </w:r>
    </w:p>
    <w:p w14:paraId="70C47140" w14:textId="77777777" w:rsidR="00C47639" w:rsidRDefault="00C47639" w:rsidP="00C47639"/>
    <w:p w14:paraId="3B399F35" w14:textId="77777777" w:rsidR="00C47639" w:rsidRDefault="00C47639" w:rsidP="00C47639">
      <w:pPr>
        <w:rPr>
          <w:color w:val="FF0000"/>
        </w:rPr>
      </w:pPr>
      <w:r>
        <w:rPr>
          <w:color w:val="002060"/>
        </w:rPr>
        <w:t>Animal welfare benefits and scientific advantages make the LLNA the preferred test for sensitization. However, exi</w:t>
      </w:r>
      <w:r w:rsidRPr="000F5567">
        <w:rPr>
          <w:color w:val="002060"/>
        </w:rPr>
        <w:t>sting data of good quality deriv</w:t>
      </w:r>
      <w:r>
        <w:rPr>
          <w:color w:val="002060"/>
        </w:rPr>
        <w:t>ed from a Buehler test should</w:t>
      </w:r>
      <w:r w:rsidRPr="000F5567">
        <w:rPr>
          <w:color w:val="002060"/>
        </w:rPr>
        <w:t xml:space="preserve"> be acceptable </w:t>
      </w:r>
      <w:r>
        <w:rPr>
          <w:color w:val="002060"/>
        </w:rPr>
        <w:t xml:space="preserve">as they </w:t>
      </w:r>
      <w:r w:rsidRPr="000F5567">
        <w:rPr>
          <w:color w:val="002060"/>
        </w:rPr>
        <w:t>preclude the need for further in vivo testin</w:t>
      </w:r>
      <w:r>
        <w:rPr>
          <w:color w:val="002060"/>
        </w:rPr>
        <w:t xml:space="preserve">g.  </w:t>
      </w:r>
      <w:r w:rsidRPr="00A85722">
        <w:rPr>
          <w:color w:val="FF0000"/>
        </w:rPr>
        <w:t>As none of the cosmetic ingredients i</w:t>
      </w:r>
      <w:r>
        <w:rPr>
          <w:color w:val="FF0000"/>
        </w:rPr>
        <w:t xml:space="preserve">n </w:t>
      </w:r>
      <w:r>
        <w:rPr>
          <w:color w:val="FF0000"/>
        </w:rPr>
        <w:lastRenderedPageBreak/>
        <w:t>the formulation have a sensitizing potential</w:t>
      </w:r>
      <w:r w:rsidRPr="00A85722">
        <w:rPr>
          <w:color w:val="FF0000"/>
        </w:rPr>
        <w:t xml:space="preserve"> and </w:t>
      </w:r>
      <w:r>
        <w:rPr>
          <w:color w:val="FF0000"/>
        </w:rPr>
        <w:t xml:space="preserve">as the active substance </w:t>
      </w:r>
      <w:r w:rsidRPr="00A85722">
        <w:rPr>
          <w:color w:val="FF0000"/>
        </w:rPr>
        <w:t xml:space="preserve">is not </w:t>
      </w:r>
      <w:r>
        <w:rPr>
          <w:color w:val="FF0000"/>
        </w:rPr>
        <w:t xml:space="preserve">considered as </w:t>
      </w:r>
      <w:r w:rsidRPr="00A85722">
        <w:rPr>
          <w:color w:val="FF0000"/>
        </w:rPr>
        <w:t>sensitizing</w:t>
      </w:r>
      <w:r>
        <w:rPr>
          <w:color w:val="FF0000"/>
        </w:rPr>
        <w:t xml:space="preserve"> (Buehler test and </w:t>
      </w:r>
      <w:proofErr w:type="spellStart"/>
      <w:r>
        <w:rPr>
          <w:color w:val="FF0000"/>
        </w:rPr>
        <w:t>Photoallergenicity</w:t>
      </w:r>
      <w:proofErr w:type="spellEnd"/>
      <w:r>
        <w:rPr>
          <w:color w:val="FF0000"/>
        </w:rPr>
        <w:t xml:space="preserve"> </w:t>
      </w:r>
      <w:proofErr w:type="spellStart"/>
      <w:r>
        <w:rPr>
          <w:color w:val="FF0000"/>
        </w:rPr>
        <w:t>maximisation</w:t>
      </w:r>
      <w:proofErr w:type="spellEnd"/>
      <w:r>
        <w:rPr>
          <w:color w:val="FF0000"/>
        </w:rPr>
        <w:t xml:space="preserve"> test)</w:t>
      </w:r>
      <w:r w:rsidRPr="00A85722">
        <w:rPr>
          <w:color w:val="FF0000"/>
        </w:rPr>
        <w:t xml:space="preserve">, the Buehler test </w:t>
      </w:r>
      <w:r>
        <w:rPr>
          <w:color w:val="FF0000"/>
        </w:rPr>
        <w:t>was regarded as</w:t>
      </w:r>
      <w:r w:rsidRPr="00A85722">
        <w:rPr>
          <w:color w:val="FF0000"/>
        </w:rPr>
        <w:t xml:space="preserve"> acceptable.</w:t>
      </w:r>
    </w:p>
    <w:p w14:paraId="2C9D90F1" w14:textId="77777777" w:rsidR="00C47639" w:rsidRPr="00593615" w:rsidRDefault="00C47639" w:rsidP="00C47639"/>
    <w:p w14:paraId="33CE3B7A" w14:textId="77777777" w:rsidR="00C47639" w:rsidRPr="00593615" w:rsidRDefault="00C47639" w:rsidP="00C47639">
      <w:pPr>
        <w:rPr>
          <w:iCs/>
        </w:rPr>
      </w:pPr>
      <w:r w:rsidRPr="00593615">
        <w:t>There were no deaths, nor were there any test article-related clinical findings or remarkable body weight changes during the study period. Following challenge dosing with EUS26-15 Insect Repellent Spray, there were no positive dermal reactions (score ≥ 1) in the test or the naive control groups. The Incidence Index for the test group with a score ≥ 1 was 0 % (0/20) following challenge dosing</w:t>
      </w:r>
      <w:r w:rsidRPr="00593615">
        <w:rPr>
          <w:iCs/>
        </w:rPr>
        <w:t>.</w:t>
      </w:r>
    </w:p>
    <w:p w14:paraId="09CC8D91" w14:textId="77777777" w:rsidR="00C47639" w:rsidRPr="00593615" w:rsidRDefault="00C47639" w:rsidP="00C47639">
      <w:r w:rsidRPr="00593615">
        <w:t>In the positive control experiments which were performed as a separate study, the positive control substance HCA was a sensitizer when administered as both a 10 % concentration in 70/30 (v/v) in acetone/PEG 400 and a 20 % concentration in 70/30 (v/v) in acetone/PEG 400 under the conditions of the study. The mean incidence indices for the positive controls were 20 % and 60 % at a concentration of 10 % and 20 %, respectively. This confirms the reliability of the test system as indicated by the dose-response relationship.</w:t>
      </w:r>
    </w:p>
    <w:p w14:paraId="075FA9C7" w14:textId="77777777" w:rsidR="00C47639" w:rsidRPr="00593615" w:rsidRDefault="00C47639" w:rsidP="00C47639">
      <w:r w:rsidRPr="00593615">
        <w:t xml:space="preserve">EUS26-15 Insect Repellent induced no skin </w:t>
      </w:r>
      <w:proofErr w:type="spellStart"/>
      <w:r w:rsidRPr="00593615">
        <w:t>sensitisation</w:t>
      </w:r>
      <w:proofErr w:type="spellEnd"/>
      <w:r w:rsidRPr="00593615">
        <w:t xml:space="preserve"> reactions in albino guinea pigs when using the modified Buehler test method. A classification with respect to skin </w:t>
      </w:r>
      <w:proofErr w:type="spellStart"/>
      <w:r w:rsidRPr="00593615">
        <w:t>sensitisation</w:t>
      </w:r>
      <w:proofErr w:type="spellEnd"/>
      <w:r w:rsidRPr="00593615">
        <w:t xml:space="preserve"> is not required.</w:t>
      </w:r>
    </w:p>
    <w:p w14:paraId="7C00F04F" w14:textId="77777777" w:rsidR="00C47639" w:rsidRDefault="00C47639" w:rsidP="00C47639">
      <w:pPr>
        <w:rPr>
          <w:i/>
        </w:rPr>
      </w:pPr>
    </w:p>
    <w:p w14:paraId="4B100FAB" w14:textId="77777777" w:rsidR="00C47639" w:rsidRDefault="00C47639" w:rsidP="00C47639">
      <w:pPr>
        <w:rPr>
          <w:i/>
        </w:rPr>
      </w:pPr>
      <w:r w:rsidRPr="00A85902">
        <w:rPr>
          <w:iCs/>
        </w:rPr>
        <w:t xml:space="preserve">No </w:t>
      </w:r>
      <w:r w:rsidRPr="00A85902">
        <w:rPr>
          <w:i/>
          <w:iCs/>
        </w:rPr>
        <w:t>in vitro</w:t>
      </w:r>
      <w:r w:rsidRPr="00A85902">
        <w:rPr>
          <w:iCs/>
        </w:rPr>
        <w:t xml:space="preserve"> or human data are available for </w:t>
      </w:r>
      <w:r>
        <w:rPr>
          <w:iCs/>
        </w:rPr>
        <w:t xml:space="preserve">skin </w:t>
      </w:r>
      <w:proofErr w:type="spellStart"/>
      <w:r>
        <w:rPr>
          <w:iCs/>
        </w:rPr>
        <w:t>sensitisation</w:t>
      </w:r>
      <w:proofErr w:type="spellEnd"/>
      <w:r w:rsidRPr="00A85902">
        <w:rPr>
          <w:iCs/>
        </w:rPr>
        <w:t>.</w:t>
      </w:r>
    </w:p>
    <w:p w14:paraId="4235EE75" w14:textId="77777777" w:rsidR="00C47639" w:rsidRPr="00FD2055"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68"/>
        <w:gridCol w:w="10963"/>
      </w:tblGrid>
      <w:tr w:rsidR="00C47639" w:rsidRPr="00BD2EF1" w14:paraId="59277DD6"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A09E874" w14:textId="77777777" w:rsidR="00C47639" w:rsidRPr="00BD2EF1" w:rsidRDefault="00C47639" w:rsidP="00C47639">
            <w:pPr>
              <w:rPr>
                <w:b/>
              </w:rPr>
            </w:pPr>
            <w:r w:rsidRPr="00BD2EF1">
              <w:rPr>
                <w:b/>
              </w:rPr>
              <w:t xml:space="preserve">Conclusion used in Risk Assessment – Skin </w:t>
            </w:r>
            <w:proofErr w:type="spellStart"/>
            <w:r w:rsidRPr="00BD2EF1">
              <w:rPr>
                <w:b/>
              </w:rPr>
              <w:t>sensitisation</w:t>
            </w:r>
            <w:proofErr w:type="spellEnd"/>
          </w:p>
        </w:tc>
      </w:tr>
      <w:tr w:rsidR="00C47639" w:rsidRPr="00FD2055" w14:paraId="707E36DF" w14:textId="77777777" w:rsidTr="00C47639">
        <w:trPr>
          <w:trHeight w:val="298"/>
        </w:trPr>
        <w:tc>
          <w:tcPr>
            <w:tcW w:w="1175" w:type="pct"/>
            <w:tcBorders>
              <w:top w:val="single" w:sz="6" w:space="0" w:color="auto"/>
              <w:left w:val="single" w:sz="4" w:space="0" w:color="auto"/>
              <w:bottom w:val="single" w:sz="6" w:space="0" w:color="auto"/>
              <w:right w:val="single" w:sz="6" w:space="0" w:color="auto"/>
            </w:tcBorders>
            <w:shd w:val="clear" w:color="auto" w:fill="auto"/>
          </w:tcPr>
          <w:p w14:paraId="5B135075" w14:textId="77777777" w:rsidR="00C47639" w:rsidRPr="00FD2055" w:rsidRDefault="00C47639" w:rsidP="00C47639">
            <w:r w:rsidRPr="00FD2055">
              <w:t>Value/conclusion</w:t>
            </w:r>
          </w:p>
        </w:tc>
        <w:tc>
          <w:tcPr>
            <w:tcW w:w="3825" w:type="pct"/>
            <w:tcBorders>
              <w:top w:val="single" w:sz="6" w:space="0" w:color="auto"/>
              <w:left w:val="single" w:sz="6" w:space="0" w:color="auto"/>
              <w:bottom w:val="single" w:sz="6" w:space="0" w:color="auto"/>
              <w:right w:val="single" w:sz="6" w:space="0" w:color="auto"/>
            </w:tcBorders>
          </w:tcPr>
          <w:p w14:paraId="0F0290EB" w14:textId="77777777" w:rsidR="00C47639" w:rsidRPr="00FD2055" w:rsidRDefault="00C47639" w:rsidP="00C47639">
            <w:r>
              <w:t xml:space="preserve">Biocidal product not classified for skin </w:t>
            </w:r>
            <w:proofErr w:type="spellStart"/>
            <w:r>
              <w:t>sensitisation</w:t>
            </w:r>
            <w:proofErr w:type="spellEnd"/>
            <w:r>
              <w:t xml:space="preserve"> according to (EU) </w:t>
            </w:r>
            <w:proofErr w:type="spellStart"/>
            <w:r>
              <w:t>nr</w:t>
            </w:r>
            <w:proofErr w:type="spellEnd"/>
            <w:r>
              <w:t>. 1272/2008</w:t>
            </w:r>
          </w:p>
        </w:tc>
      </w:tr>
      <w:tr w:rsidR="00C47639" w:rsidRPr="00FD2055" w14:paraId="24AF2EF7" w14:textId="77777777" w:rsidTr="00C47639">
        <w:tc>
          <w:tcPr>
            <w:tcW w:w="1175" w:type="pct"/>
            <w:tcBorders>
              <w:top w:val="single" w:sz="6" w:space="0" w:color="auto"/>
              <w:left w:val="single" w:sz="4" w:space="0" w:color="auto"/>
              <w:bottom w:val="single" w:sz="6" w:space="0" w:color="auto"/>
              <w:right w:val="single" w:sz="6" w:space="0" w:color="auto"/>
            </w:tcBorders>
            <w:shd w:val="clear" w:color="auto" w:fill="auto"/>
          </w:tcPr>
          <w:p w14:paraId="350C0F5C" w14:textId="77777777" w:rsidR="00C47639" w:rsidRPr="00FD2055" w:rsidRDefault="00C47639" w:rsidP="00C47639">
            <w:r w:rsidRPr="00FD2055">
              <w:t>Justification for the value/conclusion</w:t>
            </w:r>
          </w:p>
        </w:tc>
        <w:tc>
          <w:tcPr>
            <w:tcW w:w="3825" w:type="pct"/>
            <w:tcBorders>
              <w:top w:val="single" w:sz="6" w:space="0" w:color="auto"/>
              <w:left w:val="single" w:sz="6" w:space="0" w:color="auto"/>
              <w:bottom w:val="single" w:sz="6" w:space="0" w:color="auto"/>
              <w:right w:val="single" w:sz="6" w:space="0" w:color="auto"/>
            </w:tcBorders>
          </w:tcPr>
          <w:p w14:paraId="2AB60A20" w14:textId="77777777" w:rsidR="00C47639" w:rsidRPr="00FD2055" w:rsidRDefault="00C47639" w:rsidP="00C47639">
            <w:r w:rsidRPr="003650A5">
              <w:t>Following challenge dosing with EUS26-1</w:t>
            </w:r>
            <w:r>
              <w:t>5</w:t>
            </w:r>
            <w:r w:rsidRPr="003650A5">
              <w:t xml:space="preserve"> Insect Repellent </w:t>
            </w:r>
            <w:r>
              <w:t>Spray</w:t>
            </w:r>
            <w:r w:rsidRPr="003650A5">
              <w:t>, there were no positive dermal reactions (score ≥ 1) in the test or the naive control groups. The Incidence Index for the test group with a score ≥ 1 was 0 % (0/20) following challenge dosing</w:t>
            </w:r>
            <w:r>
              <w:t>.</w:t>
            </w:r>
          </w:p>
        </w:tc>
      </w:tr>
      <w:tr w:rsidR="00C47639" w:rsidRPr="00FD2055" w14:paraId="420926C5" w14:textId="77777777" w:rsidTr="00C47639">
        <w:tc>
          <w:tcPr>
            <w:tcW w:w="1175" w:type="pct"/>
            <w:tcBorders>
              <w:top w:val="single" w:sz="6" w:space="0" w:color="auto"/>
              <w:left w:val="single" w:sz="4" w:space="0" w:color="auto"/>
              <w:bottom w:val="single" w:sz="6" w:space="0" w:color="auto"/>
              <w:right w:val="single" w:sz="6" w:space="0" w:color="auto"/>
            </w:tcBorders>
            <w:shd w:val="clear" w:color="auto" w:fill="auto"/>
          </w:tcPr>
          <w:p w14:paraId="6FA97C30" w14:textId="77777777" w:rsidR="00C47639" w:rsidRPr="00FD2055" w:rsidRDefault="00C47639" w:rsidP="00C47639">
            <w:r w:rsidRPr="00FD2055">
              <w:t>Classification of the product according to CLP and DSD</w:t>
            </w:r>
          </w:p>
        </w:tc>
        <w:tc>
          <w:tcPr>
            <w:tcW w:w="3825" w:type="pct"/>
            <w:tcBorders>
              <w:top w:val="single" w:sz="6" w:space="0" w:color="auto"/>
              <w:left w:val="single" w:sz="6" w:space="0" w:color="auto"/>
              <w:bottom w:val="single" w:sz="6" w:space="0" w:color="auto"/>
              <w:right w:val="single" w:sz="6" w:space="0" w:color="auto"/>
            </w:tcBorders>
          </w:tcPr>
          <w:p w14:paraId="540E420F" w14:textId="77777777" w:rsidR="00C47639" w:rsidRPr="00FD2055" w:rsidRDefault="00C47639" w:rsidP="00C47639">
            <w:r>
              <w:t>none</w:t>
            </w:r>
          </w:p>
        </w:tc>
      </w:tr>
    </w:tbl>
    <w:p w14:paraId="74212DED" w14:textId="77777777" w:rsidR="00C47639" w:rsidRPr="00D21344" w:rsidRDefault="00C47639" w:rsidP="00C47639">
      <w:pPr>
        <w:pStyle w:val="Titre5"/>
        <w:rPr>
          <w:color w:val="595959" w:themeColor="text1" w:themeTint="A6"/>
        </w:rPr>
      </w:pPr>
      <w:bookmarkStart w:id="163" w:name="_Toc532391089"/>
      <w:bookmarkStart w:id="164" w:name="_Toc8296503"/>
      <w:r w:rsidRPr="00D21344">
        <w:rPr>
          <w:color w:val="595959" w:themeColor="text1" w:themeTint="A6"/>
        </w:rPr>
        <w:t>Respiratory sensitization (ADS)</w:t>
      </w:r>
      <w:bookmarkEnd w:id="163"/>
      <w:bookmarkEnd w:id="16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07"/>
        <w:gridCol w:w="11224"/>
      </w:tblGrid>
      <w:tr w:rsidR="00C47639" w:rsidRPr="00EB5E7D" w14:paraId="6EEBE0D6"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7EBDF8C" w14:textId="77777777" w:rsidR="00C47639" w:rsidRPr="00EB5E7D" w:rsidRDefault="00C47639" w:rsidP="00C47639">
            <w:pPr>
              <w:rPr>
                <w:b/>
              </w:rPr>
            </w:pPr>
            <w:r w:rsidRPr="00EB5E7D">
              <w:rPr>
                <w:b/>
              </w:rPr>
              <w:t xml:space="preserve">Conclusion used in Risk Assessment – Respiratory </w:t>
            </w:r>
            <w:proofErr w:type="spellStart"/>
            <w:r w:rsidRPr="00EB5E7D">
              <w:rPr>
                <w:b/>
              </w:rPr>
              <w:t>sensitisation</w:t>
            </w:r>
            <w:proofErr w:type="spellEnd"/>
          </w:p>
        </w:tc>
      </w:tr>
      <w:tr w:rsidR="00C47639" w:rsidRPr="00FD2055" w14:paraId="003382D7" w14:textId="77777777" w:rsidTr="00C47639">
        <w:trPr>
          <w:trHeight w:val="298"/>
        </w:trPr>
        <w:tc>
          <w:tcPr>
            <w:tcW w:w="1084" w:type="pct"/>
            <w:tcBorders>
              <w:top w:val="single" w:sz="6" w:space="0" w:color="auto"/>
              <w:left w:val="single" w:sz="4" w:space="0" w:color="auto"/>
              <w:bottom w:val="single" w:sz="6" w:space="0" w:color="auto"/>
              <w:right w:val="single" w:sz="6" w:space="0" w:color="auto"/>
            </w:tcBorders>
            <w:shd w:val="clear" w:color="auto" w:fill="auto"/>
          </w:tcPr>
          <w:p w14:paraId="6A1D6FEB" w14:textId="77777777" w:rsidR="00C47639" w:rsidRPr="00FD2055" w:rsidRDefault="00C47639" w:rsidP="00C47639">
            <w:r w:rsidRPr="00FD2055">
              <w:t>Value/conclusion</w:t>
            </w:r>
          </w:p>
        </w:tc>
        <w:tc>
          <w:tcPr>
            <w:tcW w:w="3916" w:type="pct"/>
            <w:tcBorders>
              <w:top w:val="single" w:sz="6" w:space="0" w:color="auto"/>
              <w:left w:val="single" w:sz="6" w:space="0" w:color="auto"/>
              <w:bottom w:val="single" w:sz="6" w:space="0" w:color="auto"/>
              <w:right w:val="single" w:sz="6" w:space="0" w:color="auto"/>
            </w:tcBorders>
          </w:tcPr>
          <w:p w14:paraId="065B8615" w14:textId="77777777" w:rsidR="00C47639" w:rsidRPr="00FD2055" w:rsidRDefault="00C47639" w:rsidP="00C47639"/>
        </w:tc>
      </w:tr>
      <w:tr w:rsidR="00C47639" w:rsidRPr="00FD2055" w14:paraId="06F96BE2" w14:textId="77777777" w:rsidTr="00C47639">
        <w:tc>
          <w:tcPr>
            <w:tcW w:w="1084" w:type="pct"/>
            <w:tcBorders>
              <w:top w:val="single" w:sz="6" w:space="0" w:color="auto"/>
              <w:left w:val="single" w:sz="4" w:space="0" w:color="auto"/>
              <w:bottom w:val="single" w:sz="6" w:space="0" w:color="auto"/>
              <w:right w:val="single" w:sz="6" w:space="0" w:color="auto"/>
            </w:tcBorders>
            <w:shd w:val="clear" w:color="auto" w:fill="auto"/>
          </w:tcPr>
          <w:p w14:paraId="532F0FDA" w14:textId="77777777" w:rsidR="00C47639" w:rsidRPr="00FD2055" w:rsidRDefault="00C47639" w:rsidP="00C47639">
            <w:r w:rsidRPr="00FD2055">
              <w:t>Justification for the value/conclusion</w:t>
            </w:r>
          </w:p>
        </w:tc>
        <w:tc>
          <w:tcPr>
            <w:tcW w:w="3916" w:type="pct"/>
            <w:tcBorders>
              <w:top w:val="single" w:sz="6" w:space="0" w:color="auto"/>
              <w:left w:val="single" w:sz="6" w:space="0" w:color="auto"/>
              <w:bottom w:val="single" w:sz="6" w:space="0" w:color="auto"/>
              <w:right w:val="single" w:sz="6" w:space="0" w:color="auto"/>
            </w:tcBorders>
          </w:tcPr>
          <w:p w14:paraId="4F7FFC4E" w14:textId="77777777" w:rsidR="00C47639" w:rsidRPr="00585EC9" w:rsidRDefault="00C47639" w:rsidP="00C47639">
            <w:pPr>
              <w:spacing w:line="260" w:lineRule="atLeast"/>
            </w:pPr>
            <w:r w:rsidRPr="00585EC9">
              <w:t>None of the ingredients of the product is known to be sensitizing to the respiratory tract. Moreover, from tests in guinea pigs the product was proven not to exert any skin sensitizing properties. In addition, the active ingredient IR3535</w:t>
            </w:r>
            <w:r w:rsidRPr="0004367B">
              <w:rPr>
                <w:vertAlign w:val="superscript"/>
                <w:lang w:eastAsia="fr-FR"/>
              </w:rPr>
              <w:t>®</w:t>
            </w:r>
            <w:r w:rsidRPr="00585EC9">
              <w:t xml:space="preserve"> did not show a sensitizing or photosensitizing potential from tests in guinea pigs. </w:t>
            </w:r>
            <w:r w:rsidRPr="00585EC9">
              <w:lastRenderedPageBreak/>
              <w:t>Finally, IR3535</w:t>
            </w:r>
            <w:r w:rsidRPr="0004367B">
              <w:rPr>
                <w:vertAlign w:val="superscript"/>
                <w:lang w:eastAsia="fr-FR"/>
              </w:rPr>
              <w:t>®</w:t>
            </w:r>
            <w:r w:rsidRPr="00585EC9">
              <w:t xml:space="preserve"> products are on the market for more than 40 years and there are no indications for any sensitizing potential neither to the skin nor to the respiratory tract. </w:t>
            </w:r>
          </w:p>
          <w:p w14:paraId="7BFF29F4" w14:textId="77777777" w:rsidR="00C47639" w:rsidRPr="00FD2055" w:rsidRDefault="00C47639" w:rsidP="00C47639">
            <w:r w:rsidRPr="00585EC9">
              <w:t>Based on all this data it is thus concluded that the product is not sensitizing to the respiratory tract.</w:t>
            </w:r>
          </w:p>
        </w:tc>
      </w:tr>
      <w:tr w:rsidR="00C47639" w:rsidRPr="00FD2055" w14:paraId="440C71A2" w14:textId="77777777" w:rsidTr="00C47639">
        <w:tc>
          <w:tcPr>
            <w:tcW w:w="1084" w:type="pct"/>
            <w:tcBorders>
              <w:top w:val="single" w:sz="6" w:space="0" w:color="auto"/>
              <w:left w:val="single" w:sz="4" w:space="0" w:color="auto"/>
              <w:bottom w:val="single" w:sz="6" w:space="0" w:color="auto"/>
              <w:right w:val="single" w:sz="6" w:space="0" w:color="auto"/>
            </w:tcBorders>
            <w:shd w:val="clear" w:color="auto" w:fill="auto"/>
          </w:tcPr>
          <w:p w14:paraId="29AC627E" w14:textId="77777777" w:rsidR="00C47639" w:rsidRPr="00FD2055" w:rsidRDefault="00C47639" w:rsidP="00C47639">
            <w:r w:rsidRPr="00FD2055">
              <w:lastRenderedPageBreak/>
              <w:t>Classification of the product according to CLP and DSD</w:t>
            </w:r>
          </w:p>
        </w:tc>
        <w:tc>
          <w:tcPr>
            <w:tcW w:w="3916" w:type="pct"/>
            <w:tcBorders>
              <w:top w:val="single" w:sz="6" w:space="0" w:color="auto"/>
              <w:left w:val="single" w:sz="6" w:space="0" w:color="auto"/>
              <w:bottom w:val="single" w:sz="6" w:space="0" w:color="auto"/>
              <w:right w:val="single" w:sz="6" w:space="0" w:color="auto"/>
            </w:tcBorders>
          </w:tcPr>
          <w:p w14:paraId="554B47C0" w14:textId="77777777" w:rsidR="00C47639" w:rsidRPr="00FD2055" w:rsidRDefault="00C47639" w:rsidP="00C47639">
            <w:r>
              <w:t>none</w:t>
            </w:r>
          </w:p>
        </w:tc>
      </w:tr>
    </w:tbl>
    <w:p w14:paraId="2C70285F" w14:textId="77777777" w:rsidR="00C47639" w:rsidRDefault="00C47639" w:rsidP="00C47639">
      <w:pPr>
        <w:spacing w:before="0" w:after="160" w:line="259" w:lineRule="auto"/>
      </w:pPr>
      <w:r>
        <w:br w:type="page"/>
      </w:r>
    </w:p>
    <w:p w14:paraId="65C99A27" w14:textId="77777777" w:rsidR="00C47639" w:rsidRPr="00BD2EF1" w:rsidRDefault="00C47639" w:rsidP="00C47639">
      <w:pPr>
        <w:pStyle w:val="Titre5"/>
      </w:pPr>
      <w:bookmarkStart w:id="165" w:name="_Toc532391090"/>
      <w:bookmarkStart w:id="166" w:name="_Toc8296504"/>
      <w:r>
        <w:lastRenderedPageBreak/>
        <w:t>Acute toxicity</w:t>
      </w:r>
      <w:bookmarkEnd w:id="165"/>
      <w:bookmarkEnd w:id="166"/>
    </w:p>
    <w:p w14:paraId="022BBB9D" w14:textId="77777777" w:rsidR="00C47639" w:rsidRDefault="00C47639" w:rsidP="00C47639">
      <w:pPr>
        <w:pStyle w:val="Titre6"/>
        <w:numPr>
          <w:ilvl w:val="0"/>
          <w:numId w:val="3"/>
        </w:numPr>
      </w:pPr>
      <w:proofErr w:type="spellStart"/>
      <w:r>
        <w:t>Acute</w:t>
      </w:r>
      <w:proofErr w:type="spellEnd"/>
      <w:r>
        <w:t xml:space="preserve"> </w:t>
      </w:r>
      <w:proofErr w:type="spellStart"/>
      <w:r>
        <w:t>toxicity</w:t>
      </w:r>
      <w:proofErr w:type="spellEnd"/>
      <w:r>
        <w:t xml:space="preserve"> </w:t>
      </w:r>
      <w:proofErr w:type="spellStart"/>
      <w:r>
        <w:t>by</w:t>
      </w:r>
      <w:proofErr w:type="spellEnd"/>
      <w:r>
        <w:t xml:space="preserve"> oral route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15"/>
        <w:gridCol w:w="11416"/>
      </w:tblGrid>
      <w:tr w:rsidR="00C47639" w:rsidRPr="000F4416" w14:paraId="5A501801"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62C929A9" w14:textId="77777777" w:rsidR="00C47639" w:rsidRPr="000F4416" w:rsidRDefault="00C47639" w:rsidP="00C47639">
            <w:pPr>
              <w:rPr>
                <w:b/>
              </w:rPr>
            </w:pPr>
            <w:r w:rsidRPr="000F4416">
              <w:rPr>
                <w:b/>
              </w:rPr>
              <w:t>Value used in the Risk Assessment – Acute oral toxicity</w:t>
            </w:r>
          </w:p>
        </w:tc>
      </w:tr>
      <w:tr w:rsidR="00C47639" w:rsidRPr="00FD2055" w14:paraId="3BD592D2" w14:textId="77777777" w:rsidTr="00C47639">
        <w:tc>
          <w:tcPr>
            <w:tcW w:w="1017" w:type="pct"/>
            <w:tcBorders>
              <w:top w:val="single" w:sz="6" w:space="0" w:color="auto"/>
              <w:left w:val="single" w:sz="4" w:space="0" w:color="auto"/>
              <w:bottom w:val="single" w:sz="6" w:space="0" w:color="auto"/>
              <w:right w:val="single" w:sz="6" w:space="0" w:color="auto"/>
            </w:tcBorders>
            <w:shd w:val="clear" w:color="auto" w:fill="auto"/>
          </w:tcPr>
          <w:p w14:paraId="4DB5C683" w14:textId="77777777" w:rsidR="00C47639" w:rsidRPr="00FD2055" w:rsidRDefault="00C47639" w:rsidP="00C47639">
            <w:r w:rsidRPr="00FD2055">
              <w:t>Value</w:t>
            </w:r>
          </w:p>
        </w:tc>
        <w:tc>
          <w:tcPr>
            <w:tcW w:w="3983" w:type="pct"/>
            <w:tcBorders>
              <w:top w:val="single" w:sz="6" w:space="0" w:color="auto"/>
              <w:left w:val="single" w:sz="6" w:space="0" w:color="auto"/>
              <w:bottom w:val="single" w:sz="6" w:space="0" w:color="auto"/>
              <w:right w:val="single" w:sz="6" w:space="0" w:color="auto"/>
            </w:tcBorders>
          </w:tcPr>
          <w:p w14:paraId="518D7BDC" w14:textId="77777777" w:rsidR="00C47639" w:rsidRPr="00FD2055" w:rsidRDefault="00C47639" w:rsidP="00C47639">
            <w:r>
              <w:t xml:space="preserve">Biocidal product not classified for acute oral toxicity according to (EU) </w:t>
            </w:r>
            <w:proofErr w:type="spellStart"/>
            <w:r>
              <w:t>nr</w:t>
            </w:r>
            <w:proofErr w:type="spellEnd"/>
            <w:r>
              <w:t>. 1272/2008</w:t>
            </w:r>
          </w:p>
        </w:tc>
      </w:tr>
      <w:tr w:rsidR="00C47639" w:rsidRPr="00FD2055" w14:paraId="3C6259FC" w14:textId="77777777" w:rsidTr="00C47639">
        <w:tc>
          <w:tcPr>
            <w:tcW w:w="1017" w:type="pct"/>
            <w:tcBorders>
              <w:top w:val="single" w:sz="6" w:space="0" w:color="auto"/>
              <w:left w:val="single" w:sz="4" w:space="0" w:color="auto"/>
              <w:bottom w:val="single" w:sz="6" w:space="0" w:color="auto"/>
              <w:right w:val="single" w:sz="6" w:space="0" w:color="auto"/>
            </w:tcBorders>
            <w:shd w:val="clear" w:color="auto" w:fill="auto"/>
          </w:tcPr>
          <w:p w14:paraId="0B6E4B59" w14:textId="77777777" w:rsidR="00C47639" w:rsidRPr="00FD2055" w:rsidRDefault="00C47639" w:rsidP="00C47639">
            <w:r w:rsidRPr="00FD2055">
              <w:t>Justification for the selected value</w:t>
            </w:r>
          </w:p>
        </w:tc>
        <w:tc>
          <w:tcPr>
            <w:tcW w:w="3983" w:type="pct"/>
            <w:tcBorders>
              <w:top w:val="single" w:sz="6" w:space="0" w:color="auto"/>
              <w:left w:val="single" w:sz="6" w:space="0" w:color="auto"/>
              <w:bottom w:val="single" w:sz="6" w:space="0" w:color="auto"/>
              <w:right w:val="single" w:sz="6" w:space="0" w:color="auto"/>
            </w:tcBorders>
          </w:tcPr>
          <w:p w14:paraId="214D4CA2" w14:textId="77777777" w:rsidR="00C47639" w:rsidRPr="00564DBE" w:rsidRDefault="00C47639" w:rsidP="00C47639">
            <w:r w:rsidRPr="00564DBE">
              <w:t xml:space="preserve">Neither the active ingredient nor one of the other </w:t>
            </w:r>
            <w:r w:rsidRPr="00564DBE">
              <w:rPr>
                <w:rFonts w:cs="36jii"/>
                <w:lang w:eastAsia="fr-BE"/>
              </w:rPr>
              <w:t xml:space="preserve">relevant </w:t>
            </w:r>
            <w:r w:rsidRPr="00564DBE">
              <w:t>ingredients of the biocidal product are classified with respect to acute oral toxicity. Thus, Insect Repellent Pump Spray IR3535</w:t>
            </w:r>
            <w:r w:rsidRPr="00AC0EA0">
              <w:rPr>
                <w:vertAlign w:val="superscript"/>
              </w:rPr>
              <w:t>®</w:t>
            </w:r>
            <w:r w:rsidRPr="00564DBE">
              <w:t xml:space="preserve"> 20 % has no potential for an acute oral toxicity hazard and no classification with respect to acute oral toxicity is required.</w:t>
            </w:r>
          </w:p>
          <w:p w14:paraId="2D819847" w14:textId="77777777" w:rsidR="00C47639" w:rsidRPr="00564DBE" w:rsidRDefault="00C47639" w:rsidP="00C47639">
            <w:pPr>
              <w:rPr>
                <w:rFonts w:ascii="Times New Roman" w:hAnsi="Times New Roman"/>
                <w:b/>
                <w:bCs/>
                <w:iCs/>
              </w:rPr>
            </w:pPr>
          </w:p>
          <w:p w14:paraId="5FBBA2D3" w14:textId="77777777" w:rsidR="00C47639" w:rsidRPr="00564DBE" w:rsidRDefault="00C47639" w:rsidP="00C47639">
            <w:r w:rsidRPr="00564DBE">
              <w:rPr>
                <w:bCs/>
              </w:rPr>
              <w:t>No human data are available for acute oral toxicity.</w:t>
            </w:r>
          </w:p>
        </w:tc>
      </w:tr>
      <w:tr w:rsidR="00C47639" w:rsidRPr="00FD2055" w14:paraId="04349C57" w14:textId="77777777" w:rsidTr="00C47639">
        <w:tc>
          <w:tcPr>
            <w:tcW w:w="1017" w:type="pct"/>
            <w:tcBorders>
              <w:top w:val="single" w:sz="6" w:space="0" w:color="auto"/>
              <w:left w:val="single" w:sz="4" w:space="0" w:color="auto"/>
              <w:bottom w:val="single" w:sz="6" w:space="0" w:color="auto"/>
              <w:right w:val="single" w:sz="6" w:space="0" w:color="auto"/>
            </w:tcBorders>
            <w:shd w:val="clear" w:color="auto" w:fill="auto"/>
          </w:tcPr>
          <w:p w14:paraId="2422F084" w14:textId="77777777" w:rsidR="00C47639" w:rsidRPr="00FD2055" w:rsidRDefault="00C47639" w:rsidP="00C47639">
            <w:r w:rsidRPr="00FD2055">
              <w:t>Classification of the product according to CLP and DSD</w:t>
            </w:r>
          </w:p>
        </w:tc>
        <w:tc>
          <w:tcPr>
            <w:tcW w:w="3983" w:type="pct"/>
            <w:tcBorders>
              <w:top w:val="single" w:sz="6" w:space="0" w:color="auto"/>
              <w:left w:val="single" w:sz="6" w:space="0" w:color="auto"/>
              <w:bottom w:val="single" w:sz="6" w:space="0" w:color="auto"/>
              <w:right w:val="single" w:sz="6" w:space="0" w:color="auto"/>
            </w:tcBorders>
          </w:tcPr>
          <w:p w14:paraId="6B71B4DE" w14:textId="77777777" w:rsidR="00C47639" w:rsidRPr="00FD2055" w:rsidRDefault="00C47639" w:rsidP="00C47639">
            <w:r>
              <w:t>none</w:t>
            </w:r>
          </w:p>
        </w:tc>
      </w:tr>
    </w:tbl>
    <w:p w14:paraId="715E7A76" w14:textId="77777777" w:rsidR="00C47639" w:rsidRPr="000F4416"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03"/>
        <w:gridCol w:w="12428"/>
      </w:tblGrid>
      <w:tr w:rsidR="00C47639" w:rsidRPr="000F4416" w14:paraId="4C048625"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08CFE4C" w14:textId="77777777" w:rsidR="00C47639" w:rsidRPr="000F4416" w:rsidRDefault="00C47639" w:rsidP="00C47639">
            <w:pPr>
              <w:rPr>
                <w:b/>
              </w:rPr>
            </w:pPr>
            <w:r w:rsidRPr="000F4416">
              <w:rPr>
                <w:b/>
              </w:rPr>
              <w:t>Data waiving</w:t>
            </w:r>
          </w:p>
        </w:tc>
      </w:tr>
      <w:tr w:rsidR="00C47639" w:rsidRPr="00FD2055" w14:paraId="0B79EC26" w14:textId="77777777" w:rsidTr="00C47639">
        <w:tc>
          <w:tcPr>
            <w:tcW w:w="664" w:type="pct"/>
            <w:tcBorders>
              <w:top w:val="single" w:sz="6" w:space="0" w:color="auto"/>
              <w:left w:val="single" w:sz="4" w:space="0" w:color="auto"/>
              <w:bottom w:val="single" w:sz="6" w:space="0" w:color="auto"/>
              <w:right w:val="single" w:sz="6" w:space="0" w:color="auto"/>
            </w:tcBorders>
            <w:shd w:val="clear" w:color="auto" w:fill="auto"/>
          </w:tcPr>
          <w:p w14:paraId="649B1FCB" w14:textId="77777777" w:rsidR="00C47639" w:rsidRPr="00FD2055" w:rsidRDefault="00C47639" w:rsidP="00C47639">
            <w:r w:rsidRPr="00FD2055">
              <w:t>Information requirement</w:t>
            </w:r>
          </w:p>
        </w:tc>
        <w:tc>
          <w:tcPr>
            <w:tcW w:w="4336" w:type="pct"/>
            <w:tcBorders>
              <w:top w:val="single" w:sz="6" w:space="0" w:color="auto"/>
              <w:left w:val="single" w:sz="6" w:space="0" w:color="auto"/>
              <w:bottom w:val="single" w:sz="6" w:space="0" w:color="auto"/>
              <w:right w:val="single" w:sz="6" w:space="0" w:color="auto"/>
            </w:tcBorders>
          </w:tcPr>
          <w:p w14:paraId="2E1F8D3B" w14:textId="77777777" w:rsidR="00C47639" w:rsidRPr="00FD2055" w:rsidRDefault="00C47639" w:rsidP="00C47639">
            <w:r>
              <w:t>Acute oral toxicity: Study scientifically unjustified</w:t>
            </w:r>
          </w:p>
        </w:tc>
      </w:tr>
      <w:tr w:rsidR="00C47639" w:rsidRPr="00FD2055" w14:paraId="2D93C413" w14:textId="77777777" w:rsidTr="00C47639">
        <w:tc>
          <w:tcPr>
            <w:tcW w:w="664" w:type="pct"/>
            <w:tcBorders>
              <w:top w:val="single" w:sz="6" w:space="0" w:color="auto"/>
              <w:left w:val="single" w:sz="4" w:space="0" w:color="auto"/>
              <w:bottom w:val="single" w:sz="6" w:space="0" w:color="auto"/>
              <w:right w:val="single" w:sz="6" w:space="0" w:color="auto"/>
            </w:tcBorders>
            <w:shd w:val="clear" w:color="auto" w:fill="auto"/>
          </w:tcPr>
          <w:p w14:paraId="5F652DDE" w14:textId="77777777" w:rsidR="00C47639" w:rsidRPr="00FD2055" w:rsidRDefault="00C47639" w:rsidP="00C47639">
            <w:r w:rsidRPr="00FD2055">
              <w:t>Justification</w:t>
            </w:r>
          </w:p>
        </w:tc>
        <w:tc>
          <w:tcPr>
            <w:tcW w:w="4336" w:type="pct"/>
            <w:tcBorders>
              <w:top w:val="single" w:sz="6" w:space="0" w:color="auto"/>
              <w:left w:val="single" w:sz="6" w:space="0" w:color="auto"/>
              <w:bottom w:val="single" w:sz="6" w:space="0" w:color="auto"/>
              <w:right w:val="single" w:sz="6" w:space="0" w:color="auto"/>
            </w:tcBorders>
          </w:tcPr>
          <w:p w14:paraId="479D831A" w14:textId="77777777" w:rsidR="00C47639" w:rsidRDefault="00C47639" w:rsidP="00C47639">
            <w:pPr>
              <w:rPr>
                <w:rFonts w:cs="Verdana"/>
                <w:color w:val="000000"/>
                <w:lang w:eastAsia="fr-BE"/>
              </w:rPr>
            </w:pPr>
            <w:r w:rsidRPr="004C3125">
              <w:t>Since the acute oral toxicity of Insect Repellent Pump Spray IR3535</w:t>
            </w:r>
            <w:r w:rsidRPr="00AC0EA0">
              <w:rPr>
                <w:vertAlign w:val="superscript"/>
              </w:rPr>
              <w:t>®</w:t>
            </w:r>
            <w:r w:rsidRPr="004C3125">
              <w:t xml:space="preserve"> 20 % can be assessed on the basis of the properties of the ingredients, the performance of an acute oral toxicity study with the biocidal product is scientifically not justified. </w:t>
            </w:r>
            <w:r w:rsidRPr="009B1F8D">
              <w:rPr>
                <w:rFonts w:cs="36jii"/>
                <w:lang w:eastAsia="fr-BE"/>
              </w:rPr>
              <w:t>See IUCLID data point 8.5.1 Endpoint study record: Acute toxicity: oral.001.</w:t>
            </w:r>
          </w:p>
          <w:p w14:paraId="00BB540A" w14:textId="77777777" w:rsidR="00C47639" w:rsidRPr="00FD2055" w:rsidRDefault="00C47639" w:rsidP="00C47639">
            <w:r w:rsidRPr="006B211A">
              <w:rPr>
                <w:rFonts w:cs="Verdana"/>
                <w:color w:val="000000"/>
                <w:lang w:eastAsia="fr-BE"/>
              </w:rPr>
              <w:t>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18D5C879" w14:textId="77777777" w:rsidR="00C47639" w:rsidRPr="000F4416" w:rsidRDefault="00C47639" w:rsidP="00C47639"/>
    <w:p w14:paraId="5C789871" w14:textId="77777777" w:rsidR="00C47639" w:rsidRPr="000F4416" w:rsidRDefault="00C47639" w:rsidP="00C47639">
      <w:pPr>
        <w:pStyle w:val="Titre6"/>
        <w:numPr>
          <w:ilvl w:val="0"/>
          <w:numId w:val="3"/>
        </w:numPr>
      </w:pPr>
      <w:bookmarkStart w:id="167" w:name="_Toc389729056"/>
      <w:r w:rsidRPr="008A3D8E">
        <w:rPr>
          <w:lang w:val="en-US"/>
        </w:rPr>
        <w:br w:type="page"/>
      </w:r>
      <w:proofErr w:type="spellStart"/>
      <w:r w:rsidRPr="000F4416">
        <w:lastRenderedPageBreak/>
        <w:t>Acute</w:t>
      </w:r>
      <w:proofErr w:type="spellEnd"/>
      <w:r w:rsidRPr="000F4416">
        <w:t xml:space="preserve"> </w:t>
      </w:r>
      <w:proofErr w:type="spellStart"/>
      <w:r w:rsidRPr="000F4416">
        <w:t>toxicity</w:t>
      </w:r>
      <w:proofErr w:type="spellEnd"/>
      <w:r w:rsidRPr="000F4416">
        <w:t xml:space="preserve"> </w:t>
      </w:r>
      <w:proofErr w:type="spellStart"/>
      <w:r w:rsidRPr="000F4416">
        <w:t>by</w:t>
      </w:r>
      <w:proofErr w:type="spellEnd"/>
      <w:r w:rsidRPr="000F4416">
        <w:t xml:space="preserve"> </w:t>
      </w:r>
      <w:proofErr w:type="spellStart"/>
      <w:r w:rsidRPr="000F4416">
        <w:t>inhalation</w:t>
      </w:r>
      <w:bookmarkEnd w:id="167"/>
      <w:proofErr w:type="spellEnd"/>
    </w:p>
    <w:p w14:paraId="197D1E60" w14:textId="77777777" w:rsidR="00C47639" w:rsidRPr="00F62072" w:rsidRDefault="00C47639" w:rsidP="00C47639">
      <w:pPr>
        <w:spacing w:line="260" w:lineRule="atLeast"/>
        <w:rPr>
          <w:bCs/>
        </w:rPr>
      </w:pPr>
      <w:r w:rsidRPr="00B815F0">
        <w:rPr>
          <w:bCs/>
        </w:rPr>
        <w:t>No human data are available for acute inhalation toxicity.</w:t>
      </w:r>
    </w:p>
    <w:p w14:paraId="700319A5" w14:textId="77777777" w:rsidR="00C47639" w:rsidRPr="00FD2055" w:rsidRDefault="00C47639" w:rsidP="00C47639">
      <w:pPr>
        <w:spacing w:line="260" w:lineRule="atLeast"/>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98"/>
        <w:gridCol w:w="9533"/>
      </w:tblGrid>
      <w:tr w:rsidR="00C47639" w:rsidRPr="003623A6" w14:paraId="732CDCDC"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1FBC7CD" w14:textId="77777777" w:rsidR="00C47639" w:rsidRPr="003623A6" w:rsidRDefault="00C47639" w:rsidP="00C47639">
            <w:pPr>
              <w:rPr>
                <w:b/>
              </w:rPr>
            </w:pPr>
            <w:r w:rsidRPr="003623A6">
              <w:rPr>
                <w:b/>
              </w:rPr>
              <w:t>Value used in the Risk Assessment – Acute inhalation toxicity</w:t>
            </w:r>
          </w:p>
        </w:tc>
      </w:tr>
      <w:tr w:rsidR="00C47639" w:rsidRPr="00FD2055" w14:paraId="381A2CF2" w14:textId="77777777" w:rsidTr="00C47639">
        <w:tc>
          <w:tcPr>
            <w:tcW w:w="1674" w:type="pct"/>
            <w:tcBorders>
              <w:top w:val="single" w:sz="6" w:space="0" w:color="auto"/>
              <w:left w:val="single" w:sz="4" w:space="0" w:color="auto"/>
              <w:bottom w:val="single" w:sz="6" w:space="0" w:color="auto"/>
              <w:right w:val="single" w:sz="6" w:space="0" w:color="auto"/>
            </w:tcBorders>
            <w:shd w:val="clear" w:color="auto" w:fill="auto"/>
          </w:tcPr>
          <w:p w14:paraId="1B21D883" w14:textId="77777777" w:rsidR="00C47639" w:rsidRPr="00FD2055" w:rsidRDefault="00C47639" w:rsidP="00C47639">
            <w:r w:rsidRPr="00FD2055">
              <w:t>Value</w:t>
            </w:r>
          </w:p>
        </w:tc>
        <w:tc>
          <w:tcPr>
            <w:tcW w:w="3326" w:type="pct"/>
            <w:tcBorders>
              <w:top w:val="single" w:sz="6" w:space="0" w:color="auto"/>
              <w:left w:val="single" w:sz="6" w:space="0" w:color="auto"/>
              <w:bottom w:val="single" w:sz="6" w:space="0" w:color="auto"/>
              <w:right w:val="single" w:sz="6" w:space="0" w:color="auto"/>
            </w:tcBorders>
          </w:tcPr>
          <w:p w14:paraId="7C7BE557" w14:textId="77777777" w:rsidR="00C47639" w:rsidRPr="00FD2055" w:rsidRDefault="00C47639" w:rsidP="00C47639">
            <w:r>
              <w:t xml:space="preserve">Biocidal product not classified for acute toxicity (inhalation) according to (EU) </w:t>
            </w:r>
            <w:proofErr w:type="spellStart"/>
            <w:r>
              <w:t>nr</w:t>
            </w:r>
            <w:proofErr w:type="spellEnd"/>
            <w:r>
              <w:t>. 1272/2008</w:t>
            </w:r>
          </w:p>
        </w:tc>
      </w:tr>
      <w:tr w:rsidR="00C47639" w:rsidRPr="00FD2055" w14:paraId="13A5F7EA" w14:textId="77777777" w:rsidTr="00C47639">
        <w:tc>
          <w:tcPr>
            <w:tcW w:w="1674" w:type="pct"/>
            <w:tcBorders>
              <w:top w:val="single" w:sz="6" w:space="0" w:color="auto"/>
              <w:left w:val="single" w:sz="4" w:space="0" w:color="auto"/>
              <w:bottom w:val="single" w:sz="6" w:space="0" w:color="auto"/>
              <w:right w:val="single" w:sz="6" w:space="0" w:color="auto"/>
            </w:tcBorders>
            <w:shd w:val="clear" w:color="auto" w:fill="auto"/>
          </w:tcPr>
          <w:p w14:paraId="5F3B20F2" w14:textId="77777777" w:rsidR="00C47639" w:rsidRPr="00FD2055" w:rsidRDefault="00C47639" w:rsidP="00C47639">
            <w:r w:rsidRPr="00FD2055">
              <w:t>Justification for the selected value</w:t>
            </w:r>
          </w:p>
        </w:tc>
        <w:tc>
          <w:tcPr>
            <w:tcW w:w="3326" w:type="pct"/>
            <w:tcBorders>
              <w:top w:val="single" w:sz="6" w:space="0" w:color="auto"/>
              <w:left w:val="single" w:sz="6" w:space="0" w:color="auto"/>
              <w:bottom w:val="single" w:sz="6" w:space="0" w:color="auto"/>
              <w:right w:val="single" w:sz="6" w:space="0" w:color="auto"/>
            </w:tcBorders>
          </w:tcPr>
          <w:p w14:paraId="7A6BC65E" w14:textId="77777777" w:rsidR="00C47639" w:rsidRPr="003650A5" w:rsidRDefault="00C47639" w:rsidP="00C47639">
            <w:r w:rsidRPr="0082064F">
              <w:t xml:space="preserve">None of the components of the biocide are classified </w:t>
            </w:r>
            <w:proofErr w:type="gramStart"/>
            <w:r w:rsidRPr="0082064F">
              <w:t>for  acute</w:t>
            </w:r>
            <w:proofErr w:type="gramEnd"/>
            <w:r w:rsidRPr="0082064F">
              <w:t xml:space="preserve"> inhalation toxicity according to (EU) </w:t>
            </w:r>
            <w:proofErr w:type="spellStart"/>
            <w:r w:rsidRPr="0082064F">
              <w:t>nr</w:t>
            </w:r>
            <w:proofErr w:type="spellEnd"/>
            <w:r w:rsidRPr="0082064F">
              <w:t>. 1272/2008.</w:t>
            </w:r>
            <w:r>
              <w:t xml:space="preserve"> </w:t>
            </w:r>
          </w:p>
        </w:tc>
      </w:tr>
      <w:tr w:rsidR="00C47639" w:rsidRPr="00FD2055" w14:paraId="04CA0998" w14:textId="77777777" w:rsidTr="00C47639">
        <w:tc>
          <w:tcPr>
            <w:tcW w:w="1674" w:type="pct"/>
            <w:tcBorders>
              <w:top w:val="single" w:sz="6" w:space="0" w:color="auto"/>
              <w:left w:val="single" w:sz="4" w:space="0" w:color="auto"/>
              <w:bottom w:val="single" w:sz="6" w:space="0" w:color="auto"/>
              <w:right w:val="single" w:sz="6" w:space="0" w:color="auto"/>
            </w:tcBorders>
            <w:shd w:val="clear" w:color="auto" w:fill="auto"/>
          </w:tcPr>
          <w:p w14:paraId="612497E9" w14:textId="77777777" w:rsidR="00C47639" w:rsidRPr="00FD2055" w:rsidRDefault="00C47639" w:rsidP="00C47639">
            <w:r w:rsidRPr="00FD2055">
              <w:t>Classification of the product according to CLP and DSD</w:t>
            </w:r>
          </w:p>
        </w:tc>
        <w:tc>
          <w:tcPr>
            <w:tcW w:w="3326" w:type="pct"/>
            <w:tcBorders>
              <w:top w:val="single" w:sz="6" w:space="0" w:color="auto"/>
              <w:left w:val="single" w:sz="6" w:space="0" w:color="auto"/>
              <w:bottom w:val="single" w:sz="6" w:space="0" w:color="auto"/>
              <w:right w:val="single" w:sz="6" w:space="0" w:color="auto"/>
            </w:tcBorders>
          </w:tcPr>
          <w:p w14:paraId="53E49F8F" w14:textId="77777777" w:rsidR="00C47639" w:rsidRPr="00FD2055" w:rsidRDefault="00C47639" w:rsidP="00C47639">
            <w:r>
              <w:t>none</w:t>
            </w:r>
          </w:p>
        </w:tc>
      </w:tr>
    </w:tbl>
    <w:p w14:paraId="55DEBB1F" w14:textId="77777777" w:rsidR="00C47639" w:rsidRPr="00FD2055" w:rsidRDefault="00C47639" w:rsidP="00C47639">
      <w:pPr>
        <w:spacing w:line="260" w:lineRule="atLeast"/>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7"/>
        <w:gridCol w:w="12434"/>
      </w:tblGrid>
      <w:tr w:rsidR="00C47639" w:rsidRPr="003623A6" w14:paraId="6E463E4C"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CBD8939" w14:textId="77777777" w:rsidR="00C47639" w:rsidRPr="003623A6" w:rsidRDefault="00C47639" w:rsidP="00C47639">
            <w:pPr>
              <w:rPr>
                <w:b/>
              </w:rPr>
            </w:pPr>
            <w:r w:rsidRPr="003623A6">
              <w:rPr>
                <w:b/>
              </w:rPr>
              <w:t>Data waiving</w:t>
            </w:r>
          </w:p>
        </w:tc>
      </w:tr>
      <w:tr w:rsidR="00C47639" w:rsidRPr="00FD2055" w14:paraId="2DFB135F" w14:textId="77777777" w:rsidTr="00C47639">
        <w:tc>
          <w:tcPr>
            <w:tcW w:w="662" w:type="pct"/>
            <w:tcBorders>
              <w:top w:val="single" w:sz="6" w:space="0" w:color="auto"/>
              <w:left w:val="single" w:sz="4" w:space="0" w:color="auto"/>
              <w:bottom w:val="single" w:sz="6" w:space="0" w:color="auto"/>
              <w:right w:val="single" w:sz="6" w:space="0" w:color="auto"/>
            </w:tcBorders>
            <w:shd w:val="clear" w:color="auto" w:fill="auto"/>
          </w:tcPr>
          <w:p w14:paraId="17D0EDB6" w14:textId="77777777" w:rsidR="00C47639" w:rsidRPr="00FD2055" w:rsidRDefault="00C47639" w:rsidP="00C47639">
            <w:r w:rsidRPr="00FD2055">
              <w:t>Information requirement</w:t>
            </w:r>
          </w:p>
        </w:tc>
        <w:tc>
          <w:tcPr>
            <w:tcW w:w="4338" w:type="pct"/>
            <w:tcBorders>
              <w:top w:val="single" w:sz="6" w:space="0" w:color="auto"/>
              <w:left w:val="single" w:sz="6" w:space="0" w:color="auto"/>
              <w:bottom w:val="single" w:sz="6" w:space="0" w:color="auto"/>
              <w:right w:val="single" w:sz="6" w:space="0" w:color="auto"/>
            </w:tcBorders>
          </w:tcPr>
          <w:p w14:paraId="453C1B96" w14:textId="77777777" w:rsidR="00C47639" w:rsidRPr="00FD2055" w:rsidRDefault="00C47639" w:rsidP="00C47639">
            <w:r>
              <w:t>Acute inhalation toxicity: Study scientifically unjustified</w:t>
            </w:r>
          </w:p>
        </w:tc>
      </w:tr>
      <w:tr w:rsidR="00C47639" w:rsidRPr="00FD2055" w14:paraId="3EE0287F" w14:textId="77777777" w:rsidTr="00C47639">
        <w:tc>
          <w:tcPr>
            <w:tcW w:w="662" w:type="pct"/>
            <w:tcBorders>
              <w:top w:val="single" w:sz="6" w:space="0" w:color="auto"/>
              <w:left w:val="single" w:sz="4" w:space="0" w:color="auto"/>
              <w:bottom w:val="single" w:sz="6" w:space="0" w:color="auto"/>
              <w:right w:val="single" w:sz="6" w:space="0" w:color="auto"/>
            </w:tcBorders>
            <w:shd w:val="clear" w:color="auto" w:fill="auto"/>
          </w:tcPr>
          <w:p w14:paraId="1423011A" w14:textId="77777777" w:rsidR="00C47639" w:rsidRPr="00FD2055" w:rsidRDefault="00C47639" w:rsidP="00C47639">
            <w:r w:rsidRPr="00FD2055">
              <w:t>Justification</w:t>
            </w:r>
          </w:p>
        </w:tc>
        <w:tc>
          <w:tcPr>
            <w:tcW w:w="4338" w:type="pct"/>
            <w:tcBorders>
              <w:top w:val="single" w:sz="6" w:space="0" w:color="auto"/>
              <w:left w:val="single" w:sz="6" w:space="0" w:color="auto"/>
              <w:bottom w:val="single" w:sz="6" w:space="0" w:color="auto"/>
              <w:right w:val="single" w:sz="6" w:space="0" w:color="auto"/>
            </w:tcBorders>
          </w:tcPr>
          <w:p w14:paraId="1DEDF0E7" w14:textId="77777777" w:rsidR="00C47639" w:rsidRPr="00FD2055" w:rsidRDefault="00C47639" w:rsidP="00C47639">
            <w:r w:rsidRPr="00C24B13">
              <w:t>Since the acute inhalation toxicity of Insect Repellent Pump Spray IR3535</w:t>
            </w:r>
            <w:r w:rsidRPr="00AC0EA0">
              <w:rPr>
                <w:vertAlign w:val="superscript"/>
              </w:rPr>
              <w:t>®</w:t>
            </w:r>
            <w:r w:rsidRPr="00C24B13">
              <w:t xml:space="preserve"> 20 % can be assessed on the basis of the properties of the ingredients, the performance of an acute inhalation toxicity study with the biocidal product is scientifically not justified.</w:t>
            </w:r>
            <w:r>
              <w:t xml:space="preserve"> </w:t>
            </w:r>
            <w:r w:rsidRPr="0082064F">
              <w:rPr>
                <w:rFonts w:cs="36jii"/>
                <w:lang w:eastAsia="fr-BE"/>
              </w:rPr>
              <w:t>See IUCLID data point 8.5.2 Endpoint study record: Acute toxicity: inhalation.001.</w:t>
            </w:r>
          </w:p>
          <w:p w14:paraId="4C3F9912" w14:textId="77777777" w:rsidR="00C47639" w:rsidRPr="008F3119" w:rsidRDefault="00C47639" w:rsidP="00C47639">
            <w:r w:rsidRPr="001B380A">
              <w:rPr>
                <w:rFonts w:cs="Verdana"/>
                <w:color w:val="000000"/>
                <w:lang w:eastAsia="fr-BE"/>
              </w:rPr>
              <w:t>There are valid data available on each of the components in the mixture sufficient to allow classification of the mixture according to the rules laid down in Regulation (EC) No 1272/2008 (CLP), and synergistic effects between any of the components are not expected.</w:t>
            </w:r>
          </w:p>
        </w:tc>
      </w:tr>
    </w:tbl>
    <w:p w14:paraId="387E6BA0" w14:textId="77777777" w:rsidR="00C47639" w:rsidRPr="00FD2055" w:rsidRDefault="00C47639" w:rsidP="00C47639">
      <w:pPr>
        <w:spacing w:line="260" w:lineRule="atLeast"/>
      </w:pPr>
    </w:p>
    <w:p w14:paraId="64F3AAA5" w14:textId="77777777" w:rsidR="00C47639" w:rsidRDefault="00C47639" w:rsidP="00C47639">
      <w:pPr>
        <w:spacing w:before="0" w:after="160" w:line="259" w:lineRule="auto"/>
      </w:pPr>
      <w:r>
        <w:br w:type="page"/>
      </w:r>
    </w:p>
    <w:p w14:paraId="72E66DC1" w14:textId="77777777" w:rsidR="00C47639" w:rsidRPr="000F4416" w:rsidRDefault="00C47639" w:rsidP="00C47639">
      <w:pPr>
        <w:pStyle w:val="Titre6"/>
        <w:numPr>
          <w:ilvl w:val="0"/>
          <w:numId w:val="3"/>
        </w:numPr>
      </w:pPr>
      <w:bookmarkStart w:id="168" w:name="_Toc389729057"/>
      <w:proofErr w:type="spellStart"/>
      <w:r w:rsidRPr="000F4416">
        <w:lastRenderedPageBreak/>
        <w:t>Acute</w:t>
      </w:r>
      <w:proofErr w:type="spellEnd"/>
      <w:r w:rsidRPr="000F4416">
        <w:t xml:space="preserve"> </w:t>
      </w:r>
      <w:proofErr w:type="spellStart"/>
      <w:r w:rsidRPr="000F4416">
        <w:t>toxicity</w:t>
      </w:r>
      <w:proofErr w:type="spellEnd"/>
      <w:r w:rsidRPr="000F4416">
        <w:t xml:space="preserve"> </w:t>
      </w:r>
      <w:proofErr w:type="spellStart"/>
      <w:r w:rsidRPr="000F4416">
        <w:t>by</w:t>
      </w:r>
      <w:proofErr w:type="spellEnd"/>
      <w:r w:rsidRPr="000F4416">
        <w:t xml:space="preserve"> dermal route</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818"/>
        <w:gridCol w:w="2540"/>
        <w:gridCol w:w="2701"/>
        <w:gridCol w:w="1092"/>
        <w:gridCol w:w="3093"/>
        <w:gridCol w:w="1539"/>
      </w:tblGrid>
      <w:tr w:rsidR="00C47639" w:rsidRPr="00C574E1" w14:paraId="5A3EEC11" w14:textId="77777777" w:rsidTr="00C47639">
        <w:trPr>
          <w:trHeight w:val="253"/>
        </w:trPr>
        <w:tc>
          <w:tcPr>
            <w:tcW w:w="5000" w:type="pct"/>
            <w:gridSpan w:val="7"/>
            <w:shd w:val="clear" w:color="auto" w:fill="FFFFCC"/>
          </w:tcPr>
          <w:p w14:paraId="0D0D81F2" w14:textId="77777777" w:rsidR="00C47639" w:rsidRPr="00C574E1" w:rsidRDefault="00C47639" w:rsidP="00C47639">
            <w:pPr>
              <w:pStyle w:val="Standaard-Tabellen"/>
              <w:jc w:val="center"/>
              <w:rPr>
                <w:b/>
              </w:rPr>
            </w:pPr>
            <w:r w:rsidRPr="00C574E1">
              <w:rPr>
                <w:b/>
              </w:rPr>
              <w:t>Summary table of animal studies on acute dermal toxicity</w:t>
            </w:r>
          </w:p>
        </w:tc>
      </w:tr>
      <w:tr w:rsidR="00C47639" w:rsidRPr="00C574E1" w14:paraId="3574BE76" w14:textId="77777777" w:rsidTr="00C47639">
        <w:trPr>
          <w:trHeight w:val="2519"/>
        </w:trPr>
        <w:tc>
          <w:tcPr>
            <w:tcW w:w="541" w:type="pct"/>
            <w:shd w:val="clear" w:color="auto" w:fill="BFBFBF" w:themeFill="background1" w:themeFillShade="BF"/>
          </w:tcPr>
          <w:p w14:paraId="3AF32922" w14:textId="77777777" w:rsidR="00C47639" w:rsidRPr="00C574E1" w:rsidRDefault="00C47639" w:rsidP="00C47639">
            <w:pPr>
              <w:pStyle w:val="Standaard-Tabellen"/>
              <w:rPr>
                <w:b/>
              </w:rPr>
            </w:pPr>
            <w:r w:rsidRPr="00C574E1">
              <w:rPr>
                <w:b/>
              </w:rPr>
              <w:t>Method, Guideline,</w:t>
            </w:r>
          </w:p>
          <w:p w14:paraId="1D7DD8D7" w14:textId="77777777" w:rsidR="00C47639" w:rsidRPr="00C574E1" w:rsidRDefault="00C47639" w:rsidP="00C47639">
            <w:pPr>
              <w:pStyle w:val="Standaard-Tabellen"/>
              <w:rPr>
                <w:b/>
              </w:rPr>
            </w:pPr>
            <w:r w:rsidRPr="00C574E1">
              <w:rPr>
                <w:b/>
              </w:rPr>
              <w:t>GLP status,</w:t>
            </w:r>
          </w:p>
          <w:p w14:paraId="7FF481A0" w14:textId="77777777" w:rsidR="00C47639" w:rsidRPr="00C574E1" w:rsidRDefault="00C47639" w:rsidP="00C47639">
            <w:pPr>
              <w:pStyle w:val="Standaard-Tabellen"/>
              <w:rPr>
                <w:b/>
              </w:rPr>
            </w:pPr>
            <w:r w:rsidRPr="00C574E1">
              <w:rPr>
                <w:b/>
              </w:rPr>
              <w:t>Reliability</w:t>
            </w:r>
          </w:p>
        </w:tc>
        <w:tc>
          <w:tcPr>
            <w:tcW w:w="634" w:type="pct"/>
            <w:shd w:val="clear" w:color="auto" w:fill="BFBFBF" w:themeFill="background1" w:themeFillShade="BF"/>
          </w:tcPr>
          <w:p w14:paraId="621DC8F0" w14:textId="77777777" w:rsidR="00C47639" w:rsidRPr="00C574E1" w:rsidDel="0048714C" w:rsidRDefault="00C47639" w:rsidP="00C47639">
            <w:pPr>
              <w:pStyle w:val="Standaard-Tabellen"/>
              <w:rPr>
                <w:b/>
              </w:rPr>
            </w:pPr>
            <w:r w:rsidRPr="00C574E1">
              <w:rPr>
                <w:b/>
              </w:rPr>
              <w:t>Species, strain, Sex, No/group</w:t>
            </w:r>
          </w:p>
        </w:tc>
        <w:tc>
          <w:tcPr>
            <w:tcW w:w="886" w:type="pct"/>
            <w:shd w:val="clear" w:color="auto" w:fill="BFBFBF" w:themeFill="background1" w:themeFillShade="BF"/>
          </w:tcPr>
          <w:p w14:paraId="2BB29C18" w14:textId="77777777" w:rsidR="00C47639" w:rsidRPr="00C574E1" w:rsidRDefault="00C47639" w:rsidP="00C47639">
            <w:pPr>
              <w:pStyle w:val="Standaard-Tabellen"/>
              <w:rPr>
                <w:b/>
              </w:rPr>
            </w:pPr>
            <w:r w:rsidRPr="00C574E1">
              <w:rPr>
                <w:b/>
              </w:rPr>
              <w:t>Test substance, Vehicle, Dose levels, Surface area</w:t>
            </w:r>
          </w:p>
        </w:tc>
        <w:tc>
          <w:tcPr>
            <w:tcW w:w="942" w:type="pct"/>
            <w:shd w:val="clear" w:color="auto" w:fill="BFBFBF" w:themeFill="background1" w:themeFillShade="BF"/>
          </w:tcPr>
          <w:p w14:paraId="7E1B16B0" w14:textId="77777777" w:rsidR="00C47639" w:rsidRPr="00C574E1" w:rsidRDefault="00C47639" w:rsidP="00C47639">
            <w:pPr>
              <w:pStyle w:val="Standaard-Tabellen"/>
              <w:rPr>
                <w:b/>
              </w:rPr>
            </w:pPr>
            <w:r w:rsidRPr="00C574E1">
              <w:rPr>
                <w:b/>
              </w:rPr>
              <w:t xml:space="preserve">Signs of toxicity </w:t>
            </w:r>
            <w:r w:rsidRPr="00C574E1">
              <w:rPr>
                <w:i/>
              </w:rPr>
              <w:t>(nature, onset, duration, severity, reversibility)</w:t>
            </w:r>
          </w:p>
        </w:tc>
        <w:tc>
          <w:tcPr>
            <w:tcW w:w="381" w:type="pct"/>
            <w:shd w:val="clear" w:color="auto" w:fill="BFBFBF" w:themeFill="background1" w:themeFillShade="BF"/>
          </w:tcPr>
          <w:p w14:paraId="70425333" w14:textId="77777777" w:rsidR="00C47639" w:rsidRPr="00C574E1" w:rsidRDefault="00C47639" w:rsidP="00C47639">
            <w:pPr>
              <w:pStyle w:val="Standaard-Tabellen"/>
              <w:rPr>
                <w:b/>
              </w:rPr>
            </w:pPr>
            <w:r w:rsidRPr="00C574E1">
              <w:rPr>
                <w:b/>
              </w:rPr>
              <w:t>LD50</w:t>
            </w:r>
          </w:p>
        </w:tc>
        <w:tc>
          <w:tcPr>
            <w:tcW w:w="1079" w:type="pct"/>
            <w:shd w:val="clear" w:color="auto" w:fill="BFBFBF" w:themeFill="background1" w:themeFillShade="BF"/>
          </w:tcPr>
          <w:p w14:paraId="3B7EAFB5" w14:textId="77777777" w:rsidR="00C47639" w:rsidRPr="00C574E1" w:rsidRDefault="00C47639" w:rsidP="00C47639">
            <w:pPr>
              <w:pStyle w:val="Standaard-Tabellen"/>
              <w:rPr>
                <w:b/>
              </w:rPr>
            </w:pPr>
            <w:r w:rsidRPr="00C574E1">
              <w:rPr>
                <w:b/>
              </w:rPr>
              <w:t xml:space="preserve">Remarks </w:t>
            </w:r>
            <w:r w:rsidRPr="00C574E1">
              <w:rPr>
                <w:i/>
              </w:rPr>
              <w:t>(e.g. major deviations)</w:t>
            </w:r>
          </w:p>
        </w:tc>
        <w:tc>
          <w:tcPr>
            <w:tcW w:w="536" w:type="pct"/>
            <w:shd w:val="clear" w:color="auto" w:fill="BFBFBF" w:themeFill="background1" w:themeFillShade="BF"/>
          </w:tcPr>
          <w:p w14:paraId="0627870D" w14:textId="77777777" w:rsidR="00C47639" w:rsidRPr="00C574E1" w:rsidRDefault="00C47639" w:rsidP="00C47639">
            <w:pPr>
              <w:pStyle w:val="Standaard-Tabellen"/>
              <w:rPr>
                <w:b/>
              </w:rPr>
            </w:pPr>
            <w:r w:rsidRPr="00C574E1">
              <w:rPr>
                <w:b/>
              </w:rPr>
              <w:t>Reference</w:t>
            </w:r>
          </w:p>
        </w:tc>
      </w:tr>
      <w:tr w:rsidR="00C47639" w:rsidRPr="00C574E1" w14:paraId="7E269605" w14:textId="77777777" w:rsidTr="00C47639">
        <w:trPr>
          <w:trHeight w:val="362"/>
        </w:trPr>
        <w:tc>
          <w:tcPr>
            <w:tcW w:w="541" w:type="pct"/>
            <w:shd w:val="clear" w:color="auto" w:fill="auto"/>
          </w:tcPr>
          <w:p w14:paraId="5ABB8C4F" w14:textId="77777777" w:rsidR="00C47639" w:rsidRPr="00D53A24" w:rsidRDefault="00C47639" w:rsidP="00C47639">
            <w:pPr>
              <w:pStyle w:val="Standaard-Tabellen"/>
              <w:rPr>
                <w:lang w:val="de-DE"/>
              </w:rPr>
            </w:pPr>
            <w:r w:rsidRPr="00D53A24">
              <w:rPr>
                <w:lang w:val="de-DE"/>
              </w:rPr>
              <w:t>OECD 402</w:t>
            </w:r>
          </w:p>
          <w:p w14:paraId="68028B90" w14:textId="77777777" w:rsidR="00C47639" w:rsidRPr="00D53A24" w:rsidRDefault="00C47639" w:rsidP="00C47639">
            <w:pPr>
              <w:pStyle w:val="Standaard-Tabellen"/>
              <w:rPr>
                <w:lang w:val="de-DE"/>
              </w:rPr>
            </w:pPr>
            <w:r w:rsidRPr="00D53A24">
              <w:rPr>
                <w:lang w:val="de-DE"/>
              </w:rPr>
              <w:t>EU</w:t>
            </w:r>
            <w:r w:rsidRPr="001C338A">
              <w:rPr>
                <w:lang w:val="de-DE"/>
              </w:rPr>
              <w:t xml:space="preserve"> 92/69 An</w:t>
            </w:r>
            <w:r>
              <w:rPr>
                <w:lang w:val="de-DE"/>
              </w:rPr>
              <w:t>n</w:t>
            </w:r>
            <w:r w:rsidRPr="001C338A">
              <w:rPr>
                <w:lang w:val="de-DE"/>
              </w:rPr>
              <w:t>ex V</w:t>
            </w:r>
            <w:proofErr w:type="gramStart"/>
            <w:r w:rsidRPr="001C338A">
              <w:rPr>
                <w:lang w:val="de-DE"/>
              </w:rPr>
              <w:t xml:space="preserve">, </w:t>
            </w:r>
            <w:r w:rsidRPr="00D53A24">
              <w:rPr>
                <w:lang w:val="de-DE"/>
              </w:rPr>
              <w:t xml:space="preserve"> B.3</w:t>
            </w:r>
            <w:proofErr w:type="gramEnd"/>
          </w:p>
          <w:p w14:paraId="44B0FD7C" w14:textId="77777777" w:rsidR="00C47639" w:rsidRPr="004C5A26" w:rsidRDefault="00C47639" w:rsidP="00C47639">
            <w:pPr>
              <w:pStyle w:val="Standaard-Tabellen"/>
              <w:rPr>
                <w:rPrChange w:id="169" w:author="BENUSZAK Johanna" w:date="2020-06-22T10:52:00Z">
                  <w:rPr>
                    <w:lang w:val="fr-FR"/>
                  </w:rPr>
                </w:rPrChange>
              </w:rPr>
            </w:pPr>
            <w:r w:rsidRPr="004C5A26">
              <w:rPr>
                <w:rPrChange w:id="170" w:author="BENUSZAK Johanna" w:date="2020-06-22T10:52:00Z">
                  <w:rPr>
                    <w:lang w:val="fr-FR"/>
                  </w:rPr>
                </w:rPrChange>
              </w:rPr>
              <w:t>EPA OPPTS 870.1200</w:t>
            </w:r>
          </w:p>
          <w:p w14:paraId="54F966A5" w14:textId="77777777" w:rsidR="00C47639" w:rsidRPr="00464A29" w:rsidRDefault="00C47639" w:rsidP="00C47639">
            <w:pPr>
              <w:pStyle w:val="Standaard-Tabellen"/>
            </w:pPr>
            <w:r w:rsidRPr="00464A29">
              <w:t>GLP=yes</w:t>
            </w:r>
          </w:p>
          <w:p w14:paraId="7EE3B7A8" w14:textId="77777777" w:rsidR="00C47639" w:rsidRPr="00C574E1" w:rsidRDefault="00C47639" w:rsidP="00C47639">
            <w:pPr>
              <w:pStyle w:val="Standaard-Tabellen"/>
            </w:pPr>
            <w:proofErr w:type="spellStart"/>
            <w:r w:rsidRPr="00464A29">
              <w:t>Rel</w:t>
            </w:r>
            <w:proofErr w:type="spellEnd"/>
            <w:r w:rsidRPr="00464A29">
              <w:t>=1</w:t>
            </w:r>
          </w:p>
        </w:tc>
        <w:tc>
          <w:tcPr>
            <w:tcW w:w="634" w:type="pct"/>
          </w:tcPr>
          <w:p w14:paraId="0109A192" w14:textId="77777777" w:rsidR="00C47639" w:rsidRDefault="00C47639" w:rsidP="00C47639">
            <w:pPr>
              <w:pStyle w:val="Standaard-Tabellen"/>
              <w:rPr>
                <w:lang w:val="de-DE"/>
              </w:rPr>
            </w:pPr>
            <w:r>
              <w:rPr>
                <w:lang w:val="de-DE"/>
              </w:rPr>
              <w:t>Rat</w:t>
            </w:r>
          </w:p>
          <w:p w14:paraId="69880320" w14:textId="77777777" w:rsidR="00C47639" w:rsidRDefault="00C47639" w:rsidP="00C47639">
            <w:pPr>
              <w:pStyle w:val="Standaard-Tabellen"/>
              <w:rPr>
                <w:lang w:val="de-DE"/>
              </w:rPr>
            </w:pPr>
            <w:proofErr w:type="spellStart"/>
            <w:r w:rsidRPr="00D53A24">
              <w:rPr>
                <w:lang w:val="de-DE"/>
              </w:rPr>
              <w:t>Crl:CD</w:t>
            </w:r>
            <w:proofErr w:type="spellEnd"/>
            <w:r w:rsidRPr="00D53A24">
              <w:rPr>
                <w:lang w:val="de-DE"/>
              </w:rPr>
              <w:t>(SD)</w:t>
            </w:r>
          </w:p>
          <w:p w14:paraId="21ECDF75" w14:textId="77777777" w:rsidR="00C47639" w:rsidRDefault="00C47639" w:rsidP="00C47639">
            <w:pPr>
              <w:pStyle w:val="Standaard-Tabellen"/>
              <w:rPr>
                <w:lang w:val="de-DE"/>
              </w:rPr>
            </w:pPr>
            <w:r w:rsidRPr="00D53A24">
              <w:rPr>
                <w:lang w:val="de-DE"/>
              </w:rPr>
              <w:t>5</w:t>
            </w:r>
            <w:r w:rsidRPr="00D53A24">
              <w:rPr>
                <w:rFonts w:ascii="Arial" w:hAnsi="Arial" w:cs="Arial"/>
                <w:lang w:val="de-DE"/>
              </w:rPr>
              <w:t>♀</w:t>
            </w:r>
            <w:r>
              <w:rPr>
                <w:lang w:val="de-DE"/>
              </w:rPr>
              <w:t>, 5</w:t>
            </w:r>
            <w:r w:rsidRPr="00D53A24">
              <w:rPr>
                <w:rFonts w:ascii="Arial" w:hAnsi="Arial" w:cs="Arial"/>
                <w:lang w:val="de-DE"/>
              </w:rPr>
              <w:t>♂</w:t>
            </w:r>
            <w:r w:rsidRPr="00D53A24">
              <w:rPr>
                <w:lang w:val="de-DE"/>
              </w:rPr>
              <w:t>/dose</w:t>
            </w:r>
          </w:p>
          <w:p w14:paraId="174561F9" w14:textId="77777777" w:rsidR="00C47639" w:rsidRPr="00C574E1" w:rsidRDefault="00C47639" w:rsidP="00C47639">
            <w:pPr>
              <w:pStyle w:val="Standaard-Tabellen"/>
            </w:pPr>
          </w:p>
        </w:tc>
        <w:tc>
          <w:tcPr>
            <w:tcW w:w="886" w:type="pct"/>
            <w:shd w:val="clear" w:color="auto" w:fill="auto"/>
          </w:tcPr>
          <w:p w14:paraId="5BCC5875" w14:textId="77777777" w:rsidR="00C47639" w:rsidRPr="000B32E7" w:rsidRDefault="00C47639" w:rsidP="00C47639">
            <w:pPr>
              <w:pStyle w:val="Standaard-Tabellen"/>
            </w:pPr>
            <w:r w:rsidRPr="000B32E7">
              <w:t>EUS26-15</w:t>
            </w:r>
          </w:p>
          <w:p w14:paraId="496A79E3" w14:textId="77777777" w:rsidR="00C47639" w:rsidRPr="00D53A24" w:rsidRDefault="00C47639" w:rsidP="00C47639">
            <w:pPr>
              <w:pStyle w:val="Standaard-Tabellen"/>
            </w:pPr>
            <w:r w:rsidRPr="00D53A24">
              <w:t>Undiluted</w:t>
            </w:r>
          </w:p>
          <w:p w14:paraId="14D2DD33" w14:textId="77777777" w:rsidR="00C47639" w:rsidRPr="00D53A24" w:rsidRDefault="00C47639" w:rsidP="00C47639">
            <w:pPr>
              <w:pStyle w:val="Standaard-Tabellen"/>
            </w:pPr>
            <w:r w:rsidRPr="00D53A24">
              <w:t xml:space="preserve">5000 mg/kg </w:t>
            </w:r>
            <w:proofErr w:type="spellStart"/>
            <w:r w:rsidRPr="00D53A24">
              <w:t>bw</w:t>
            </w:r>
            <w:proofErr w:type="spellEnd"/>
          </w:p>
          <w:p w14:paraId="787C97EF" w14:textId="77777777" w:rsidR="00C47639" w:rsidRPr="00D53A24" w:rsidRDefault="00C47639" w:rsidP="00C47639">
            <w:pPr>
              <w:pStyle w:val="Standaard-Tabellen"/>
            </w:pPr>
            <w:r w:rsidRPr="00D53A24">
              <w:t>10% of body area</w:t>
            </w:r>
          </w:p>
          <w:p w14:paraId="5EDDA4AF" w14:textId="77777777" w:rsidR="00C47639" w:rsidRPr="00C574E1" w:rsidRDefault="00C47639" w:rsidP="00C47639">
            <w:pPr>
              <w:pStyle w:val="Standaard-Tabellen"/>
            </w:pPr>
            <w:proofErr w:type="spellStart"/>
            <w:r>
              <w:t>Semiocclusive</w:t>
            </w:r>
            <w:proofErr w:type="spellEnd"/>
          </w:p>
        </w:tc>
        <w:tc>
          <w:tcPr>
            <w:tcW w:w="942" w:type="pct"/>
            <w:shd w:val="clear" w:color="auto" w:fill="auto"/>
          </w:tcPr>
          <w:p w14:paraId="7803A6F6" w14:textId="77777777" w:rsidR="00C47639" w:rsidRPr="00C574E1" w:rsidRDefault="00C47639" w:rsidP="00C47639">
            <w:pPr>
              <w:pStyle w:val="Standaard-Tabellen"/>
            </w:pPr>
            <w:r>
              <w:rPr>
                <w:rFonts w:cs="06rbj"/>
                <w:lang w:eastAsia="fr-BE"/>
              </w:rPr>
              <w:t>See below</w:t>
            </w:r>
          </w:p>
        </w:tc>
        <w:tc>
          <w:tcPr>
            <w:tcW w:w="381" w:type="pct"/>
            <w:shd w:val="clear" w:color="auto" w:fill="auto"/>
          </w:tcPr>
          <w:p w14:paraId="3F291FF5" w14:textId="77777777" w:rsidR="00C47639" w:rsidRPr="00C574E1" w:rsidRDefault="00C47639" w:rsidP="00C47639">
            <w:pPr>
              <w:pStyle w:val="Standaard-Tabellen"/>
            </w:pPr>
            <w:r>
              <w:t xml:space="preserve">&gt;5000 mg/kg </w:t>
            </w:r>
            <w:proofErr w:type="spellStart"/>
            <w:r>
              <w:t>bw</w:t>
            </w:r>
            <w:proofErr w:type="spellEnd"/>
          </w:p>
        </w:tc>
        <w:tc>
          <w:tcPr>
            <w:tcW w:w="1079" w:type="pct"/>
          </w:tcPr>
          <w:p w14:paraId="27BBC5C2" w14:textId="77777777" w:rsidR="00C47639" w:rsidRPr="00C574E1" w:rsidRDefault="00C47639" w:rsidP="00C47639">
            <w:pPr>
              <w:pStyle w:val="Standaard-Tabellen"/>
            </w:pPr>
            <w:r>
              <w:t xml:space="preserve"> US Pump Spray Formulation</w:t>
            </w:r>
          </w:p>
        </w:tc>
        <w:tc>
          <w:tcPr>
            <w:tcW w:w="536" w:type="pct"/>
            <w:shd w:val="clear" w:color="auto" w:fill="auto"/>
          </w:tcPr>
          <w:p w14:paraId="699E6F74" w14:textId="77777777" w:rsidR="00C47639" w:rsidRPr="00C574E1" w:rsidRDefault="00C47639" w:rsidP="00C47639">
            <w:pPr>
              <w:pStyle w:val="Standaard-Tabellen"/>
            </w:pPr>
            <w:r>
              <w:t>Hurley, J.M. (2006) (d)</w:t>
            </w:r>
          </w:p>
        </w:tc>
      </w:tr>
    </w:tbl>
    <w:p w14:paraId="295638B3" w14:textId="77777777" w:rsidR="00C47639" w:rsidRDefault="00C47639" w:rsidP="00C47639"/>
    <w:p w14:paraId="6BCA00AB" w14:textId="77777777" w:rsidR="00C47639" w:rsidRDefault="00C47639" w:rsidP="00C47639">
      <w:r>
        <w:t xml:space="preserve">There were no deaths, remarkable body weight changes or macroscopic findings at the scheduled necropsy. </w:t>
      </w:r>
      <w:r w:rsidRPr="0015359F">
        <w:t>Clinical findings noted persisted until day 1 post-dosing and included</w:t>
      </w:r>
      <w:r>
        <w:t xml:space="preserve"> abnormal excretion, and various </w:t>
      </w:r>
      <w:proofErr w:type="spellStart"/>
      <w:r>
        <w:t>discoloured</w:t>
      </w:r>
      <w:proofErr w:type="spellEnd"/>
      <w:r>
        <w:t xml:space="preserve"> areas due to discharges/excretions which were observed. Dermal findings noted during the study consisted of very slight erythema (grade 1) and pinpoint scabbing at the dose sites. Very slight erythema (grade 1) persisted until study termination on day 14.</w:t>
      </w:r>
    </w:p>
    <w:p w14:paraId="3F889190" w14:textId="77777777" w:rsidR="00C47639" w:rsidRDefault="00C47639" w:rsidP="00C47639">
      <w:r>
        <w:t>Based on the results of this study, the LD</w:t>
      </w:r>
      <w:r w:rsidRPr="00F44BD3">
        <w:rPr>
          <w:vertAlign w:val="subscript"/>
        </w:rPr>
        <w:t>50</w:t>
      </w:r>
      <w:r>
        <w:t xml:space="preserve"> of EUS26-15 Insect Repellent Spray was greater than 5000 mg/kg </w:t>
      </w:r>
      <w:proofErr w:type="spellStart"/>
      <w:r>
        <w:t>bw</w:t>
      </w:r>
      <w:proofErr w:type="spellEnd"/>
      <w:r>
        <w:t xml:space="preserve"> when administered once for 24 </w:t>
      </w:r>
      <w:r w:rsidRPr="00C649C5">
        <w:t xml:space="preserve">hours to the clipped, </w:t>
      </w:r>
      <w:proofErr w:type="spellStart"/>
      <w:r w:rsidRPr="00C649C5">
        <w:t>unabraded</w:t>
      </w:r>
      <w:proofErr w:type="spellEnd"/>
      <w:r w:rsidRPr="00C649C5">
        <w:t xml:space="preserve"> skin of male and female albino rats. A classification of the biocidal product with respect to acute dermal toxicity is not required.</w:t>
      </w:r>
    </w:p>
    <w:p w14:paraId="75451B73" w14:textId="77777777" w:rsidR="00C47639" w:rsidRDefault="00C47639" w:rsidP="00C47639"/>
    <w:p w14:paraId="773AF852" w14:textId="77777777" w:rsidR="00C47639" w:rsidRPr="00B815F0" w:rsidRDefault="00C47639" w:rsidP="00C47639">
      <w:pPr>
        <w:spacing w:line="260" w:lineRule="atLeast"/>
        <w:rPr>
          <w:bCs/>
        </w:rPr>
      </w:pPr>
      <w:r w:rsidRPr="00B815F0">
        <w:rPr>
          <w:bCs/>
        </w:rPr>
        <w:t xml:space="preserve">No human data are available for acute </w:t>
      </w:r>
      <w:r>
        <w:rPr>
          <w:bCs/>
        </w:rPr>
        <w:t>dermal</w:t>
      </w:r>
      <w:r w:rsidRPr="00B815F0">
        <w:rPr>
          <w:bCs/>
        </w:rPr>
        <w:t xml:space="preserve"> toxicity.</w:t>
      </w:r>
    </w:p>
    <w:p w14:paraId="2C555135" w14:textId="77777777" w:rsidR="00C47639" w:rsidRDefault="00C47639" w:rsidP="00C47639"/>
    <w:p w14:paraId="60193BFD" w14:textId="77777777" w:rsidR="00C47639" w:rsidRDefault="00C47639" w:rsidP="00C47639">
      <w:pPr>
        <w:spacing w:before="0"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789"/>
        <w:gridCol w:w="9542"/>
      </w:tblGrid>
      <w:tr w:rsidR="00C47639" w:rsidRPr="00C574E1" w14:paraId="2040D209"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31F3BAA" w14:textId="77777777" w:rsidR="00C47639" w:rsidRPr="00C574E1" w:rsidRDefault="00C47639" w:rsidP="00C47639">
            <w:pPr>
              <w:rPr>
                <w:b/>
              </w:rPr>
            </w:pPr>
            <w:r w:rsidRPr="00C574E1">
              <w:rPr>
                <w:b/>
              </w:rPr>
              <w:lastRenderedPageBreak/>
              <w:t>Value used in the Risk Assessment – Acute dermal toxicity</w:t>
            </w:r>
          </w:p>
        </w:tc>
      </w:tr>
      <w:tr w:rsidR="00C47639" w:rsidRPr="00FD2055" w14:paraId="46FC1A6F" w14:textId="77777777" w:rsidTr="00C47639">
        <w:tc>
          <w:tcPr>
            <w:tcW w:w="1671" w:type="pct"/>
            <w:tcBorders>
              <w:top w:val="single" w:sz="6" w:space="0" w:color="auto"/>
              <w:left w:val="single" w:sz="4" w:space="0" w:color="auto"/>
              <w:bottom w:val="single" w:sz="6" w:space="0" w:color="auto"/>
              <w:right w:val="single" w:sz="6" w:space="0" w:color="auto"/>
            </w:tcBorders>
            <w:shd w:val="clear" w:color="auto" w:fill="auto"/>
          </w:tcPr>
          <w:p w14:paraId="71C65E9C" w14:textId="77777777" w:rsidR="00C47639" w:rsidRPr="00FD2055" w:rsidRDefault="00C47639" w:rsidP="00C47639">
            <w:r w:rsidRPr="00FD2055">
              <w:t>Value</w:t>
            </w:r>
          </w:p>
        </w:tc>
        <w:tc>
          <w:tcPr>
            <w:tcW w:w="3329" w:type="pct"/>
            <w:tcBorders>
              <w:top w:val="single" w:sz="6" w:space="0" w:color="auto"/>
              <w:left w:val="single" w:sz="6" w:space="0" w:color="auto"/>
              <w:bottom w:val="single" w:sz="6" w:space="0" w:color="auto"/>
              <w:right w:val="single" w:sz="6" w:space="0" w:color="auto"/>
            </w:tcBorders>
          </w:tcPr>
          <w:p w14:paraId="6228817A" w14:textId="77777777" w:rsidR="00C47639" w:rsidRPr="00FD2055" w:rsidRDefault="00C47639" w:rsidP="00C47639">
            <w:r>
              <w:t xml:space="preserve">Biocidal product not classified for acute dermal toxicity according to (EU) </w:t>
            </w:r>
            <w:proofErr w:type="spellStart"/>
            <w:r>
              <w:t>nr</w:t>
            </w:r>
            <w:proofErr w:type="spellEnd"/>
            <w:r>
              <w:t>. 1272/2008</w:t>
            </w:r>
          </w:p>
        </w:tc>
      </w:tr>
      <w:tr w:rsidR="00C47639" w:rsidRPr="00FD2055" w14:paraId="03BE4936" w14:textId="77777777" w:rsidTr="00C47639">
        <w:tc>
          <w:tcPr>
            <w:tcW w:w="1671" w:type="pct"/>
            <w:tcBorders>
              <w:top w:val="single" w:sz="6" w:space="0" w:color="auto"/>
              <w:left w:val="single" w:sz="4" w:space="0" w:color="auto"/>
              <w:bottom w:val="single" w:sz="6" w:space="0" w:color="auto"/>
              <w:right w:val="single" w:sz="6" w:space="0" w:color="auto"/>
            </w:tcBorders>
            <w:shd w:val="clear" w:color="auto" w:fill="auto"/>
          </w:tcPr>
          <w:p w14:paraId="508EEA7E" w14:textId="77777777" w:rsidR="00C47639" w:rsidRPr="00FD2055" w:rsidRDefault="00C47639" w:rsidP="00C47639">
            <w:r w:rsidRPr="00FD2055">
              <w:t>Justification for the selected value</w:t>
            </w:r>
          </w:p>
        </w:tc>
        <w:tc>
          <w:tcPr>
            <w:tcW w:w="3329" w:type="pct"/>
            <w:tcBorders>
              <w:top w:val="single" w:sz="6" w:space="0" w:color="auto"/>
              <w:left w:val="single" w:sz="6" w:space="0" w:color="auto"/>
              <w:bottom w:val="single" w:sz="6" w:space="0" w:color="auto"/>
              <w:right w:val="single" w:sz="6" w:space="0" w:color="auto"/>
            </w:tcBorders>
          </w:tcPr>
          <w:p w14:paraId="15C6B945" w14:textId="77777777" w:rsidR="00C47639" w:rsidRPr="00FD2055" w:rsidRDefault="00C47639" w:rsidP="00C47639">
            <w:r>
              <w:t>In an acute dermal toxicity study, the LD</w:t>
            </w:r>
            <w:r w:rsidRPr="00F44BD3">
              <w:rPr>
                <w:vertAlign w:val="subscript"/>
              </w:rPr>
              <w:t>50</w:t>
            </w:r>
            <w:r>
              <w:t xml:space="preserve"> of EUS26-15 Insect Repellent Spray was greater than 5000 mg/kg </w:t>
            </w:r>
            <w:proofErr w:type="spellStart"/>
            <w:r>
              <w:t>bw</w:t>
            </w:r>
            <w:proofErr w:type="spellEnd"/>
            <w:r>
              <w:t>.</w:t>
            </w:r>
          </w:p>
        </w:tc>
      </w:tr>
      <w:tr w:rsidR="00C47639" w:rsidRPr="00FD2055" w14:paraId="178E7B7A" w14:textId="77777777" w:rsidTr="00C47639">
        <w:tc>
          <w:tcPr>
            <w:tcW w:w="1671" w:type="pct"/>
            <w:tcBorders>
              <w:top w:val="single" w:sz="6" w:space="0" w:color="auto"/>
              <w:left w:val="single" w:sz="4" w:space="0" w:color="auto"/>
              <w:bottom w:val="single" w:sz="6" w:space="0" w:color="auto"/>
              <w:right w:val="single" w:sz="6" w:space="0" w:color="auto"/>
            </w:tcBorders>
            <w:shd w:val="clear" w:color="auto" w:fill="auto"/>
          </w:tcPr>
          <w:p w14:paraId="360B587C" w14:textId="77777777" w:rsidR="00C47639" w:rsidRPr="00FD2055" w:rsidRDefault="00C47639" w:rsidP="00C47639">
            <w:r w:rsidRPr="00FD2055">
              <w:t>Classification of the product according to CLP and DSD</w:t>
            </w:r>
          </w:p>
        </w:tc>
        <w:tc>
          <w:tcPr>
            <w:tcW w:w="3329" w:type="pct"/>
            <w:tcBorders>
              <w:top w:val="single" w:sz="6" w:space="0" w:color="auto"/>
              <w:left w:val="single" w:sz="6" w:space="0" w:color="auto"/>
              <w:bottom w:val="single" w:sz="6" w:space="0" w:color="auto"/>
              <w:right w:val="single" w:sz="6" w:space="0" w:color="auto"/>
            </w:tcBorders>
          </w:tcPr>
          <w:p w14:paraId="6C4E6BE7" w14:textId="77777777" w:rsidR="00C47639" w:rsidRPr="00FD2055" w:rsidRDefault="00C47639" w:rsidP="00C47639">
            <w:r>
              <w:t>none</w:t>
            </w:r>
          </w:p>
        </w:tc>
      </w:tr>
    </w:tbl>
    <w:p w14:paraId="5023A2DA" w14:textId="77777777" w:rsidR="00C47639" w:rsidRDefault="00C47639" w:rsidP="00C47639">
      <w:pPr>
        <w:pStyle w:val="Titre5"/>
      </w:pPr>
      <w:bookmarkStart w:id="171" w:name="_Toc532391091"/>
      <w:bookmarkStart w:id="172" w:name="_Toc8296505"/>
      <w:r>
        <w:t>Information on dermal absorption</w:t>
      </w:r>
      <w:bookmarkEnd w:id="171"/>
      <w:bookmarkEnd w:id="172"/>
    </w:p>
    <w:p w14:paraId="022B737E" w14:textId="77777777" w:rsidR="00C47639" w:rsidRPr="00336DE4" w:rsidRDefault="00C47639" w:rsidP="00C47639">
      <w:r w:rsidRPr="00336DE4">
        <w:t xml:space="preserve">In a dermal </w:t>
      </w:r>
      <w:proofErr w:type="spellStart"/>
      <w:r w:rsidRPr="00336DE4">
        <w:t>toxicokinetics</w:t>
      </w:r>
      <w:proofErr w:type="spellEnd"/>
      <w:r w:rsidRPr="00336DE4">
        <w:t>/metabolism study with 5 male and 5 female human volunteers, the dermal absorption of the active substance IR3535</w:t>
      </w:r>
      <w:r w:rsidRPr="003F25C2">
        <w:rPr>
          <w:vertAlign w:val="superscript"/>
        </w:rPr>
        <w:t>®</w:t>
      </w:r>
      <w:r w:rsidRPr="00336DE4">
        <w:t xml:space="preserve"> from a pump spray containing 20% IR3535</w:t>
      </w:r>
      <w:r w:rsidRPr="00AC0EA0">
        <w:rPr>
          <w:vertAlign w:val="superscript"/>
        </w:rPr>
        <w:t>®</w:t>
      </w:r>
      <w:r w:rsidRPr="00336DE4">
        <w:t xml:space="preserve"> has been determined in parallel</w:t>
      </w:r>
      <w:r>
        <w:t xml:space="preserve"> (</w:t>
      </w:r>
      <w:proofErr w:type="spellStart"/>
      <w:r>
        <w:t>Dekant</w:t>
      </w:r>
      <w:proofErr w:type="spellEnd"/>
      <w:r>
        <w:t>, 2010)</w:t>
      </w:r>
      <w:r w:rsidRPr="00336DE4">
        <w:t xml:space="preserve">. In this study, approx. 3 grams of the formulation were applied once to hands, arms, legs, feet, face and neck of each volunteer (ca. </w:t>
      </w:r>
      <w:r>
        <w:t>64</w:t>
      </w:r>
      <w:r w:rsidRPr="00336DE4">
        <w:t>% of total body area). The total amount of IR3535</w:t>
      </w:r>
      <w:r w:rsidRPr="003F25C2">
        <w:rPr>
          <w:vertAlign w:val="superscript"/>
        </w:rPr>
        <w:t>®</w:t>
      </w:r>
      <w:r w:rsidRPr="00336DE4">
        <w:t xml:space="preserve"> and its metabolite IR3535</w:t>
      </w:r>
      <w:r w:rsidRPr="00AC0EA0">
        <w:rPr>
          <w:vertAlign w:val="superscript"/>
        </w:rPr>
        <w:t>®</w:t>
      </w:r>
      <w:r w:rsidRPr="00336DE4">
        <w:t>-free acid excreted with the urine over a period of 48 hours presented 13.3% of the dermal dose of IR3535</w:t>
      </w:r>
      <w:r w:rsidRPr="003F25C2">
        <w:rPr>
          <w:vertAlign w:val="superscript"/>
        </w:rPr>
        <w:t>®</w:t>
      </w:r>
      <w:r w:rsidRPr="00336DE4">
        <w:t xml:space="preserve"> applied. Since IR3535</w:t>
      </w:r>
      <w:r w:rsidRPr="00AC0EA0">
        <w:rPr>
          <w:vertAlign w:val="superscript"/>
        </w:rPr>
        <w:t>®</w:t>
      </w:r>
      <w:r w:rsidRPr="00336DE4">
        <w:t xml:space="preserve"> is rapidly and extensively metabolized and as IR3535</w:t>
      </w:r>
      <w:r w:rsidRPr="00AC0EA0">
        <w:rPr>
          <w:vertAlign w:val="superscript"/>
        </w:rPr>
        <w:t>®</w:t>
      </w:r>
      <w:r w:rsidRPr="00336DE4">
        <w:t>-free acid has a low molecular weight and high water solubility, it is expected that urinary excretion of IR3535</w:t>
      </w:r>
      <w:r w:rsidRPr="003F25C2">
        <w:rPr>
          <w:vertAlign w:val="superscript"/>
        </w:rPr>
        <w:t>®</w:t>
      </w:r>
      <w:r w:rsidRPr="00336DE4">
        <w:t>-free acid and IR3535</w:t>
      </w:r>
      <w:r w:rsidRPr="00AC0EA0">
        <w:rPr>
          <w:vertAlign w:val="superscript"/>
        </w:rPr>
        <w:t>®</w:t>
      </w:r>
      <w:r w:rsidRPr="00336DE4">
        <w:t xml:space="preserve"> represents the total extent of absorption of IR3535® in humans and a distribution to organs and tissues is considered to be negligible. The results of this study have been summarized in in the active substance dossier and were assessed for the approval of IR3535</w:t>
      </w:r>
      <w:r w:rsidRPr="003F25C2">
        <w:rPr>
          <w:vertAlign w:val="superscript"/>
        </w:rPr>
        <w:t>®</w:t>
      </w:r>
      <w:r w:rsidRPr="00336DE4">
        <w:t>.</w:t>
      </w:r>
    </w:p>
    <w:p w14:paraId="57FA6AA2" w14:textId="77777777" w:rsidR="00C47639" w:rsidRPr="00336DE4" w:rsidRDefault="00C47639" w:rsidP="00C47639">
      <w:r w:rsidRPr="00336DE4">
        <w:t>The assessment of this study resulted in an overall dermal penetration of 14% IR3535</w:t>
      </w:r>
      <w:r w:rsidRPr="00AC0EA0">
        <w:rPr>
          <w:vertAlign w:val="superscript"/>
        </w:rPr>
        <w:t>®</w:t>
      </w:r>
      <w:r w:rsidRPr="00336DE4">
        <w:t>.</w:t>
      </w:r>
    </w:p>
    <w:p w14:paraId="3CD9BC18" w14:textId="77777777" w:rsidR="00C47639" w:rsidRDefault="00C47639" w:rsidP="00C47639">
      <w:pPr>
        <w:rPr>
          <w:rFonts w:ascii="Times New Roman" w:hAnsi="Times New Roman"/>
          <w:i/>
        </w:rPr>
      </w:pPr>
      <w:r w:rsidRPr="00336DE4">
        <w:t>Since the composition of Insect Repellent Pump Spray IR3535</w:t>
      </w:r>
      <w:r w:rsidRPr="00AC0EA0">
        <w:rPr>
          <w:vertAlign w:val="superscript"/>
        </w:rPr>
        <w:t>®</w:t>
      </w:r>
      <w:r w:rsidRPr="00336DE4">
        <w:t xml:space="preserve"> 20 % and the concentration of IR3535</w:t>
      </w:r>
      <w:r w:rsidRPr="00AC0EA0">
        <w:rPr>
          <w:vertAlign w:val="superscript"/>
        </w:rPr>
        <w:t>®</w:t>
      </w:r>
      <w:r w:rsidRPr="00336DE4">
        <w:t xml:space="preserve"> is identical to the product tested in the dermal </w:t>
      </w:r>
      <w:proofErr w:type="spellStart"/>
      <w:r w:rsidRPr="00336DE4">
        <w:t>toxicokinetics</w:t>
      </w:r>
      <w:proofErr w:type="spellEnd"/>
      <w:r w:rsidRPr="00336DE4">
        <w:t xml:space="preserve">/metabolism study, a separate skin absorption study with the biocidal product </w:t>
      </w:r>
      <w:r w:rsidRPr="00FC7AEB">
        <w:t>can be waived.</w:t>
      </w:r>
      <w:r w:rsidRPr="00336DE4">
        <w:t xml:space="preserve"> Instead, the skin absorption of 14% for IR3535</w:t>
      </w:r>
      <w:r w:rsidRPr="00AC0EA0">
        <w:rPr>
          <w:vertAlign w:val="superscript"/>
        </w:rPr>
        <w:t>®</w:t>
      </w:r>
      <w:r w:rsidRPr="00336DE4">
        <w:t xml:space="preserve"> can be applied to Insect Repellent Pump Spray IR3535</w:t>
      </w:r>
      <w:r w:rsidRPr="00AC0EA0">
        <w:rPr>
          <w:vertAlign w:val="superscript"/>
        </w:rPr>
        <w:t>®</w:t>
      </w:r>
      <w:r w:rsidRPr="00336DE4">
        <w:t xml:space="preserve"> 20%. A dermal penetration of 14% </w:t>
      </w:r>
      <w:r w:rsidRPr="00FC7AEB">
        <w:t>will be</w:t>
      </w:r>
      <w:r>
        <w:t xml:space="preserve"> </w:t>
      </w:r>
      <w:r w:rsidRPr="00336DE4">
        <w:t>used in the human exposure assessments for the intended use of the biocidal product.</w:t>
      </w:r>
    </w:p>
    <w:p w14:paraId="0811BD23" w14:textId="77777777" w:rsidR="00C47639" w:rsidRDefault="00C47639" w:rsidP="00C47639">
      <w:pPr>
        <w:rPr>
          <w:rFonts w:ascii="Times New Roman" w:hAnsi="Times New Roman"/>
          <w:i/>
        </w:rPr>
      </w:pPr>
    </w:p>
    <w:p w14:paraId="2B91A814" w14:textId="77777777" w:rsidR="00C47639" w:rsidRDefault="00C47639" w:rsidP="00C47639">
      <w:pPr>
        <w:rPr>
          <w:rFonts w:cs="36jii"/>
          <w:lang w:eastAsia="fr-BE"/>
        </w:rPr>
      </w:pPr>
      <w:r>
        <w:rPr>
          <w:rFonts w:cs="36jii"/>
          <w:lang w:eastAsia="fr-BE"/>
        </w:rPr>
        <w:t xml:space="preserve">See IUCLID </w:t>
      </w:r>
      <w:proofErr w:type="spellStart"/>
      <w:r>
        <w:rPr>
          <w:rFonts w:cs="36jii"/>
          <w:lang w:eastAsia="fr-BE"/>
        </w:rPr>
        <w:t>datapoint</w:t>
      </w:r>
      <w:proofErr w:type="spellEnd"/>
      <w:r>
        <w:rPr>
          <w:rFonts w:cs="36jii"/>
          <w:lang w:eastAsia="fr-BE"/>
        </w:rPr>
        <w:t xml:space="preserve"> 8.6 </w:t>
      </w:r>
      <w:proofErr w:type="gramStart"/>
      <w:r>
        <w:rPr>
          <w:rFonts w:cs="36jii"/>
          <w:lang w:eastAsia="fr-BE"/>
        </w:rPr>
        <w:t>Dermal</w:t>
      </w:r>
      <w:proofErr w:type="gramEnd"/>
      <w:r>
        <w:rPr>
          <w:rFonts w:cs="36jii"/>
          <w:lang w:eastAsia="fr-BE"/>
        </w:rPr>
        <w:t xml:space="preserve"> absorption Endpoint study record: Dermal absorption.001.</w:t>
      </w:r>
    </w:p>
    <w:p w14:paraId="0DE9E23B" w14:textId="77777777" w:rsidR="00C47639" w:rsidRPr="00FD2055"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11"/>
        <w:gridCol w:w="9868"/>
        <w:gridCol w:w="226"/>
        <w:gridCol w:w="226"/>
      </w:tblGrid>
      <w:tr w:rsidR="00C47639" w:rsidRPr="008F144D" w14:paraId="5DEC6E6E" w14:textId="77777777" w:rsidTr="00C47639">
        <w:tc>
          <w:tcPr>
            <w:tcW w:w="5000" w:type="pct"/>
            <w:gridSpan w:val="4"/>
            <w:tcBorders>
              <w:top w:val="single" w:sz="4" w:space="0" w:color="auto"/>
              <w:left w:val="single" w:sz="4" w:space="0" w:color="auto"/>
              <w:bottom w:val="single" w:sz="6" w:space="0" w:color="auto"/>
              <w:right w:val="single" w:sz="6" w:space="0" w:color="auto"/>
            </w:tcBorders>
            <w:shd w:val="clear" w:color="auto" w:fill="CCFFCC"/>
          </w:tcPr>
          <w:p w14:paraId="6098B88A" w14:textId="77777777" w:rsidR="00C47639" w:rsidRPr="008F144D" w:rsidRDefault="00C47639" w:rsidP="00C47639">
            <w:pPr>
              <w:rPr>
                <w:b/>
              </w:rPr>
            </w:pPr>
            <w:r w:rsidRPr="008F144D">
              <w:rPr>
                <w:b/>
              </w:rPr>
              <w:t>Value(s) used in the Risk Assessment – Dermal absorption</w:t>
            </w:r>
          </w:p>
        </w:tc>
      </w:tr>
      <w:tr w:rsidR="00C47639" w:rsidRPr="00FD2055" w14:paraId="71021B77" w14:textId="77777777" w:rsidTr="00C47639">
        <w:tc>
          <w:tcPr>
            <w:tcW w:w="1399" w:type="pct"/>
            <w:tcBorders>
              <w:top w:val="single" w:sz="6" w:space="0" w:color="auto"/>
              <w:left w:val="single" w:sz="4" w:space="0" w:color="auto"/>
              <w:bottom w:val="single" w:sz="6" w:space="0" w:color="auto"/>
              <w:right w:val="single" w:sz="6" w:space="0" w:color="auto"/>
            </w:tcBorders>
            <w:shd w:val="clear" w:color="auto" w:fill="auto"/>
          </w:tcPr>
          <w:p w14:paraId="52556C2B" w14:textId="77777777" w:rsidR="00C47639" w:rsidRPr="00FD2055" w:rsidRDefault="00C47639" w:rsidP="00C47639">
            <w:r w:rsidRPr="00FD2055">
              <w:t>Substance</w:t>
            </w:r>
          </w:p>
        </w:tc>
        <w:tc>
          <w:tcPr>
            <w:tcW w:w="3443" w:type="pct"/>
            <w:tcBorders>
              <w:top w:val="single" w:sz="6" w:space="0" w:color="auto"/>
              <w:left w:val="single" w:sz="6" w:space="0" w:color="auto"/>
              <w:bottom w:val="single" w:sz="6" w:space="0" w:color="auto"/>
              <w:right w:val="single" w:sz="4" w:space="0" w:color="auto"/>
            </w:tcBorders>
          </w:tcPr>
          <w:p w14:paraId="32239147" w14:textId="77777777" w:rsidR="00C47639" w:rsidRPr="00FD2055" w:rsidRDefault="00C47639" w:rsidP="00C47639">
            <w:r w:rsidRPr="00336DE4">
              <w:rPr>
                <w:iCs/>
              </w:rPr>
              <w:t>Insect Repellent Pump Spray IR3535</w:t>
            </w:r>
            <w:r w:rsidRPr="00AC0EA0">
              <w:rPr>
                <w:iCs/>
                <w:vertAlign w:val="superscript"/>
              </w:rPr>
              <w:t>®</w:t>
            </w:r>
            <w:r w:rsidRPr="00336DE4">
              <w:rPr>
                <w:iCs/>
              </w:rPr>
              <w:t xml:space="preserve"> 20%</w:t>
            </w:r>
          </w:p>
        </w:tc>
        <w:tc>
          <w:tcPr>
            <w:tcW w:w="79" w:type="pct"/>
            <w:tcBorders>
              <w:top w:val="single" w:sz="6" w:space="0" w:color="auto"/>
              <w:left w:val="single" w:sz="4" w:space="0" w:color="auto"/>
              <w:bottom w:val="single" w:sz="6" w:space="0" w:color="auto"/>
              <w:right w:val="single" w:sz="4" w:space="0" w:color="auto"/>
            </w:tcBorders>
          </w:tcPr>
          <w:p w14:paraId="19891A9A" w14:textId="77777777" w:rsidR="00C47639" w:rsidRPr="00FD2055" w:rsidRDefault="00C47639" w:rsidP="00C47639"/>
        </w:tc>
        <w:tc>
          <w:tcPr>
            <w:tcW w:w="79" w:type="pct"/>
            <w:tcBorders>
              <w:top w:val="single" w:sz="6" w:space="0" w:color="auto"/>
              <w:left w:val="single" w:sz="4" w:space="0" w:color="auto"/>
              <w:bottom w:val="single" w:sz="6" w:space="0" w:color="auto"/>
              <w:right w:val="single" w:sz="6" w:space="0" w:color="auto"/>
            </w:tcBorders>
          </w:tcPr>
          <w:p w14:paraId="3BCE3633" w14:textId="77777777" w:rsidR="00C47639" w:rsidRPr="00FD2055" w:rsidRDefault="00C47639" w:rsidP="00C47639"/>
        </w:tc>
      </w:tr>
      <w:tr w:rsidR="00C47639" w:rsidRPr="00FD2055" w14:paraId="3F200751" w14:textId="77777777" w:rsidTr="00C47639">
        <w:tc>
          <w:tcPr>
            <w:tcW w:w="1399" w:type="pct"/>
            <w:tcBorders>
              <w:top w:val="single" w:sz="6" w:space="0" w:color="auto"/>
              <w:left w:val="single" w:sz="4" w:space="0" w:color="auto"/>
              <w:bottom w:val="single" w:sz="6" w:space="0" w:color="auto"/>
              <w:right w:val="single" w:sz="6" w:space="0" w:color="auto"/>
            </w:tcBorders>
            <w:shd w:val="clear" w:color="auto" w:fill="auto"/>
          </w:tcPr>
          <w:p w14:paraId="78E4955E" w14:textId="77777777" w:rsidR="00C47639" w:rsidRPr="00FD2055" w:rsidRDefault="00C47639" w:rsidP="00C47639">
            <w:r w:rsidRPr="00FD2055">
              <w:t>Value(s)*</w:t>
            </w:r>
          </w:p>
        </w:tc>
        <w:tc>
          <w:tcPr>
            <w:tcW w:w="3443" w:type="pct"/>
            <w:tcBorders>
              <w:top w:val="single" w:sz="6" w:space="0" w:color="auto"/>
              <w:left w:val="single" w:sz="6" w:space="0" w:color="auto"/>
              <w:bottom w:val="single" w:sz="6" w:space="0" w:color="auto"/>
              <w:right w:val="single" w:sz="4" w:space="0" w:color="auto"/>
            </w:tcBorders>
          </w:tcPr>
          <w:p w14:paraId="74434223" w14:textId="77777777" w:rsidR="00C47639" w:rsidRPr="00FD2055" w:rsidRDefault="00C47639" w:rsidP="00C47639">
            <w:r>
              <w:t>14% dermal absorption for 20% IR3535 lotion/ cream formulations</w:t>
            </w:r>
          </w:p>
        </w:tc>
        <w:tc>
          <w:tcPr>
            <w:tcW w:w="79" w:type="pct"/>
            <w:tcBorders>
              <w:top w:val="single" w:sz="6" w:space="0" w:color="auto"/>
              <w:left w:val="single" w:sz="4" w:space="0" w:color="auto"/>
              <w:bottom w:val="single" w:sz="6" w:space="0" w:color="auto"/>
              <w:right w:val="single" w:sz="4" w:space="0" w:color="auto"/>
            </w:tcBorders>
          </w:tcPr>
          <w:p w14:paraId="534D36D1" w14:textId="77777777" w:rsidR="00C47639" w:rsidRPr="00FD2055" w:rsidRDefault="00C47639" w:rsidP="00C47639"/>
        </w:tc>
        <w:tc>
          <w:tcPr>
            <w:tcW w:w="79" w:type="pct"/>
            <w:tcBorders>
              <w:top w:val="single" w:sz="6" w:space="0" w:color="auto"/>
              <w:left w:val="single" w:sz="4" w:space="0" w:color="auto"/>
              <w:bottom w:val="single" w:sz="6" w:space="0" w:color="auto"/>
              <w:right w:val="single" w:sz="6" w:space="0" w:color="auto"/>
            </w:tcBorders>
          </w:tcPr>
          <w:p w14:paraId="543CE4BD" w14:textId="77777777" w:rsidR="00C47639" w:rsidRPr="00FD2055" w:rsidRDefault="00C47639" w:rsidP="00C47639"/>
        </w:tc>
      </w:tr>
      <w:tr w:rsidR="00C47639" w:rsidRPr="00FD2055" w14:paraId="61B433FD" w14:textId="77777777" w:rsidTr="00C47639">
        <w:tc>
          <w:tcPr>
            <w:tcW w:w="1399" w:type="pct"/>
            <w:tcBorders>
              <w:top w:val="single" w:sz="6" w:space="0" w:color="auto"/>
              <w:left w:val="single" w:sz="4" w:space="0" w:color="auto"/>
              <w:bottom w:val="single" w:sz="6" w:space="0" w:color="auto"/>
              <w:right w:val="single" w:sz="6" w:space="0" w:color="auto"/>
            </w:tcBorders>
            <w:shd w:val="clear" w:color="auto" w:fill="auto"/>
          </w:tcPr>
          <w:p w14:paraId="4AC59467" w14:textId="77777777" w:rsidR="00C47639" w:rsidRPr="00FD2055" w:rsidRDefault="00C47639" w:rsidP="00C47639">
            <w:r w:rsidRPr="00FD2055">
              <w:t>Justification for the selected value(s)</w:t>
            </w:r>
          </w:p>
        </w:tc>
        <w:tc>
          <w:tcPr>
            <w:tcW w:w="3443" w:type="pct"/>
            <w:tcBorders>
              <w:top w:val="single" w:sz="6" w:space="0" w:color="auto"/>
              <w:left w:val="single" w:sz="6" w:space="0" w:color="auto"/>
              <w:bottom w:val="single" w:sz="6" w:space="0" w:color="auto"/>
              <w:right w:val="single" w:sz="4" w:space="0" w:color="auto"/>
            </w:tcBorders>
          </w:tcPr>
          <w:p w14:paraId="18DB156D" w14:textId="77777777" w:rsidR="00C47639" w:rsidRPr="00FD2055" w:rsidRDefault="00C47639" w:rsidP="00C47639">
            <w:r>
              <w:t xml:space="preserve">human volunteer study on a </w:t>
            </w:r>
            <w:r w:rsidRPr="00190DED">
              <w:t>water/ethanol-based 20 % IR3535</w:t>
            </w:r>
            <w:r w:rsidRPr="00AC0EA0">
              <w:rPr>
                <w:vertAlign w:val="superscript"/>
              </w:rPr>
              <w:t>®</w:t>
            </w:r>
            <w:r w:rsidRPr="00190DED">
              <w:t xml:space="preserve"> formulation</w:t>
            </w:r>
            <w:r>
              <w:t xml:space="preserve"> (</w:t>
            </w:r>
            <w:proofErr w:type="spellStart"/>
            <w:r>
              <w:t>Dekant</w:t>
            </w:r>
            <w:proofErr w:type="spellEnd"/>
            <w:r>
              <w:t>, 2010)</w:t>
            </w:r>
          </w:p>
        </w:tc>
        <w:tc>
          <w:tcPr>
            <w:tcW w:w="79" w:type="pct"/>
            <w:tcBorders>
              <w:top w:val="single" w:sz="6" w:space="0" w:color="auto"/>
              <w:left w:val="single" w:sz="4" w:space="0" w:color="auto"/>
              <w:bottom w:val="single" w:sz="6" w:space="0" w:color="auto"/>
              <w:right w:val="single" w:sz="4" w:space="0" w:color="auto"/>
            </w:tcBorders>
          </w:tcPr>
          <w:p w14:paraId="27D1C08E" w14:textId="77777777" w:rsidR="00C47639" w:rsidRPr="00FD2055" w:rsidRDefault="00C47639" w:rsidP="00C47639"/>
        </w:tc>
        <w:tc>
          <w:tcPr>
            <w:tcW w:w="79" w:type="pct"/>
            <w:tcBorders>
              <w:top w:val="single" w:sz="6" w:space="0" w:color="auto"/>
              <w:left w:val="single" w:sz="4" w:space="0" w:color="auto"/>
              <w:bottom w:val="single" w:sz="6" w:space="0" w:color="auto"/>
              <w:right w:val="single" w:sz="6" w:space="0" w:color="auto"/>
            </w:tcBorders>
          </w:tcPr>
          <w:p w14:paraId="34D4C5C7" w14:textId="77777777" w:rsidR="00C47639" w:rsidRPr="00FD2055" w:rsidRDefault="00C47639" w:rsidP="00C47639"/>
        </w:tc>
      </w:tr>
    </w:tbl>
    <w:p w14:paraId="593B62CD" w14:textId="77777777" w:rsidR="00C47639" w:rsidRDefault="00C47639" w:rsidP="00C47639"/>
    <w:p w14:paraId="564A2FE8" w14:textId="77777777" w:rsidR="00C47639" w:rsidRPr="00FD2055"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594"/>
        <w:gridCol w:w="10737"/>
      </w:tblGrid>
      <w:tr w:rsidR="00C47639" w:rsidRPr="008F144D" w14:paraId="25AC4271" w14:textId="77777777" w:rsidTr="00C47639">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71CC486" w14:textId="77777777" w:rsidR="00C47639" w:rsidRPr="008F144D" w:rsidRDefault="00C47639" w:rsidP="00C47639">
            <w:pPr>
              <w:rPr>
                <w:b/>
              </w:rPr>
            </w:pPr>
            <w:r w:rsidRPr="008F144D">
              <w:rPr>
                <w:b/>
              </w:rPr>
              <w:lastRenderedPageBreak/>
              <w:t>Data waiving</w:t>
            </w:r>
          </w:p>
        </w:tc>
      </w:tr>
      <w:tr w:rsidR="00C47639" w:rsidRPr="00FD2055" w14:paraId="2864B078" w14:textId="77777777" w:rsidTr="00C47639">
        <w:tc>
          <w:tcPr>
            <w:tcW w:w="1254" w:type="pct"/>
            <w:tcBorders>
              <w:top w:val="single" w:sz="6" w:space="0" w:color="auto"/>
              <w:left w:val="single" w:sz="4" w:space="0" w:color="auto"/>
              <w:bottom w:val="single" w:sz="6" w:space="0" w:color="auto"/>
              <w:right w:val="single" w:sz="6" w:space="0" w:color="auto"/>
            </w:tcBorders>
            <w:shd w:val="clear" w:color="auto" w:fill="auto"/>
          </w:tcPr>
          <w:p w14:paraId="5C7DA2F8" w14:textId="77777777" w:rsidR="00C47639" w:rsidRPr="00FD2055" w:rsidRDefault="00C47639" w:rsidP="00C47639">
            <w:r w:rsidRPr="00FD2055">
              <w:t>Information requirement</w:t>
            </w:r>
          </w:p>
        </w:tc>
        <w:tc>
          <w:tcPr>
            <w:tcW w:w="3746" w:type="pct"/>
            <w:tcBorders>
              <w:top w:val="single" w:sz="6" w:space="0" w:color="auto"/>
              <w:left w:val="single" w:sz="6" w:space="0" w:color="auto"/>
              <w:bottom w:val="single" w:sz="6" w:space="0" w:color="auto"/>
              <w:right w:val="single" w:sz="6" w:space="0" w:color="auto"/>
            </w:tcBorders>
          </w:tcPr>
          <w:p w14:paraId="5AE1ED97" w14:textId="77777777" w:rsidR="00C47639" w:rsidRPr="00FD2055" w:rsidRDefault="00C47639" w:rsidP="00C47639">
            <w:r>
              <w:t xml:space="preserve">Skin absorption study </w:t>
            </w:r>
          </w:p>
        </w:tc>
      </w:tr>
      <w:tr w:rsidR="00C47639" w:rsidRPr="00FD2055" w14:paraId="39B57BF1" w14:textId="77777777" w:rsidTr="00C47639">
        <w:tc>
          <w:tcPr>
            <w:tcW w:w="1254" w:type="pct"/>
            <w:tcBorders>
              <w:top w:val="single" w:sz="6" w:space="0" w:color="auto"/>
              <w:left w:val="single" w:sz="4" w:space="0" w:color="auto"/>
              <w:bottom w:val="single" w:sz="6" w:space="0" w:color="auto"/>
              <w:right w:val="single" w:sz="6" w:space="0" w:color="auto"/>
            </w:tcBorders>
            <w:shd w:val="clear" w:color="auto" w:fill="auto"/>
          </w:tcPr>
          <w:p w14:paraId="39D2B3AD" w14:textId="77777777" w:rsidR="00C47639" w:rsidRPr="00FD2055" w:rsidRDefault="00C47639" w:rsidP="00C47639">
            <w:r w:rsidRPr="00FD2055">
              <w:t>Justification</w:t>
            </w:r>
          </w:p>
        </w:tc>
        <w:tc>
          <w:tcPr>
            <w:tcW w:w="3746" w:type="pct"/>
            <w:tcBorders>
              <w:top w:val="single" w:sz="6" w:space="0" w:color="auto"/>
              <w:left w:val="single" w:sz="6" w:space="0" w:color="auto"/>
              <w:bottom w:val="single" w:sz="6" w:space="0" w:color="auto"/>
              <w:right w:val="single" w:sz="6" w:space="0" w:color="auto"/>
            </w:tcBorders>
          </w:tcPr>
          <w:p w14:paraId="6343C3A5" w14:textId="77777777" w:rsidR="00C47639" w:rsidRPr="00FD2055" w:rsidRDefault="00C47639" w:rsidP="00C47639">
            <w:r>
              <w:t xml:space="preserve">Human volunteer study on a </w:t>
            </w:r>
            <w:r w:rsidRPr="00190DED">
              <w:t>water/ethanol-based 20 % IR3535</w:t>
            </w:r>
            <w:r w:rsidRPr="003F25C2">
              <w:rPr>
                <w:vertAlign w:val="superscript"/>
              </w:rPr>
              <w:t>®</w:t>
            </w:r>
            <w:r w:rsidRPr="00190DED">
              <w:t xml:space="preserve"> formulation</w:t>
            </w:r>
          </w:p>
        </w:tc>
      </w:tr>
    </w:tbl>
    <w:p w14:paraId="02608EB7" w14:textId="77777777" w:rsidR="00C47639" w:rsidRDefault="00C47639" w:rsidP="00C47639">
      <w:pPr>
        <w:pStyle w:val="Titre5"/>
      </w:pPr>
      <w:bookmarkStart w:id="173" w:name="_Toc532391092"/>
      <w:bookmarkStart w:id="174" w:name="_Toc8296506"/>
      <w:r>
        <w:t xml:space="preserve">Available toxicological data relating to </w:t>
      </w:r>
      <w:proofErr w:type="spellStart"/>
      <w:r>
        <w:t>non active</w:t>
      </w:r>
      <w:proofErr w:type="spellEnd"/>
      <w:r>
        <w:t xml:space="preserve"> substance(s) (i.e. substance(s) of concern)</w:t>
      </w:r>
      <w:bookmarkEnd w:id="173"/>
      <w:bookmarkEnd w:id="174"/>
    </w:p>
    <w:p w14:paraId="4D4FC4DE" w14:textId="77777777" w:rsidR="00C47639" w:rsidRPr="00957052" w:rsidRDefault="00C47639" w:rsidP="00C47639">
      <w:r w:rsidRPr="003B36A4">
        <w:rPr>
          <w:lang w:eastAsia="fr-BE"/>
        </w:rPr>
        <w:t>There are valid data available on each of the components in the mixture sufficient to allow classification of the mixture according to the rules laid down in Directive 1999/45/EC and Regulation (EC) No 1272/2008 (CLP), and synergistic effects between any of the components are not expected.</w:t>
      </w:r>
    </w:p>
    <w:p w14:paraId="08404FF2" w14:textId="77777777" w:rsidR="00C47639" w:rsidRDefault="00C47639" w:rsidP="00C47639">
      <w:pPr>
        <w:pStyle w:val="Titre5"/>
      </w:pPr>
      <w:bookmarkStart w:id="175" w:name="_Toc532391093"/>
      <w:bookmarkStart w:id="176" w:name="_Toc8296507"/>
      <w:r>
        <w:t>Available toxicological data relating to a mixture</w:t>
      </w:r>
      <w:bookmarkEnd w:id="175"/>
      <w:bookmarkEnd w:id="176"/>
    </w:p>
    <w:p w14:paraId="2647B27C" w14:textId="77777777" w:rsidR="00C47639" w:rsidRPr="00FD2055" w:rsidRDefault="00C47639" w:rsidP="00C47639">
      <w:pPr>
        <w:spacing w:line="260" w:lineRule="atLeast"/>
        <w:jc w:val="both"/>
      </w:pPr>
      <w:r w:rsidRPr="00FD2055">
        <w:t>Available toxicological data relating to a mixture that a substance(s) of concern is a component of</w:t>
      </w:r>
    </w:p>
    <w:p w14:paraId="27970209" w14:textId="77777777" w:rsidR="00C47639" w:rsidRDefault="00C47639" w:rsidP="00C47639">
      <w:pPr>
        <w:autoSpaceDE w:val="0"/>
        <w:autoSpaceDN w:val="0"/>
        <w:adjustRightInd w:val="0"/>
        <w:rPr>
          <w:rFonts w:cs="36jii"/>
          <w:highlight w:val="yellow"/>
          <w:lang w:eastAsia="fr-BE"/>
        </w:rPr>
      </w:pPr>
    </w:p>
    <w:p w14:paraId="6735D594" w14:textId="77777777" w:rsidR="00C47639" w:rsidRPr="001559B0" w:rsidRDefault="00C47639" w:rsidP="00C47639">
      <w:pPr>
        <w:autoSpaceDE w:val="0"/>
        <w:autoSpaceDN w:val="0"/>
        <w:adjustRightInd w:val="0"/>
        <w:rPr>
          <w:rFonts w:cs="36jii"/>
          <w:lang w:eastAsia="fr-BE"/>
        </w:rPr>
      </w:pPr>
      <w:r w:rsidRPr="003B36A4">
        <w:rPr>
          <w:rFonts w:cs="36jii"/>
          <w:lang w:eastAsia="fr-BE"/>
        </w:rPr>
        <w:t>There are valid data available on each of the components in the mixture sufficient to allow classification of the mixture according to the rules laid down in Directive 1999/45/EC and Regulation (EC) No 1272/2008 (CLP), and synergistic effects between any of the components are not expected.</w:t>
      </w:r>
    </w:p>
    <w:p w14:paraId="174F8574" w14:textId="77777777" w:rsidR="00C47639" w:rsidRPr="00FD2055" w:rsidRDefault="00C47639" w:rsidP="00C47639">
      <w:pPr>
        <w:pStyle w:val="Titre5"/>
      </w:pPr>
      <w:bookmarkStart w:id="177" w:name="_Toc389729061"/>
      <w:bookmarkStart w:id="178" w:name="_Toc403472763"/>
      <w:bookmarkStart w:id="179" w:name="_Toc532391094"/>
      <w:bookmarkStart w:id="180" w:name="_Toc8296508"/>
      <w:r w:rsidRPr="00FD2055">
        <w:t>Other</w:t>
      </w:r>
      <w:bookmarkEnd w:id="177"/>
      <w:bookmarkEnd w:id="178"/>
      <w:bookmarkEnd w:id="179"/>
      <w:bookmarkEnd w:id="180"/>
    </w:p>
    <w:p w14:paraId="60BF8230" w14:textId="77777777" w:rsidR="00C47639" w:rsidRDefault="00C47639" w:rsidP="00C47639">
      <w:r>
        <w:t>Not applicable.</w:t>
      </w:r>
    </w:p>
    <w:p w14:paraId="2DF25D7B" w14:textId="77777777" w:rsidR="00C47639" w:rsidRPr="00FD2055" w:rsidRDefault="00C47639" w:rsidP="00C47639"/>
    <w:p w14:paraId="45F8FCB1" w14:textId="77777777" w:rsidR="00C47639" w:rsidRDefault="00C47639" w:rsidP="00C47639">
      <w:pPr>
        <w:spacing w:before="0" w:after="160" w:line="259" w:lineRule="auto"/>
        <w:sectPr w:rsidR="00C47639" w:rsidSect="00D63744">
          <w:pgSz w:w="16838" w:h="11906" w:orient="landscape"/>
          <w:pgMar w:top="1247" w:right="1247" w:bottom="1247" w:left="1247" w:header="709" w:footer="709" w:gutter="0"/>
          <w:cols w:space="708"/>
          <w:docGrid w:linePitch="360"/>
        </w:sectPr>
      </w:pPr>
    </w:p>
    <w:p w14:paraId="7C02F74D" w14:textId="77777777" w:rsidR="00C47639" w:rsidRPr="0027501E" w:rsidRDefault="00C47639" w:rsidP="00C47639">
      <w:pPr>
        <w:pStyle w:val="Titre4"/>
      </w:pPr>
      <w:bookmarkStart w:id="181" w:name="_Toc532391095"/>
      <w:bookmarkStart w:id="182" w:name="_Toc8296509"/>
      <w:r w:rsidRPr="0027501E">
        <w:lastRenderedPageBreak/>
        <w:t>Exposure assessment</w:t>
      </w:r>
      <w:bookmarkEnd w:id="181"/>
      <w:bookmarkEnd w:id="182"/>
    </w:p>
    <w:p w14:paraId="18D63F7C" w14:textId="77777777" w:rsidR="00C47639" w:rsidRPr="0024143A" w:rsidRDefault="00C47639" w:rsidP="00C47639">
      <w:r>
        <w:t>T</w:t>
      </w:r>
      <w:r w:rsidRPr="0024143A">
        <w:t>he active substance contained in t</w:t>
      </w:r>
      <w:r>
        <w:t>he</w:t>
      </w:r>
      <w:r w:rsidRPr="0024143A">
        <w:t xml:space="preserve"> product</w:t>
      </w:r>
      <w:r>
        <w:t xml:space="preserve"> </w:t>
      </w:r>
      <w:r w:rsidRPr="00661506">
        <w:t>Insect Repellent Pump Spray IR3535</w:t>
      </w:r>
      <w:r w:rsidRPr="00661506">
        <w:rPr>
          <w:vertAlign w:val="superscript"/>
        </w:rPr>
        <w:t>®</w:t>
      </w:r>
      <w:r w:rsidRPr="00661506">
        <w:t xml:space="preserve"> 20 </w:t>
      </w:r>
      <w:r>
        <w:t>%</w:t>
      </w:r>
      <w:r w:rsidRPr="0024143A">
        <w:t xml:space="preserve"> is the same as evaluated in the CAR for IR3535</w:t>
      </w:r>
      <w:r w:rsidRPr="0024143A">
        <w:rPr>
          <w:vertAlign w:val="superscript"/>
        </w:rPr>
        <w:t xml:space="preserve">® </w:t>
      </w:r>
      <w:r w:rsidRPr="0024143A">
        <w:t xml:space="preserve"> and therefore no new data/information on the active substance is required.</w:t>
      </w:r>
    </w:p>
    <w:p w14:paraId="6E4E2AEC" w14:textId="77777777" w:rsidR="00C47639" w:rsidRPr="008A7806" w:rsidRDefault="00C47639" w:rsidP="00C47639"/>
    <w:p w14:paraId="47D18663" w14:textId="77777777" w:rsidR="00C47639" w:rsidRDefault="00C47639" w:rsidP="00C47639">
      <w:r w:rsidRPr="008A7806">
        <w:t>The composition of the representative product from the CAR is not identical to that of Insect Repellent Pump Spray IR3535</w:t>
      </w:r>
      <w:r w:rsidRPr="008A7806">
        <w:rPr>
          <w:vertAlign w:val="superscript"/>
        </w:rPr>
        <w:t>®</w:t>
      </w:r>
      <w:r w:rsidRPr="008A7806">
        <w:t xml:space="preserve"> 20 %. However, the intended use is identical as well as the amount of act</w:t>
      </w:r>
      <w:r>
        <w:t xml:space="preserve">ive substance in both products. </w:t>
      </w:r>
      <w:r w:rsidRPr="00383E5C">
        <w:t>It does not contain substances of toxicological concern</w:t>
      </w:r>
      <w:r w:rsidRPr="00936F32">
        <w:t xml:space="preserve"> </w:t>
      </w:r>
      <w:r>
        <w:t>apart IR3535</w:t>
      </w:r>
      <w:r w:rsidRPr="00DA532B">
        <w:rPr>
          <w:vertAlign w:val="superscript"/>
        </w:rPr>
        <w:t>®</w:t>
      </w:r>
      <w:r w:rsidRPr="00DA532B">
        <w:t xml:space="preserve">. </w:t>
      </w:r>
    </w:p>
    <w:p w14:paraId="4C1D581C" w14:textId="77777777" w:rsidR="00C47639" w:rsidRDefault="00C47639" w:rsidP="00C47639"/>
    <w:p w14:paraId="1CCA0357" w14:textId="77777777" w:rsidR="00C47639" w:rsidRDefault="00C47639" w:rsidP="00C47639">
      <w:r>
        <w:t xml:space="preserve">Following the referral conclusions for this product, it has been decided that Ethanol should be considered as a substance of concern, since it is </w:t>
      </w:r>
      <w:r w:rsidRPr="006B641D">
        <w:t xml:space="preserve">responsible for the classification of the biocidal product as </w:t>
      </w:r>
      <w:r>
        <w:t xml:space="preserve">a </w:t>
      </w:r>
      <w:r w:rsidRPr="006B641D">
        <w:t>flammable liquid.</w:t>
      </w:r>
      <w:r>
        <w:t xml:space="preserve"> </w:t>
      </w:r>
    </w:p>
    <w:p w14:paraId="0CEED9EE" w14:textId="77777777" w:rsidR="00C47639" w:rsidRPr="00A563B9" w:rsidRDefault="00C47639" w:rsidP="00C47639">
      <w:r>
        <w:t xml:space="preserve">However, from a toxicological point of view, ethanol is not considered relevant. Based on its harmonized classification, ethanol is not classified for any human health hazard. Considering the fact that there is currently no guidance of how to treat </w:t>
      </w:r>
      <w:proofErr w:type="spellStart"/>
      <w:r>
        <w:t>physico</w:t>
      </w:r>
      <w:proofErr w:type="spellEnd"/>
      <w:r>
        <w:t xml:space="preserve">-chemical hazard, it was agreed that the application of P-sentences and H-sentences will cover the risk, based on an analogy with the Human Health document </w:t>
      </w:r>
      <w:r w:rsidRPr="00A563B9">
        <w:t>CA-Nov14-Doc 5.11</w:t>
      </w:r>
      <w:r>
        <w:t xml:space="preserve"> when substances are classified in band A.</w:t>
      </w:r>
    </w:p>
    <w:p w14:paraId="422B3137" w14:textId="77777777" w:rsidR="00C47639" w:rsidRPr="00FD2055" w:rsidRDefault="00C47639" w:rsidP="00C47639">
      <w:r w:rsidRPr="00D54BE7">
        <w:t>Consequently, no risk assessment was performed for ethanol.</w:t>
      </w:r>
      <w:r>
        <w:t xml:space="preserve">  </w:t>
      </w:r>
      <w:r w:rsidRPr="00FD2055">
        <w:t>Identification of main paths of human exposure towards active substance(s) and substances of concern from its use in biocidal product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1"/>
        <w:gridCol w:w="1178"/>
        <w:gridCol w:w="1426"/>
        <w:gridCol w:w="1462"/>
        <w:gridCol w:w="1178"/>
        <w:gridCol w:w="1426"/>
        <w:gridCol w:w="983"/>
        <w:gridCol w:w="622"/>
      </w:tblGrid>
      <w:tr w:rsidR="00C47639" w:rsidRPr="006F2452" w14:paraId="771737D3" w14:textId="77777777" w:rsidTr="00C47639">
        <w:trPr>
          <w:tblHeader/>
        </w:trPr>
        <w:tc>
          <w:tcPr>
            <w:tcW w:w="5000" w:type="pct"/>
            <w:gridSpan w:val="8"/>
            <w:shd w:val="clear" w:color="auto" w:fill="FFFFCC"/>
          </w:tcPr>
          <w:p w14:paraId="0E0BD5D6" w14:textId="77777777" w:rsidR="00C47639" w:rsidRPr="006F2452" w:rsidRDefault="00C47639" w:rsidP="00C47639">
            <w:pPr>
              <w:pStyle w:val="Standaard-Tabellen"/>
              <w:jc w:val="center"/>
              <w:rPr>
                <w:b/>
              </w:rPr>
            </w:pPr>
            <w:r w:rsidRPr="006F2452">
              <w:rPr>
                <w:b/>
              </w:rPr>
              <w:t>Summary table: relevant paths of human exposure</w:t>
            </w:r>
          </w:p>
        </w:tc>
      </w:tr>
      <w:tr w:rsidR="00C47639" w:rsidRPr="00FD2055" w14:paraId="51872805" w14:textId="77777777" w:rsidTr="00C47639">
        <w:trPr>
          <w:tblHeader/>
        </w:trPr>
        <w:tc>
          <w:tcPr>
            <w:tcW w:w="596" w:type="pct"/>
            <w:vMerge w:val="restart"/>
            <w:shd w:val="clear" w:color="auto" w:fill="BFBFBF" w:themeFill="background1" w:themeFillShade="BF"/>
            <w:tcMar>
              <w:top w:w="57" w:type="dxa"/>
              <w:bottom w:w="57" w:type="dxa"/>
            </w:tcMar>
            <w:vAlign w:val="center"/>
          </w:tcPr>
          <w:p w14:paraId="50C585A0" w14:textId="77777777" w:rsidR="00C47639" w:rsidRPr="006F2452" w:rsidRDefault="00C47639" w:rsidP="00C47639">
            <w:pPr>
              <w:pStyle w:val="Standaard-Tabellen"/>
              <w:rPr>
                <w:b/>
              </w:rPr>
            </w:pPr>
            <w:r w:rsidRPr="006F2452">
              <w:rPr>
                <w:b/>
              </w:rPr>
              <w:t>Exposure path</w:t>
            </w:r>
          </w:p>
        </w:tc>
        <w:tc>
          <w:tcPr>
            <w:tcW w:w="2164" w:type="pct"/>
            <w:gridSpan w:val="3"/>
            <w:shd w:val="clear" w:color="auto" w:fill="BFBFBF" w:themeFill="background1" w:themeFillShade="BF"/>
            <w:tcMar>
              <w:top w:w="57" w:type="dxa"/>
              <w:bottom w:w="57" w:type="dxa"/>
            </w:tcMar>
            <w:vAlign w:val="center"/>
          </w:tcPr>
          <w:p w14:paraId="44A41B39" w14:textId="77777777" w:rsidR="00C47639" w:rsidRPr="006F2452" w:rsidRDefault="00C47639" w:rsidP="00C47639">
            <w:pPr>
              <w:pStyle w:val="Standaard-Tabellen"/>
              <w:rPr>
                <w:b/>
              </w:rPr>
            </w:pPr>
            <w:r w:rsidRPr="006F2452">
              <w:rPr>
                <w:b/>
              </w:rPr>
              <w:t xml:space="preserve">Primary (direct) exposure </w:t>
            </w:r>
          </w:p>
        </w:tc>
        <w:tc>
          <w:tcPr>
            <w:tcW w:w="2240" w:type="pct"/>
            <w:gridSpan w:val="4"/>
            <w:shd w:val="clear" w:color="auto" w:fill="BFBFBF" w:themeFill="background1" w:themeFillShade="BF"/>
          </w:tcPr>
          <w:p w14:paraId="66B53A36" w14:textId="77777777" w:rsidR="00C47639" w:rsidRPr="006F2452" w:rsidRDefault="00C47639" w:rsidP="00C47639">
            <w:pPr>
              <w:pStyle w:val="Standaard-Tabellen"/>
              <w:rPr>
                <w:b/>
              </w:rPr>
            </w:pPr>
            <w:r w:rsidRPr="006F2452">
              <w:rPr>
                <w:b/>
              </w:rPr>
              <w:t xml:space="preserve">Secondary (indirect) exposure </w:t>
            </w:r>
          </w:p>
        </w:tc>
      </w:tr>
      <w:tr w:rsidR="00C47639" w:rsidRPr="00FD2055" w14:paraId="4CDD44CE" w14:textId="77777777" w:rsidTr="00C47639">
        <w:trPr>
          <w:tblHeader/>
        </w:trPr>
        <w:tc>
          <w:tcPr>
            <w:tcW w:w="596" w:type="pct"/>
            <w:vMerge/>
            <w:shd w:val="clear" w:color="auto" w:fill="BFBFBF" w:themeFill="background1" w:themeFillShade="BF"/>
            <w:tcMar>
              <w:top w:w="57" w:type="dxa"/>
              <w:bottom w:w="57" w:type="dxa"/>
            </w:tcMar>
          </w:tcPr>
          <w:p w14:paraId="49173211" w14:textId="77777777" w:rsidR="00C47639" w:rsidRPr="006F2452" w:rsidRDefault="00C47639" w:rsidP="00C47639">
            <w:pPr>
              <w:pStyle w:val="Standaard-Tabellen"/>
              <w:rPr>
                <w:b/>
              </w:rPr>
            </w:pPr>
          </w:p>
        </w:tc>
        <w:tc>
          <w:tcPr>
            <w:tcW w:w="627" w:type="pct"/>
            <w:shd w:val="clear" w:color="auto" w:fill="BFBFBF" w:themeFill="background1" w:themeFillShade="BF"/>
            <w:tcMar>
              <w:top w:w="57" w:type="dxa"/>
              <w:bottom w:w="57" w:type="dxa"/>
            </w:tcMar>
          </w:tcPr>
          <w:p w14:paraId="19E87F62" w14:textId="77777777" w:rsidR="00C47639" w:rsidRPr="006F2452" w:rsidRDefault="00C47639" w:rsidP="00C47639">
            <w:pPr>
              <w:pStyle w:val="Standaard-Tabellen"/>
              <w:rPr>
                <w:b/>
              </w:rPr>
            </w:pPr>
            <w:r w:rsidRPr="006F2452">
              <w:rPr>
                <w:b/>
              </w:rPr>
              <w:t>Industrial use</w:t>
            </w:r>
          </w:p>
        </w:tc>
        <w:tc>
          <w:tcPr>
            <w:tcW w:w="759" w:type="pct"/>
            <w:shd w:val="clear" w:color="auto" w:fill="BFBFBF" w:themeFill="background1" w:themeFillShade="BF"/>
            <w:tcMar>
              <w:top w:w="57" w:type="dxa"/>
              <w:bottom w:w="57" w:type="dxa"/>
            </w:tcMar>
          </w:tcPr>
          <w:p w14:paraId="076B97D7" w14:textId="77777777" w:rsidR="00C47639" w:rsidRPr="006F2452" w:rsidRDefault="00C47639" w:rsidP="00C47639">
            <w:pPr>
              <w:pStyle w:val="Standaard-Tabellen"/>
              <w:rPr>
                <w:b/>
              </w:rPr>
            </w:pPr>
            <w:r w:rsidRPr="006F2452">
              <w:rPr>
                <w:b/>
              </w:rPr>
              <w:t>Professional use</w:t>
            </w:r>
          </w:p>
        </w:tc>
        <w:tc>
          <w:tcPr>
            <w:tcW w:w="778" w:type="pct"/>
            <w:shd w:val="clear" w:color="auto" w:fill="BFBFBF" w:themeFill="background1" w:themeFillShade="BF"/>
            <w:tcMar>
              <w:top w:w="57" w:type="dxa"/>
              <w:bottom w:w="57" w:type="dxa"/>
            </w:tcMar>
          </w:tcPr>
          <w:p w14:paraId="45ACC04A" w14:textId="77777777" w:rsidR="00C47639" w:rsidRPr="006F2452" w:rsidRDefault="00C47639" w:rsidP="00C47639">
            <w:pPr>
              <w:pStyle w:val="Standaard-Tabellen"/>
              <w:rPr>
                <w:b/>
              </w:rPr>
            </w:pPr>
            <w:r w:rsidRPr="006F2452">
              <w:rPr>
                <w:b/>
              </w:rPr>
              <w:t>Non-professional use</w:t>
            </w:r>
          </w:p>
        </w:tc>
        <w:tc>
          <w:tcPr>
            <w:tcW w:w="627" w:type="pct"/>
            <w:shd w:val="clear" w:color="auto" w:fill="BFBFBF" w:themeFill="background1" w:themeFillShade="BF"/>
          </w:tcPr>
          <w:p w14:paraId="0F599EAB" w14:textId="77777777" w:rsidR="00C47639" w:rsidRPr="006F2452" w:rsidRDefault="00C47639" w:rsidP="00C47639">
            <w:pPr>
              <w:pStyle w:val="Standaard-Tabellen"/>
              <w:rPr>
                <w:b/>
              </w:rPr>
            </w:pPr>
            <w:r w:rsidRPr="006F2452">
              <w:rPr>
                <w:b/>
              </w:rPr>
              <w:t>Industrial use</w:t>
            </w:r>
          </w:p>
        </w:tc>
        <w:tc>
          <w:tcPr>
            <w:tcW w:w="759" w:type="pct"/>
            <w:shd w:val="clear" w:color="auto" w:fill="BFBFBF" w:themeFill="background1" w:themeFillShade="BF"/>
          </w:tcPr>
          <w:p w14:paraId="7C28BA0B" w14:textId="77777777" w:rsidR="00C47639" w:rsidRPr="006F2452" w:rsidRDefault="00C47639" w:rsidP="00C47639">
            <w:pPr>
              <w:pStyle w:val="Standaard-Tabellen"/>
              <w:rPr>
                <w:b/>
              </w:rPr>
            </w:pPr>
            <w:r w:rsidRPr="006F2452">
              <w:rPr>
                <w:b/>
              </w:rPr>
              <w:t>Professional use</w:t>
            </w:r>
          </w:p>
        </w:tc>
        <w:tc>
          <w:tcPr>
            <w:tcW w:w="523" w:type="pct"/>
            <w:shd w:val="clear" w:color="auto" w:fill="BFBFBF" w:themeFill="background1" w:themeFillShade="BF"/>
          </w:tcPr>
          <w:p w14:paraId="4176337A" w14:textId="77777777" w:rsidR="00C47639" w:rsidRPr="006F2452" w:rsidRDefault="00C47639" w:rsidP="00C47639">
            <w:pPr>
              <w:pStyle w:val="Standaard-Tabellen"/>
              <w:rPr>
                <w:b/>
              </w:rPr>
            </w:pPr>
            <w:r w:rsidRPr="006F2452">
              <w:rPr>
                <w:b/>
              </w:rPr>
              <w:t>General public</w:t>
            </w:r>
          </w:p>
        </w:tc>
        <w:tc>
          <w:tcPr>
            <w:tcW w:w="332" w:type="pct"/>
            <w:shd w:val="clear" w:color="auto" w:fill="BFBFBF" w:themeFill="background1" w:themeFillShade="BF"/>
          </w:tcPr>
          <w:p w14:paraId="6EA1B658" w14:textId="77777777" w:rsidR="00C47639" w:rsidRPr="006F2452" w:rsidRDefault="00C47639" w:rsidP="00C47639">
            <w:pPr>
              <w:pStyle w:val="Standaard-Tabellen"/>
              <w:rPr>
                <w:b/>
              </w:rPr>
            </w:pPr>
            <w:r w:rsidRPr="006F2452">
              <w:rPr>
                <w:b/>
              </w:rPr>
              <w:t>Via food</w:t>
            </w:r>
          </w:p>
        </w:tc>
      </w:tr>
      <w:tr w:rsidR="00C47639" w:rsidRPr="00FD2055" w14:paraId="13E29455" w14:textId="77777777" w:rsidTr="00C47639">
        <w:trPr>
          <w:tblHeader/>
        </w:trPr>
        <w:tc>
          <w:tcPr>
            <w:tcW w:w="596" w:type="pct"/>
            <w:shd w:val="clear" w:color="auto" w:fill="auto"/>
            <w:tcMar>
              <w:top w:w="57" w:type="dxa"/>
              <w:bottom w:w="57" w:type="dxa"/>
            </w:tcMar>
          </w:tcPr>
          <w:p w14:paraId="5FA56FF8" w14:textId="77777777" w:rsidR="00C47639" w:rsidRPr="00FD2055" w:rsidRDefault="00C47639" w:rsidP="00C47639">
            <w:pPr>
              <w:pStyle w:val="Standaard-Tabellen"/>
            </w:pPr>
            <w:r w:rsidRPr="00FD2055">
              <w:t>Inhalation</w:t>
            </w:r>
          </w:p>
        </w:tc>
        <w:tc>
          <w:tcPr>
            <w:tcW w:w="627" w:type="pct"/>
            <w:tcMar>
              <w:top w:w="57" w:type="dxa"/>
              <w:bottom w:w="57" w:type="dxa"/>
            </w:tcMar>
          </w:tcPr>
          <w:p w14:paraId="68C574D4" w14:textId="77777777" w:rsidR="00C47639" w:rsidRPr="00FD2055" w:rsidRDefault="00C47639" w:rsidP="00C47639">
            <w:pPr>
              <w:pStyle w:val="Standaard-Tabellen"/>
            </w:pPr>
            <w:proofErr w:type="spellStart"/>
            <w:r>
              <w:t>n.a</w:t>
            </w:r>
            <w:proofErr w:type="spellEnd"/>
            <w:r>
              <w:t>.</w:t>
            </w:r>
          </w:p>
        </w:tc>
        <w:tc>
          <w:tcPr>
            <w:tcW w:w="759" w:type="pct"/>
            <w:shd w:val="clear" w:color="auto" w:fill="auto"/>
            <w:tcMar>
              <w:top w:w="57" w:type="dxa"/>
              <w:bottom w:w="57" w:type="dxa"/>
            </w:tcMar>
          </w:tcPr>
          <w:p w14:paraId="7A1FCCE4" w14:textId="77777777" w:rsidR="00C47639" w:rsidRPr="00FD2055" w:rsidRDefault="00C47639" w:rsidP="00C47639">
            <w:pPr>
              <w:pStyle w:val="Standaard-Tabellen"/>
            </w:pPr>
            <w:proofErr w:type="spellStart"/>
            <w:r>
              <w:t>n.a</w:t>
            </w:r>
            <w:proofErr w:type="spellEnd"/>
            <w:r>
              <w:t>.</w:t>
            </w:r>
          </w:p>
        </w:tc>
        <w:tc>
          <w:tcPr>
            <w:tcW w:w="778" w:type="pct"/>
            <w:shd w:val="clear" w:color="auto" w:fill="auto"/>
            <w:tcMar>
              <w:top w:w="57" w:type="dxa"/>
              <w:bottom w:w="57" w:type="dxa"/>
            </w:tcMar>
          </w:tcPr>
          <w:p w14:paraId="31044BE7" w14:textId="77777777" w:rsidR="00C47639" w:rsidRPr="00FD2055" w:rsidRDefault="00C47639" w:rsidP="00C47639">
            <w:pPr>
              <w:pStyle w:val="Standaard-Tabellen"/>
            </w:pPr>
            <w:r>
              <w:t>Yes</w:t>
            </w:r>
          </w:p>
        </w:tc>
        <w:tc>
          <w:tcPr>
            <w:tcW w:w="627" w:type="pct"/>
          </w:tcPr>
          <w:p w14:paraId="0CE0A72D" w14:textId="77777777" w:rsidR="00C47639" w:rsidRPr="00FD2055" w:rsidRDefault="00C47639" w:rsidP="00C47639">
            <w:pPr>
              <w:pStyle w:val="Standaard-Tabellen"/>
            </w:pPr>
            <w:proofErr w:type="spellStart"/>
            <w:r>
              <w:t>n.a</w:t>
            </w:r>
            <w:proofErr w:type="spellEnd"/>
            <w:r>
              <w:t>.</w:t>
            </w:r>
          </w:p>
        </w:tc>
        <w:tc>
          <w:tcPr>
            <w:tcW w:w="759" w:type="pct"/>
          </w:tcPr>
          <w:p w14:paraId="217A1D0D" w14:textId="77777777" w:rsidR="00C47639" w:rsidRPr="00FD2055" w:rsidRDefault="00C47639" w:rsidP="00C47639">
            <w:pPr>
              <w:pStyle w:val="Standaard-Tabellen"/>
            </w:pPr>
            <w:proofErr w:type="spellStart"/>
            <w:r>
              <w:t>n.a</w:t>
            </w:r>
            <w:proofErr w:type="spellEnd"/>
            <w:r>
              <w:t>.</w:t>
            </w:r>
          </w:p>
        </w:tc>
        <w:tc>
          <w:tcPr>
            <w:tcW w:w="523" w:type="pct"/>
          </w:tcPr>
          <w:p w14:paraId="64B93BEF" w14:textId="77777777" w:rsidR="00C47639" w:rsidRPr="00FD2055" w:rsidRDefault="00C47639" w:rsidP="00C47639">
            <w:pPr>
              <w:pStyle w:val="Standaard-Tabellen"/>
            </w:pPr>
            <w:r>
              <w:t>Yes</w:t>
            </w:r>
          </w:p>
        </w:tc>
        <w:tc>
          <w:tcPr>
            <w:tcW w:w="332" w:type="pct"/>
          </w:tcPr>
          <w:p w14:paraId="313D3337" w14:textId="77777777" w:rsidR="00C47639" w:rsidRPr="00FD2055" w:rsidRDefault="00C47639" w:rsidP="00C47639">
            <w:pPr>
              <w:pStyle w:val="Standaard-Tabellen"/>
            </w:pPr>
            <w:proofErr w:type="spellStart"/>
            <w:r w:rsidRPr="00E26C7F">
              <w:t>n.a</w:t>
            </w:r>
            <w:proofErr w:type="spellEnd"/>
            <w:r w:rsidRPr="00E26C7F">
              <w:t>.</w:t>
            </w:r>
          </w:p>
        </w:tc>
      </w:tr>
      <w:tr w:rsidR="00C47639" w:rsidRPr="00FD2055" w14:paraId="03797ED1" w14:textId="77777777" w:rsidTr="00C47639">
        <w:trPr>
          <w:tblHeader/>
        </w:trPr>
        <w:tc>
          <w:tcPr>
            <w:tcW w:w="596" w:type="pct"/>
            <w:shd w:val="clear" w:color="auto" w:fill="auto"/>
            <w:tcMar>
              <w:top w:w="57" w:type="dxa"/>
              <w:bottom w:w="57" w:type="dxa"/>
            </w:tcMar>
          </w:tcPr>
          <w:p w14:paraId="76614210" w14:textId="77777777" w:rsidR="00C47639" w:rsidRPr="00FD2055" w:rsidRDefault="00C47639" w:rsidP="00C47639">
            <w:pPr>
              <w:pStyle w:val="Standaard-Tabellen"/>
            </w:pPr>
            <w:r w:rsidRPr="00FD2055">
              <w:t>Dermal</w:t>
            </w:r>
          </w:p>
        </w:tc>
        <w:tc>
          <w:tcPr>
            <w:tcW w:w="627" w:type="pct"/>
            <w:tcMar>
              <w:top w:w="57" w:type="dxa"/>
              <w:bottom w:w="57" w:type="dxa"/>
            </w:tcMar>
          </w:tcPr>
          <w:p w14:paraId="0C306111" w14:textId="77777777" w:rsidR="00C47639" w:rsidRPr="00FD2055" w:rsidRDefault="00C47639" w:rsidP="00C47639">
            <w:pPr>
              <w:pStyle w:val="Standaard-Tabellen"/>
            </w:pPr>
            <w:r>
              <w:t>yes</w:t>
            </w:r>
          </w:p>
        </w:tc>
        <w:tc>
          <w:tcPr>
            <w:tcW w:w="759" w:type="pct"/>
            <w:shd w:val="clear" w:color="auto" w:fill="auto"/>
            <w:tcMar>
              <w:top w:w="57" w:type="dxa"/>
              <w:bottom w:w="57" w:type="dxa"/>
            </w:tcMar>
          </w:tcPr>
          <w:p w14:paraId="37088964" w14:textId="77777777" w:rsidR="00C47639" w:rsidRPr="00FD2055" w:rsidRDefault="00C47639" w:rsidP="00C47639">
            <w:pPr>
              <w:pStyle w:val="Standaard-Tabellen"/>
            </w:pPr>
            <w:proofErr w:type="spellStart"/>
            <w:r>
              <w:t>n.a</w:t>
            </w:r>
            <w:proofErr w:type="spellEnd"/>
            <w:r>
              <w:t>.</w:t>
            </w:r>
          </w:p>
        </w:tc>
        <w:tc>
          <w:tcPr>
            <w:tcW w:w="778" w:type="pct"/>
            <w:shd w:val="clear" w:color="auto" w:fill="auto"/>
            <w:tcMar>
              <w:top w:w="57" w:type="dxa"/>
              <w:bottom w:w="57" w:type="dxa"/>
            </w:tcMar>
          </w:tcPr>
          <w:p w14:paraId="5D8B8E5A" w14:textId="77777777" w:rsidR="00C47639" w:rsidRPr="00FD2055" w:rsidRDefault="00C47639" w:rsidP="00C47639">
            <w:pPr>
              <w:pStyle w:val="Standaard-Tabellen"/>
            </w:pPr>
            <w:r>
              <w:t>Yes</w:t>
            </w:r>
          </w:p>
        </w:tc>
        <w:tc>
          <w:tcPr>
            <w:tcW w:w="627" w:type="pct"/>
          </w:tcPr>
          <w:p w14:paraId="4DE10868" w14:textId="77777777" w:rsidR="00C47639" w:rsidRPr="00FD2055" w:rsidRDefault="00C47639" w:rsidP="00C47639">
            <w:pPr>
              <w:pStyle w:val="Standaard-Tabellen"/>
            </w:pPr>
            <w:proofErr w:type="spellStart"/>
            <w:r>
              <w:t>n.a</w:t>
            </w:r>
            <w:proofErr w:type="spellEnd"/>
            <w:r>
              <w:t>.</w:t>
            </w:r>
          </w:p>
        </w:tc>
        <w:tc>
          <w:tcPr>
            <w:tcW w:w="759" w:type="pct"/>
          </w:tcPr>
          <w:p w14:paraId="4D0C6555" w14:textId="77777777" w:rsidR="00C47639" w:rsidRPr="00FD2055" w:rsidRDefault="00C47639" w:rsidP="00C47639">
            <w:pPr>
              <w:pStyle w:val="Standaard-Tabellen"/>
            </w:pPr>
            <w:proofErr w:type="spellStart"/>
            <w:r>
              <w:t>n.a</w:t>
            </w:r>
            <w:proofErr w:type="spellEnd"/>
            <w:r>
              <w:t>.</w:t>
            </w:r>
          </w:p>
        </w:tc>
        <w:tc>
          <w:tcPr>
            <w:tcW w:w="523" w:type="pct"/>
          </w:tcPr>
          <w:p w14:paraId="6F9848C4" w14:textId="77777777" w:rsidR="00C47639" w:rsidRPr="00FD2055" w:rsidRDefault="00C47639" w:rsidP="00C47639">
            <w:pPr>
              <w:pStyle w:val="Standaard-Tabellen"/>
            </w:pPr>
            <w:r>
              <w:t>Yes</w:t>
            </w:r>
          </w:p>
        </w:tc>
        <w:tc>
          <w:tcPr>
            <w:tcW w:w="332" w:type="pct"/>
          </w:tcPr>
          <w:p w14:paraId="402C6DB5" w14:textId="77777777" w:rsidR="00C47639" w:rsidRPr="00FD2055" w:rsidRDefault="00C47639" w:rsidP="00C47639">
            <w:pPr>
              <w:pStyle w:val="Standaard-Tabellen"/>
            </w:pPr>
            <w:proofErr w:type="spellStart"/>
            <w:r w:rsidRPr="00E26C7F">
              <w:t>n.a</w:t>
            </w:r>
            <w:proofErr w:type="spellEnd"/>
            <w:r w:rsidRPr="00E26C7F">
              <w:t>.</w:t>
            </w:r>
          </w:p>
        </w:tc>
      </w:tr>
      <w:tr w:rsidR="00C47639" w:rsidRPr="00FD2055" w14:paraId="0E8FF68A" w14:textId="77777777" w:rsidTr="00C47639">
        <w:trPr>
          <w:tblHeader/>
        </w:trPr>
        <w:tc>
          <w:tcPr>
            <w:tcW w:w="596" w:type="pct"/>
            <w:shd w:val="clear" w:color="auto" w:fill="auto"/>
            <w:tcMar>
              <w:top w:w="57" w:type="dxa"/>
              <w:bottom w:w="57" w:type="dxa"/>
            </w:tcMar>
          </w:tcPr>
          <w:p w14:paraId="6702C508" w14:textId="77777777" w:rsidR="00C47639" w:rsidRPr="00FD2055" w:rsidRDefault="00C47639" w:rsidP="00C47639">
            <w:pPr>
              <w:pStyle w:val="Standaard-Tabellen"/>
            </w:pPr>
            <w:r w:rsidRPr="00FD2055">
              <w:t>Oral</w:t>
            </w:r>
          </w:p>
        </w:tc>
        <w:tc>
          <w:tcPr>
            <w:tcW w:w="627" w:type="pct"/>
            <w:tcMar>
              <w:top w:w="57" w:type="dxa"/>
              <w:bottom w:w="57" w:type="dxa"/>
            </w:tcMar>
          </w:tcPr>
          <w:p w14:paraId="704DAB14" w14:textId="77777777" w:rsidR="00C47639" w:rsidRPr="00FD2055" w:rsidRDefault="00C47639" w:rsidP="00C47639">
            <w:pPr>
              <w:pStyle w:val="Standaard-Tabellen"/>
            </w:pPr>
            <w:proofErr w:type="spellStart"/>
            <w:r>
              <w:t>n.a</w:t>
            </w:r>
            <w:proofErr w:type="spellEnd"/>
            <w:r>
              <w:t>.</w:t>
            </w:r>
          </w:p>
        </w:tc>
        <w:tc>
          <w:tcPr>
            <w:tcW w:w="759" w:type="pct"/>
            <w:shd w:val="clear" w:color="auto" w:fill="auto"/>
            <w:tcMar>
              <w:top w:w="57" w:type="dxa"/>
              <w:bottom w:w="57" w:type="dxa"/>
            </w:tcMar>
          </w:tcPr>
          <w:p w14:paraId="6EA92309" w14:textId="77777777" w:rsidR="00C47639" w:rsidRPr="00FD2055" w:rsidRDefault="00C47639" w:rsidP="00C47639">
            <w:pPr>
              <w:pStyle w:val="Standaard-Tabellen"/>
            </w:pPr>
            <w:proofErr w:type="spellStart"/>
            <w:r>
              <w:t>n.a</w:t>
            </w:r>
            <w:proofErr w:type="spellEnd"/>
            <w:r>
              <w:t>.</w:t>
            </w:r>
          </w:p>
        </w:tc>
        <w:tc>
          <w:tcPr>
            <w:tcW w:w="778" w:type="pct"/>
            <w:shd w:val="clear" w:color="auto" w:fill="auto"/>
            <w:tcMar>
              <w:top w:w="57" w:type="dxa"/>
              <w:bottom w:w="57" w:type="dxa"/>
            </w:tcMar>
          </w:tcPr>
          <w:p w14:paraId="69B20B60" w14:textId="77777777" w:rsidR="00C47639" w:rsidRPr="00FD2055" w:rsidRDefault="00C47639" w:rsidP="00C47639">
            <w:pPr>
              <w:pStyle w:val="Standaard-Tabellen"/>
            </w:pPr>
            <w:proofErr w:type="spellStart"/>
            <w:r>
              <w:t>n.a</w:t>
            </w:r>
            <w:proofErr w:type="spellEnd"/>
            <w:r>
              <w:t>.</w:t>
            </w:r>
          </w:p>
        </w:tc>
        <w:tc>
          <w:tcPr>
            <w:tcW w:w="627" w:type="pct"/>
          </w:tcPr>
          <w:p w14:paraId="6E6B4C7F" w14:textId="77777777" w:rsidR="00C47639" w:rsidRPr="00FD2055" w:rsidRDefault="00C47639" w:rsidP="00C47639">
            <w:pPr>
              <w:pStyle w:val="Standaard-Tabellen"/>
            </w:pPr>
            <w:proofErr w:type="spellStart"/>
            <w:r>
              <w:t>n.a</w:t>
            </w:r>
            <w:proofErr w:type="spellEnd"/>
            <w:r>
              <w:t>.</w:t>
            </w:r>
          </w:p>
        </w:tc>
        <w:tc>
          <w:tcPr>
            <w:tcW w:w="759" w:type="pct"/>
          </w:tcPr>
          <w:p w14:paraId="2562902F" w14:textId="77777777" w:rsidR="00C47639" w:rsidRPr="00FD2055" w:rsidRDefault="00C47639" w:rsidP="00C47639">
            <w:pPr>
              <w:pStyle w:val="Standaard-Tabellen"/>
            </w:pPr>
            <w:proofErr w:type="spellStart"/>
            <w:r>
              <w:t>n.a</w:t>
            </w:r>
            <w:proofErr w:type="spellEnd"/>
            <w:r>
              <w:t>.</w:t>
            </w:r>
          </w:p>
        </w:tc>
        <w:tc>
          <w:tcPr>
            <w:tcW w:w="523" w:type="pct"/>
          </w:tcPr>
          <w:p w14:paraId="51423237" w14:textId="77777777" w:rsidR="00C47639" w:rsidRPr="00FD2055" w:rsidRDefault="00C47639" w:rsidP="00C47639">
            <w:pPr>
              <w:pStyle w:val="Standaard-Tabellen"/>
            </w:pPr>
            <w:r>
              <w:t>Yes</w:t>
            </w:r>
          </w:p>
        </w:tc>
        <w:tc>
          <w:tcPr>
            <w:tcW w:w="332" w:type="pct"/>
          </w:tcPr>
          <w:p w14:paraId="738D4B55" w14:textId="77777777" w:rsidR="00C47639" w:rsidRPr="00FD2055" w:rsidRDefault="00C47639" w:rsidP="00C47639">
            <w:pPr>
              <w:pStyle w:val="Standaard-Tabellen"/>
            </w:pPr>
            <w:proofErr w:type="spellStart"/>
            <w:r w:rsidRPr="00E26C7F">
              <w:t>n.a</w:t>
            </w:r>
            <w:proofErr w:type="spellEnd"/>
            <w:r w:rsidRPr="00E26C7F">
              <w:t>.</w:t>
            </w:r>
          </w:p>
        </w:tc>
      </w:tr>
    </w:tbl>
    <w:p w14:paraId="43F1CCF2" w14:textId="77777777" w:rsidR="00C47639" w:rsidRDefault="00C47639" w:rsidP="00C47639"/>
    <w:p w14:paraId="2E503E53" w14:textId="77777777" w:rsidR="00C47639" w:rsidRDefault="00C47639" w:rsidP="00C47639">
      <w:r w:rsidRPr="00C578BE">
        <w:t xml:space="preserve">For primary exposure, the most relevant </w:t>
      </w:r>
      <w:r>
        <w:t>route</w:t>
      </w:r>
      <w:r w:rsidRPr="00C578BE">
        <w:t xml:space="preserve"> of exposure is the dermal route. </w:t>
      </w:r>
      <w:r>
        <w:t>During the application phase, inhalation exposure is possible resulting from respiring aerosols after spraying</w:t>
      </w:r>
      <w:r w:rsidRPr="00C578BE">
        <w:t>.</w:t>
      </w:r>
      <w:r>
        <w:t xml:space="preserve"> It was considered that the </w:t>
      </w:r>
      <w:proofErr w:type="spellStart"/>
      <w:r>
        <w:t>respirable</w:t>
      </w:r>
      <w:proofErr w:type="spellEnd"/>
      <w:r>
        <w:t xml:space="preserve"> particles will be absorbed via the lower airways and that t</w:t>
      </w:r>
      <w:r w:rsidRPr="00C578BE">
        <w:t>he non-</w:t>
      </w:r>
      <w:proofErr w:type="spellStart"/>
      <w:r w:rsidRPr="00C578BE">
        <w:t>respirable</w:t>
      </w:r>
      <w:proofErr w:type="spellEnd"/>
      <w:r w:rsidRPr="00C578BE">
        <w:t xml:space="preserve"> particles will precipitate in the upper airways and be taken in orally. </w:t>
      </w:r>
      <w:r w:rsidRPr="001B2835">
        <w:t xml:space="preserve">Direct oral exposure is not considered to be relevant because of the repellent taste (bad palatability) of the active substance and because the biocidal product is not intended to be applied by children younger than </w:t>
      </w:r>
      <w:r>
        <w:t>11</w:t>
      </w:r>
      <w:r w:rsidRPr="001B2835">
        <w:t xml:space="preserve"> years</w:t>
      </w:r>
      <w:r>
        <w:t>.</w:t>
      </w:r>
    </w:p>
    <w:p w14:paraId="5773CAE5" w14:textId="77777777" w:rsidR="00C47639" w:rsidRDefault="00C47639" w:rsidP="00C47639"/>
    <w:p w14:paraId="103B9DBE" w14:textId="77777777" w:rsidR="00C47639" w:rsidRDefault="00C47639" w:rsidP="00C47639">
      <w:r>
        <w:t>For secondary exposure, dermal exposure is possible for adults treating or handling children. However this scenario is fully covered by primary adult dermal exposure. H</w:t>
      </w:r>
      <w:r w:rsidRPr="001B2835">
        <w:t xml:space="preserve">and to mouth transfer is also possible for adults and children; </w:t>
      </w:r>
      <w:r>
        <w:t>nonetheless</w:t>
      </w:r>
      <w:r w:rsidRPr="001B2835">
        <w:t>, the biocidal product is not intended to be applied on children’s hands which reduces potential oral uptake of the dermally applied active substance</w:t>
      </w:r>
      <w:r>
        <w:t xml:space="preserve">. For </w:t>
      </w:r>
      <w:proofErr w:type="spellStart"/>
      <w:r>
        <w:t>inhalative</w:t>
      </w:r>
      <w:proofErr w:type="spellEnd"/>
      <w:r>
        <w:t xml:space="preserve"> exposure, the inhalation of volatilized residues after application is also relevant. </w:t>
      </w:r>
    </w:p>
    <w:p w14:paraId="5A1F40BD" w14:textId="77777777" w:rsidR="00C47639" w:rsidRPr="00DD055A" w:rsidRDefault="00C47639" w:rsidP="00C47639">
      <w:pPr>
        <w:pStyle w:val="Titre5"/>
        <w:numPr>
          <w:ilvl w:val="0"/>
          <w:numId w:val="4"/>
        </w:numPr>
      </w:pPr>
      <w:bookmarkStart w:id="183" w:name="_Toc532391096"/>
      <w:bookmarkStart w:id="184" w:name="_Toc8296510"/>
      <w:r w:rsidRPr="00DD055A">
        <w:lastRenderedPageBreak/>
        <w:t>General information</w:t>
      </w:r>
      <w:bookmarkEnd w:id="183"/>
      <w:bookmarkEnd w:id="184"/>
    </w:p>
    <w:p w14:paraId="7C036DC5" w14:textId="77777777" w:rsidR="00C47639" w:rsidRPr="00FF0AF1" w:rsidRDefault="00C47639" w:rsidP="00C47639">
      <w:pPr>
        <w:pStyle w:val="Titre6"/>
        <w:rPr>
          <w:lang w:val="en-US"/>
        </w:rPr>
      </w:pPr>
      <w:r w:rsidRPr="00FF0AF1">
        <w:rPr>
          <w:lang w:val="en-US"/>
        </w:rPr>
        <w:t>General default values for exposure assessment</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03"/>
        <w:gridCol w:w="1272"/>
        <w:gridCol w:w="1981"/>
        <w:gridCol w:w="2354"/>
      </w:tblGrid>
      <w:tr w:rsidR="00C47639" w:rsidRPr="00DD055A" w14:paraId="01CC4598" w14:textId="77777777" w:rsidTr="00C47639">
        <w:trPr>
          <w:trHeight w:val="64"/>
          <w:tblHeader/>
        </w:trPr>
        <w:tc>
          <w:tcPr>
            <w:tcW w:w="5000" w:type="pct"/>
            <w:gridSpan w:val="4"/>
            <w:shd w:val="clear" w:color="auto" w:fill="FFFFCC"/>
          </w:tcPr>
          <w:p w14:paraId="2A9719FA" w14:textId="77777777" w:rsidR="00C47639" w:rsidRPr="00DD055A" w:rsidRDefault="00C47639" w:rsidP="00C47639">
            <w:pPr>
              <w:pStyle w:val="Standaard-Tabellen"/>
              <w:jc w:val="center"/>
              <w:rPr>
                <w:b/>
              </w:rPr>
            </w:pPr>
            <w:r w:rsidRPr="00DD055A">
              <w:rPr>
                <w:b/>
              </w:rPr>
              <w:t>Default value considering age groups</w:t>
            </w:r>
            <w:r w:rsidRPr="00DD055A">
              <w:rPr>
                <w:b/>
                <w:vertAlign w:val="superscript"/>
              </w:rPr>
              <w:t>1</w:t>
            </w:r>
          </w:p>
        </w:tc>
      </w:tr>
      <w:tr w:rsidR="00C47639" w:rsidRPr="00DD055A" w14:paraId="72112DE2" w14:textId="77777777" w:rsidTr="00C47639">
        <w:trPr>
          <w:trHeight w:val="145"/>
          <w:tblHeader/>
        </w:trPr>
        <w:tc>
          <w:tcPr>
            <w:tcW w:w="1923" w:type="pct"/>
            <w:shd w:val="clear" w:color="auto" w:fill="BFBFBF" w:themeFill="background1" w:themeFillShade="BF"/>
            <w:tcMar>
              <w:top w:w="57" w:type="dxa"/>
              <w:bottom w:w="57" w:type="dxa"/>
            </w:tcMar>
          </w:tcPr>
          <w:p w14:paraId="14968D6C" w14:textId="77777777" w:rsidR="00C47639" w:rsidRPr="00DD055A" w:rsidRDefault="00C47639" w:rsidP="00C47639">
            <w:pPr>
              <w:pStyle w:val="Standaard-Tabellen"/>
              <w:rPr>
                <w:b/>
              </w:rPr>
            </w:pPr>
            <w:r w:rsidRPr="00DD055A">
              <w:rPr>
                <w:b/>
              </w:rPr>
              <w:t>Age groups</w:t>
            </w:r>
          </w:p>
        </w:tc>
        <w:tc>
          <w:tcPr>
            <w:tcW w:w="698" w:type="pct"/>
            <w:shd w:val="clear" w:color="auto" w:fill="BFBFBF" w:themeFill="background1" w:themeFillShade="BF"/>
            <w:tcMar>
              <w:top w:w="57" w:type="dxa"/>
              <w:bottom w:w="57" w:type="dxa"/>
            </w:tcMar>
          </w:tcPr>
          <w:p w14:paraId="6EBC1A5C" w14:textId="77777777" w:rsidR="00C47639" w:rsidRDefault="00C47639" w:rsidP="00C47639">
            <w:pPr>
              <w:pStyle w:val="Standaard-Tabellen"/>
              <w:rPr>
                <w:b/>
              </w:rPr>
            </w:pPr>
            <w:r>
              <w:rPr>
                <w:b/>
              </w:rPr>
              <w:t>Body weight</w:t>
            </w:r>
          </w:p>
          <w:p w14:paraId="414C401F" w14:textId="77777777" w:rsidR="00C47639" w:rsidRPr="00DD055A" w:rsidRDefault="00C47639" w:rsidP="00C47639">
            <w:pPr>
              <w:pStyle w:val="Standaard-Tabellen"/>
              <w:rPr>
                <w:b/>
              </w:rPr>
            </w:pPr>
            <w:r>
              <w:rPr>
                <w:b/>
              </w:rPr>
              <w:t>[kg]</w:t>
            </w:r>
          </w:p>
        </w:tc>
        <w:tc>
          <w:tcPr>
            <w:tcW w:w="1087" w:type="pct"/>
            <w:shd w:val="clear" w:color="auto" w:fill="BFBFBF" w:themeFill="background1" w:themeFillShade="BF"/>
          </w:tcPr>
          <w:p w14:paraId="2544B31D" w14:textId="77777777" w:rsidR="00C47639" w:rsidRDefault="00C47639" w:rsidP="00C47639">
            <w:pPr>
              <w:pStyle w:val="Standaard-Tabellen"/>
              <w:rPr>
                <w:b/>
              </w:rPr>
            </w:pPr>
            <w:r w:rsidRPr="00DD055A">
              <w:rPr>
                <w:b/>
              </w:rPr>
              <w:t>Respiration rate</w:t>
            </w:r>
          </w:p>
          <w:p w14:paraId="57982ECF" w14:textId="77777777" w:rsidR="00C47639" w:rsidRPr="00DD055A" w:rsidRDefault="00C47639" w:rsidP="00C47639">
            <w:pPr>
              <w:pStyle w:val="Standaard-Tabellen"/>
              <w:rPr>
                <w:b/>
              </w:rPr>
            </w:pPr>
            <w:r w:rsidRPr="00DD055A">
              <w:rPr>
                <w:b/>
              </w:rPr>
              <w:t>[m</w:t>
            </w:r>
            <w:r>
              <w:rPr>
                <w:b/>
              </w:rPr>
              <w:t>³</w:t>
            </w:r>
            <w:r w:rsidRPr="00DD055A">
              <w:rPr>
                <w:b/>
              </w:rPr>
              <w:t>/air/hour]</w:t>
            </w:r>
          </w:p>
        </w:tc>
        <w:tc>
          <w:tcPr>
            <w:tcW w:w="1291" w:type="pct"/>
            <w:shd w:val="clear" w:color="auto" w:fill="BFBFBF" w:themeFill="background1" w:themeFillShade="BF"/>
          </w:tcPr>
          <w:p w14:paraId="04489BC9" w14:textId="77777777" w:rsidR="00C47639" w:rsidRDefault="00C47639" w:rsidP="00C47639">
            <w:pPr>
              <w:pStyle w:val="Standaard-Tabellen"/>
              <w:rPr>
                <w:b/>
              </w:rPr>
            </w:pPr>
            <w:r>
              <w:rPr>
                <w:b/>
              </w:rPr>
              <w:t>Total body surface a</w:t>
            </w:r>
            <w:r w:rsidRPr="00DD055A">
              <w:rPr>
                <w:b/>
              </w:rPr>
              <w:t>r</w:t>
            </w:r>
            <w:r>
              <w:rPr>
                <w:b/>
              </w:rPr>
              <w:t>e</w:t>
            </w:r>
            <w:r w:rsidRPr="00DD055A">
              <w:rPr>
                <w:b/>
              </w:rPr>
              <w:t>a</w:t>
            </w:r>
          </w:p>
          <w:p w14:paraId="708D26AA" w14:textId="77777777" w:rsidR="00C47639" w:rsidRPr="00DD055A" w:rsidRDefault="00C47639" w:rsidP="00C47639">
            <w:pPr>
              <w:pStyle w:val="Standaard-Tabellen"/>
              <w:rPr>
                <w:b/>
              </w:rPr>
            </w:pPr>
            <w:r>
              <w:rPr>
                <w:b/>
              </w:rPr>
              <w:t>[</w:t>
            </w:r>
            <w:r w:rsidRPr="00DD055A">
              <w:rPr>
                <w:b/>
              </w:rPr>
              <w:t>cm</w:t>
            </w:r>
            <w:r>
              <w:rPr>
                <w:b/>
              </w:rPr>
              <w:t>²]</w:t>
            </w:r>
          </w:p>
        </w:tc>
      </w:tr>
      <w:tr w:rsidR="00C47639" w:rsidRPr="00DD055A" w14:paraId="25BBF069" w14:textId="77777777" w:rsidTr="00C47639">
        <w:trPr>
          <w:trHeight w:val="236"/>
          <w:tblHeader/>
        </w:trPr>
        <w:tc>
          <w:tcPr>
            <w:tcW w:w="1923" w:type="pct"/>
            <w:tcMar>
              <w:top w:w="57" w:type="dxa"/>
              <w:bottom w:w="57" w:type="dxa"/>
            </w:tcMar>
          </w:tcPr>
          <w:p w14:paraId="181A271F" w14:textId="77777777" w:rsidR="00C47639" w:rsidRPr="0027501E" w:rsidRDefault="00C47639" w:rsidP="00C47639">
            <w:pPr>
              <w:pStyle w:val="Standaard-Tabellen"/>
              <w:rPr>
                <w:b/>
              </w:rPr>
            </w:pPr>
            <w:r w:rsidRPr="0027501E">
              <w:rPr>
                <w:b/>
              </w:rPr>
              <w:t xml:space="preserve">ADULT </w:t>
            </w:r>
          </w:p>
          <w:p w14:paraId="3E5B9904" w14:textId="77777777" w:rsidR="00C47639" w:rsidRDefault="00C47639" w:rsidP="00C47639">
            <w:pPr>
              <w:pStyle w:val="Standaard-Tabellen"/>
            </w:pPr>
            <w:r w:rsidRPr="00DD055A">
              <w:t xml:space="preserve">irrespective of gender </w:t>
            </w:r>
          </w:p>
          <w:p w14:paraId="5B0A169A" w14:textId="77777777" w:rsidR="00C47639" w:rsidRPr="00DD055A" w:rsidRDefault="00C47639" w:rsidP="00C47639">
            <w:pPr>
              <w:pStyle w:val="Standaard-Tabellen"/>
            </w:pPr>
            <w:r w:rsidRPr="00DD055A">
              <w:t>(based on female 30 to &lt;40 years old)</w:t>
            </w:r>
          </w:p>
        </w:tc>
        <w:tc>
          <w:tcPr>
            <w:tcW w:w="698" w:type="pct"/>
            <w:tcMar>
              <w:top w:w="57" w:type="dxa"/>
              <w:bottom w:w="57" w:type="dxa"/>
            </w:tcMar>
          </w:tcPr>
          <w:p w14:paraId="2D11FE38" w14:textId="77777777" w:rsidR="00C47639" w:rsidRPr="00DD055A" w:rsidRDefault="00C47639" w:rsidP="00C47639">
            <w:pPr>
              <w:pStyle w:val="Standaard-Tabellen"/>
            </w:pPr>
            <w:r w:rsidRPr="00DD055A">
              <w:t>60</w:t>
            </w:r>
          </w:p>
        </w:tc>
        <w:tc>
          <w:tcPr>
            <w:tcW w:w="1087" w:type="pct"/>
          </w:tcPr>
          <w:p w14:paraId="26526FE1" w14:textId="77777777" w:rsidR="00C47639" w:rsidRPr="00DD055A" w:rsidRDefault="00C47639" w:rsidP="00C47639">
            <w:pPr>
              <w:pStyle w:val="Standaard-Tabellen"/>
            </w:pPr>
            <w:r>
              <w:t>1.</w:t>
            </w:r>
            <w:r w:rsidRPr="00DD055A">
              <w:t>25</w:t>
            </w:r>
          </w:p>
        </w:tc>
        <w:tc>
          <w:tcPr>
            <w:tcW w:w="1291" w:type="pct"/>
          </w:tcPr>
          <w:p w14:paraId="439AD3CB" w14:textId="77777777" w:rsidR="00C47639" w:rsidRPr="00DD055A" w:rsidRDefault="00C47639" w:rsidP="00C47639">
            <w:pPr>
              <w:pStyle w:val="Standaard-Tabellen"/>
            </w:pPr>
            <w:r>
              <w:t>16600</w:t>
            </w:r>
          </w:p>
        </w:tc>
      </w:tr>
      <w:tr w:rsidR="00C47639" w:rsidRPr="00DD055A" w14:paraId="02774AC7" w14:textId="77777777" w:rsidTr="00C47639">
        <w:trPr>
          <w:trHeight w:val="141"/>
          <w:tblHeader/>
        </w:trPr>
        <w:tc>
          <w:tcPr>
            <w:tcW w:w="1923" w:type="pct"/>
            <w:tcMar>
              <w:top w:w="57" w:type="dxa"/>
              <w:bottom w:w="57" w:type="dxa"/>
            </w:tcMar>
          </w:tcPr>
          <w:p w14:paraId="3602A192" w14:textId="77777777" w:rsidR="00C47639" w:rsidRDefault="00C47639" w:rsidP="00C47639">
            <w:pPr>
              <w:pStyle w:val="Standaard-Tabellen"/>
            </w:pPr>
            <w:r w:rsidRPr="0027501E">
              <w:rPr>
                <w:b/>
              </w:rPr>
              <w:t>CHILD</w:t>
            </w:r>
            <w:r w:rsidRPr="00DD055A">
              <w:t xml:space="preserve"> </w:t>
            </w:r>
            <w:r>
              <w:t xml:space="preserve">6 to &lt; 12 years old </w:t>
            </w:r>
            <w:r w:rsidRPr="00DD055A">
              <w:t xml:space="preserve">irrespective of gender </w:t>
            </w:r>
          </w:p>
          <w:p w14:paraId="1DFD2513" w14:textId="77777777" w:rsidR="00C47639" w:rsidRPr="00DD055A" w:rsidRDefault="00C47639" w:rsidP="00C47639">
            <w:pPr>
              <w:pStyle w:val="Standaard-Tabellen"/>
            </w:pPr>
            <w:r w:rsidRPr="00DD055A">
              <w:t>(based on female 6 to &lt;11 years old)</w:t>
            </w:r>
          </w:p>
        </w:tc>
        <w:tc>
          <w:tcPr>
            <w:tcW w:w="698" w:type="pct"/>
            <w:tcMar>
              <w:top w:w="57" w:type="dxa"/>
              <w:bottom w:w="57" w:type="dxa"/>
            </w:tcMar>
          </w:tcPr>
          <w:p w14:paraId="138404E0" w14:textId="77777777" w:rsidR="00C47639" w:rsidRPr="00DD055A" w:rsidRDefault="00C47639" w:rsidP="00C47639">
            <w:pPr>
              <w:pStyle w:val="Standaard-Tabellen"/>
            </w:pPr>
            <w:r w:rsidRPr="00DD055A">
              <w:t>23</w:t>
            </w:r>
            <w:r>
              <w:t>.</w:t>
            </w:r>
            <w:r w:rsidRPr="00DD055A">
              <w:t>9</w:t>
            </w:r>
          </w:p>
        </w:tc>
        <w:tc>
          <w:tcPr>
            <w:tcW w:w="1087" w:type="pct"/>
          </w:tcPr>
          <w:p w14:paraId="4ABBB6FA" w14:textId="77777777" w:rsidR="00C47639" w:rsidRPr="00DD055A" w:rsidRDefault="00C47639" w:rsidP="00C47639">
            <w:pPr>
              <w:pStyle w:val="Standaard-Tabellen"/>
            </w:pPr>
            <w:r>
              <w:t>1.</w:t>
            </w:r>
            <w:r w:rsidRPr="00DD055A">
              <w:t>32</w:t>
            </w:r>
          </w:p>
        </w:tc>
        <w:tc>
          <w:tcPr>
            <w:tcW w:w="1291" w:type="pct"/>
          </w:tcPr>
          <w:p w14:paraId="1E67781A" w14:textId="77777777" w:rsidR="00C47639" w:rsidRPr="00DD055A" w:rsidRDefault="00C47639" w:rsidP="00C47639">
            <w:pPr>
              <w:pStyle w:val="Standaard-Tabellen"/>
            </w:pPr>
            <w:r w:rsidRPr="00DD055A">
              <w:t>9200</w:t>
            </w:r>
          </w:p>
        </w:tc>
      </w:tr>
      <w:tr w:rsidR="00C47639" w:rsidRPr="00DD055A" w14:paraId="2A4AB6A5" w14:textId="77777777" w:rsidTr="00C47639">
        <w:trPr>
          <w:trHeight w:val="141"/>
          <w:tblHeader/>
        </w:trPr>
        <w:tc>
          <w:tcPr>
            <w:tcW w:w="1923" w:type="pct"/>
            <w:tcMar>
              <w:top w:w="57" w:type="dxa"/>
              <w:bottom w:w="57" w:type="dxa"/>
            </w:tcMar>
          </w:tcPr>
          <w:p w14:paraId="357C52CA" w14:textId="77777777" w:rsidR="00C47639" w:rsidRPr="00DD055A" w:rsidRDefault="00C47639" w:rsidP="00C47639">
            <w:pPr>
              <w:pStyle w:val="Standaard-Tabellen"/>
            </w:pPr>
            <w:r w:rsidRPr="0027501E">
              <w:rPr>
                <w:b/>
              </w:rPr>
              <w:t xml:space="preserve">CHILD </w:t>
            </w:r>
            <w:r>
              <w:t>2 to &lt; 6 years old irrespective of gender (based on data from female 2 to &lt;6 years old)</w:t>
            </w:r>
          </w:p>
        </w:tc>
        <w:tc>
          <w:tcPr>
            <w:tcW w:w="698" w:type="pct"/>
            <w:tcMar>
              <w:top w:w="57" w:type="dxa"/>
              <w:bottom w:w="57" w:type="dxa"/>
            </w:tcMar>
          </w:tcPr>
          <w:p w14:paraId="7D80E673" w14:textId="77777777" w:rsidR="00C47639" w:rsidRPr="00DD055A" w:rsidRDefault="00C47639" w:rsidP="00C47639">
            <w:pPr>
              <w:pStyle w:val="Standaard-Tabellen"/>
            </w:pPr>
            <w:r>
              <w:t>15.6</w:t>
            </w:r>
          </w:p>
        </w:tc>
        <w:tc>
          <w:tcPr>
            <w:tcW w:w="1087" w:type="pct"/>
          </w:tcPr>
          <w:p w14:paraId="5515BD2A" w14:textId="77777777" w:rsidR="00C47639" w:rsidRDefault="00C47639" w:rsidP="00C47639">
            <w:pPr>
              <w:pStyle w:val="Standaard-Tabellen"/>
            </w:pPr>
            <w:r>
              <w:t>1.26</w:t>
            </w:r>
          </w:p>
        </w:tc>
        <w:tc>
          <w:tcPr>
            <w:tcW w:w="1291" w:type="pct"/>
          </w:tcPr>
          <w:p w14:paraId="3E06E9F8" w14:textId="77777777" w:rsidR="00C47639" w:rsidRPr="00DD055A" w:rsidRDefault="00C47639" w:rsidP="00C47639">
            <w:pPr>
              <w:pStyle w:val="Standaard-Tabellen"/>
            </w:pPr>
            <w:r>
              <w:t>6800</w:t>
            </w:r>
          </w:p>
        </w:tc>
      </w:tr>
      <w:tr w:rsidR="00C47639" w:rsidRPr="00DD055A" w14:paraId="42E946CF" w14:textId="77777777" w:rsidTr="00C47639">
        <w:trPr>
          <w:trHeight w:val="217"/>
          <w:tblHeader/>
        </w:trPr>
        <w:tc>
          <w:tcPr>
            <w:tcW w:w="1923" w:type="pct"/>
            <w:tcMar>
              <w:top w:w="57" w:type="dxa"/>
              <w:bottom w:w="57" w:type="dxa"/>
            </w:tcMar>
          </w:tcPr>
          <w:p w14:paraId="0F4DB2D5" w14:textId="77777777" w:rsidR="00C47639" w:rsidRPr="0027501E" w:rsidRDefault="00C47639" w:rsidP="00C47639">
            <w:pPr>
              <w:pStyle w:val="Standaard-Tabellen"/>
              <w:rPr>
                <w:b/>
              </w:rPr>
            </w:pPr>
            <w:r w:rsidRPr="0027501E">
              <w:rPr>
                <w:b/>
              </w:rPr>
              <w:t xml:space="preserve">TODDLER </w:t>
            </w:r>
            <w:r w:rsidRPr="00D54BE7">
              <w:t>1 to &lt;2 years old</w:t>
            </w:r>
          </w:p>
          <w:p w14:paraId="32D25585" w14:textId="77777777" w:rsidR="00C47639" w:rsidRDefault="00C47639" w:rsidP="00C47639">
            <w:pPr>
              <w:pStyle w:val="Standaard-Tabellen"/>
            </w:pPr>
            <w:r w:rsidRPr="00DD055A">
              <w:t xml:space="preserve">irrespective of gender </w:t>
            </w:r>
          </w:p>
          <w:p w14:paraId="4A279560" w14:textId="77777777" w:rsidR="00C47639" w:rsidRPr="00DD055A" w:rsidRDefault="00C47639" w:rsidP="00C47639">
            <w:pPr>
              <w:pStyle w:val="Standaard-Tabellen"/>
            </w:pPr>
            <w:r w:rsidRPr="00DD055A">
              <w:t>(based on female 1 to &lt;2 years old)</w:t>
            </w:r>
          </w:p>
        </w:tc>
        <w:tc>
          <w:tcPr>
            <w:tcW w:w="698" w:type="pct"/>
            <w:tcMar>
              <w:top w:w="57" w:type="dxa"/>
              <w:bottom w:w="57" w:type="dxa"/>
            </w:tcMar>
          </w:tcPr>
          <w:p w14:paraId="6B9A5758" w14:textId="77777777" w:rsidR="00C47639" w:rsidRPr="00DD055A" w:rsidRDefault="00C47639" w:rsidP="00C47639">
            <w:pPr>
              <w:pStyle w:val="Standaard-Tabellen"/>
            </w:pPr>
            <w:r w:rsidRPr="00DD055A">
              <w:t>10</w:t>
            </w:r>
          </w:p>
        </w:tc>
        <w:tc>
          <w:tcPr>
            <w:tcW w:w="1087" w:type="pct"/>
          </w:tcPr>
          <w:p w14:paraId="1B15B226" w14:textId="77777777" w:rsidR="00C47639" w:rsidRPr="00DD055A" w:rsidRDefault="00C47639" w:rsidP="00C47639">
            <w:pPr>
              <w:pStyle w:val="Standaard-Tabellen"/>
            </w:pPr>
            <w:r>
              <w:t>1.</w:t>
            </w:r>
            <w:r w:rsidRPr="00DD055A">
              <w:t>26</w:t>
            </w:r>
          </w:p>
        </w:tc>
        <w:tc>
          <w:tcPr>
            <w:tcW w:w="1291" w:type="pct"/>
          </w:tcPr>
          <w:p w14:paraId="2A6013ED" w14:textId="77777777" w:rsidR="00C47639" w:rsidRPr="00DD055A" w:rsidRDefault="00C47639" w:rsidP="00C47639">
            <w:pPr>
              <w:pStyle w:val="Standaard-Tabellen"/>
            </w:pPr>
            <w:r w:rsidRPr="00DD055A">
              <w:t>4800</w:t>
            </w:r>
          </w:p>
        </w:tc>
      </w:tr>
      <w:tr w:rsidR="00C47639" w:rsidRPr="00DD055A" w14:paraId="132D1874" w14:textId="77777777" w:rsidTr="00C47639">
        <w:trPr>
          <w:trHeight w:val="22"/>
          <w:tblHeader/>
        </w:trPr>
        <w:tc>
          <w:tcPr>
            <w:tcW w:w="1923" w:type="pct"/>
            <w:tcMar>
              <w:top w:w="57" w:type="dxa"/>
              <w:bottom w:w="57" w:type="dxa"/>
            </w:tcMar>
          </w:tcPr>
          <w:p w14:paraId="0A4E59A1" w14:textId="77777777" w:rsidR="00C47639" w:rsidRDefault="00C47639" w:rsidP="00C47639">
            <w:pPr>
              <w:pStyle w:val="Standaard-Tabellen"/>
            </w:pPr>
            <w:r w:rsidRPr="0027501E">
              <w:rPr>
                <w:b/>
              </w:rPr>
              <w:t>INFANT</w:t>
            </w:r>
            <w:r w:rsidRPr="00DD055A">
              <w:t xml:space="preserve"> </w:t>
            </w:r>
            <w:r w:rsidRPr="00D54BE7">
              <w:t>&lt; 1 year old</w:t>
            </w:r>
          </w:p>
          <w:p w14:paraId="7AD13493" w14:textId="77777777" w:rsidR="00C47639" w:rsidRDefault="00C47639" w:rsidP="00C47639">
            <w:pPr>
              <w:pStyle w:val="Standaard-Tabellen"/>
            </w:pPr>
            <w:r w:rsidRPr="00DD055A">
              <w:t xml:space="preserve">irrespective of gender </w:t>
            </w:r>
          </w:p>
          <w:p w14:paraId="46DAE95B" w14:textId="77777777" w:rsidR="00C47639" w:rsidRPr="00DD055A" w:rsidRDefault="00C47639" w:rsidP="00C47639">
            <w:pPr>
              <w:pStyle w:val="Standaard-Tabellen"/>
            </w:pPr>
            <w:r w:rsidRPr="00DD055A">
              <w:t>(based on female 6 to &lt;12 months old)</w:t>
            </w:r>
          </w:p>
        </w:tc>
        <w:tc>
          <w:tcPr>
            <w:tcW w:w="698" w:type="pct"/>
            <w:tcMar>
              <w:top w:w="57" w:type="dxa"/>
              <w:bottom w:w="57" w:type="dxa"/>
            </w:tcMar>
          </w:tcPr>
          <w:p w14:paraId="57372EEF" w14:textId="77777777" w:rsidR="00C47639" w:rsidRPr="00DD055A" w:rsidRDefault="00C47639" w:rsidP="00C47639">
            <w:pPr>
              <w:pStyle w:val="Standaard-Tabellen"/>
            </w:pPr>
            <w:r w:rsidRPr="00DD055A">
              <w:t>8</w:t>
            </w:r>
          </w:p>
        </w:tc>
        <w:tc>
          <w:tcPr>
            <w:tcW w:w="1087" w:type="pct"/>
          </w:tcPr>
          <w:p w14:paraId="7B106FB8" w14:textId="77777777" w:rsidR="00C47639" w:rsidRPr="00DD055A" w:rsidRDefault="00C47639" w:rsidP="00C47639">
            <w:pPr>
              <w:pStyle w:val="Standaard-Tabellen"/>
            </w:pPr>
            <w:r>
              <w:t>0.</w:t>
            </w:r>
            <w:r w:rsidRPr="00DD055A">
              <w:t>84</w:t>
            </w:r>
          </w:p>
        </w:tc>
        <w:tc>
          <w:tcPr>
            <w:tcW w:w="1291" w:type="pct"/>
          </w:tcPr>
          <w:p w14:paraId="409AF16F" w14:textId="77777777" w:rsidR="00C47639" w:rsidRPr="00DD055A" w:rsidRDefault="00C47639" w:rsidP="00C47639">
            <w:pPr>
              <w:pStyle w:val="Standaard-Tabellen"/>
            </w:pPr>
            <w:r w:rsidRPr="00DD055A">
              <w:t>4100</w:t>
            </w:r>
          </w:p>
        </w:tc>
      </w:tr>
    </w:tbl>
    <w:p w14:paraId="440FC78C" w14:textId="77777777" w:rsidR="00C47639" w:rsidRPr="00023B29" w:rsidRDefault="00C47639" w:rsidP="00C47639">
      <w:pPr>
        <w:pStyle w:val="Voetnoot"/>
      </w:pPr>
      <w:r w:rsidRPr="00023B29">
        <w:rPr>
          <w:vertAlign w:val="superscript"/>
        </w:rPr>
        <w:t>1</w:t>
      </w:r>
      <w:r>
        <w:t xml:space="preserve"> Recommendation no. 14 of the BPC Ad hoc Working Group on Human Exposure Default human factor values for use in exposure assessments for biocidal products (revision of HEEG opinion 17 agreed at the Human Health Working Group III on 12 June 2017)</w:t>
      </w:r>
    </w:p>
    <w:p w14:paraId="2C67228C" w14:textId="77777777" w:rsidR="00C47639" w:rsidRPr="0027501E" w:rsidRDefault="00C47639" w:rsidP="00C47639">
      <w:pPr>
        <w:rPr>
          <w:highlight w:val="yellow"/>
        </w:rPr>
      </w:pPr>
    </w:p>
    <w:p w14:paraId="0BA522CA" w14:textId="77777777" w:rsidR="00C47639" w:rsidRPr="00E466DE" w:rsidRDefault="00C47639" w:rsidP="00C47639">
      <w:pPr>
        <w:pStyle w:val="Titre6"/>
        <w:rPr>
          <w:lang w:val="en-US"/>
        </w:rPr>
      </w:pPr>
      <w:r w:rsidRPr="00E466DE">
        <w:rPr>
          <w:lang w:val="en-US"/>
        </w:rPr>
        <w:t>Treated surface, applied amount of biocidal product and number of application per day:</w:t>
      </w:r>
    </w:p>
    <w:p w14:paraId="59344F43" w14:textId="77777777" w:rsidR="00C47639" w:rsidRPr="00CF46C5" w:rsidRDefault="00C47639" w:rsidP="00C47639">
      <w:pPr>
        <w:pStyle w:val="Titre7"/>
        <w:rPr>
          <w:lang w:val="en-US"/>
        </w:rPr>
      </w:pPr>
      <w:r w:rsidRPr="00CF46C5">
        <w:rPr>
          <w:lang w:val="en-US"/>
        </w:rPr>
        <w:t xml:space="preserve">Treated surface: </w:t>
      </w:r>
    </w:p>
    <w:p w14:paraId="46D199CD" w14:textId="77777777" w:rsidR="00C47639" w:rsidRPr="001B6D1A" w:rsidRDefault="00C47639" w:rsidP="00C47639">
      <w:r w:rsidRPr="001B6D1A">
        <w:t xml:space="preserve">The treated surface </w:t>
      </w:r>
      <w:r>
        <w:t>is assumed to be</w:t>
      </w:r>
      <w:r w:rsidRPr="001B6D1A">
        <w:t xml:space="preserve"> the uncovered parts of the body</w:t>
      </w:r>
      <w:r>
        <w:t xml:space="preserve">. According Recommendation no. 11 </w:t>
      </w:r>
      <w:r w:rsidRPr="008A70A8">
        <w:t xml:space="preserve">of the BPC Ad hoc </w:t>
      </w:r>
      <w:r>
        <w:t xml:space="preserve">Working Group on Human Exposure : </w:t>
      </w:r>
      <w:r w:rsidRPr="008A70A8">
        <w:t xml:space="preserve">Proposal for </w:t>
      </w:r>
      <w:proofErr w:type="spellStart"/>
      <w:r w:rsidRPr="008A70A8">
        <w:t>harmonising</w:t>
      </w:r>
      <w:proofErr w:type="spellEnd"/>
      <w:r w:rsidRPr="008A70A8">
        <w:t xml:space="preserve"> the assessment of human exposure to repellents (PT19)</w:t>
      </w:r>
      <w:r>
        <w:t xml:space="preserve"> </w:t>
      </w:r>
      <w:r w:rsidRPr="008A70A8">
        <w:t>(</w:t>
      </w:r>
      <w:r>
        <w:t xml:space="preserve">Version 2.1 </w:t>
      </w:r>
      <w:r w:rsidRPr="008A70A8">
        <w:t>agreed at Human Health Working Group V on 22 November 2017)</w:t>
      </w:r>
      <w:r>
        <w:t xml:space="preserve">, the </w:t>
      </w:r>
      <w:r w:rsidRPr="008A70A8">
        <w:t xml:space="preserve">uncovered body surface area </w:t>
      </w:r>
      <w:r>
        <w:t xml:space="preserve">corresponds </w:t>
      </w:r>
      <w:r w:rsidRPr="008A70A8">
        <w:t>to 55%</w:t>
      </w:r>
      <w:r>
        <w:t xml:space="preserve"> of the total body surface. </w:t>
      </w:r>
    </w:p>
    <w:p w14:paraId="72062CDB" w14:textId="77777777" w:rsidR="00C47639" w:rsidRDefault="00C47639" w:rsidP="00C47639"/>
    <w:p w14:paraId="71F3B029" w14:textId="77777777" w:rsidR="00C47639" w:rsidRPr="00FF0AF1" w:rsidRDefault="00C47639" w:rsidP="00C47639">
      <w:pPr>
        <w:pStyle w:val="Titre7"/>
        <w:rPr>
          <w:lang w:val="en-US"/>
        </w:rPr>
      </w:pPr>
      <w:r w:rsidRPr="00FF0AF1">
        <w:rPr>
          <w:lang w:val="en-US"/>
        </w:rPr>
        <w:t xml:space="preserve">Amount of biocidal product:  </w:t>
      </w:r>
    </w:p>
    <w:p w14:paraId="2CBA1699" w14:textId="77777777" w:rsidR="00C47639" w:rsidRPr="008A70A8" w:rsidRDefault="00C47639" w:rsidP="00C47639">
      <w:r w:rsidRPr="008A70A8">
        <w:t xml:space="preserve">Following the efficacy assessment for this product, the efficacious application rate </w:t>
      </w:r>
      <w:proofErr w:type="gramStart"/>
      <w:r w:rsidRPr="008A70A8">
        <w:t>is :</w:t>
      </w:r>
      <w:proofErr w:type="gramEnd"/>
      <w:r w:rsidRPr="008A70A8">
        <w:t xml:space="preserve"> 0.</w:t>
      </w:r>
      <w:r w:rsidRPr="0027501E">
        <w:t xml:space="preserve">00067 </w:t>
      </w:r>
      <w:r w:rsidRPr="008A70A8">
        <w:t>g product/cm² skin against ticks and 0.00067 g/cm</w:t>
      </w:r>
      <w:r w:rsidRPr="0027501E">
        <w:rPr>
          <w:vertAlign w:val="superscript"/>
        </w:rPr>
        <w:t>2</w:t>
      </w:r>
      <w:r w:rsidRPr="008A70A8">
        <w:t xml:space="preserve"> for legs (and 0.00051 g/cm</w:t>
      </w:r>
      <w:r w:rsidRPr="0027501E">
        <w:rPr>
          <w:vertAlign w:val="superscript"/>
        </w:rPr>
        <w:t>2</w:t>
      </w:r>
      <w:r w:rsidRPr="008A70A8">
        <w:t xml:space="preserve"> for arms) against mosquitoes.</w:t>
      </w:r>
    </w:p>
    <w:p w14:paraId="7A01AF3D" w14:textId="77777777" w:rsidR="00C47639" w:rsidRDefault="00C47639" w:rsidP="00C47639"/>
    <w:p w14:paraId="2DACB830" w14:textId="77777777" w:rsidR="00C47639" w:rsidRDefault="00C47639" w:rsidP="00C47639">
      <w:r>
        <w:t xml:space="preserve">Therefore, the application rate is considered to be </w:t>
      </w:r>
      <w:r w:rsidRPr="0027501E">
        <w:rPr>
          <w:b/>
        </w:rPr>
        <w:t>0.67 mg/cm</w:t>
      </w:r>
      <w:r w:rsidRPr="0027501E">
        <w:rPr>
          <w:b/>
          <w:vertAlign w:val="superscript"/>
        </w:rPr>
        <w:t>2</w:t>
      </w:r>
      <w:r w:rsidRPr="0027501E">
        <w:rPr>
          <w:b/>
        </w:rPr>
        <w:t>.</w:t>
      </w:r>
      <w:r>
        <w:t xml:space="preserve"> </w:t>
      </w:r>
    </w:p>
    <w:p w14:paraId="5622DB2F" w14:textId="77777777" w:rsidR="00C47639" w:rsidRDefault="00C47639" w:rsidP="00C47639">
      <w:r>
        <w:t xml:space="preserve"> </w:t>
      </w:r>
    </w:p>
    <w:p w14:paraId="123F7A6F" w14:textId="77777777" w:rsidR="00C47639" w:rsidRPr="004638C3" w:rsidRDefault="00C47639" w:rsidP="00C47639">
      <w:pPr>
        <w:pStyle w:val="Titre7"/>
        <w:rPr>
          <w:lang w:val="en-US"/>
        </w:rPr>
      </w:pPr>
      <w:r w:rsidRPr="004638C3">
        <w:rPr>
          <w:lang w:val="en-US"/>
        </w:rPr>
        <w:t>Number of application per day:</w:t>
      </w:r>
    </w:p>
    <w:p w14:paraId="2848BE6E" w14:textId="77777777" w:rsidR="00C47639" w:rsidRDefault="00C47639" w:rsidP="00C47639">
      <w:r>
        <w:t xml:space="preserve">The applicant proposes </w:t>
      </w:r>
      <w:proofErr w:type="gramStart"/>
      <w:r>
        <w:t>that :</w:t>
      </w:r>
      <w:proofErr w:type="gramEnd"/>
      <w:r>
        <w:t xml:space="preserve"> “</w:t>
      </w:r>
      <w:r w:rsidRPr="00E466DE">
        <w:rPr>
          <w:i/>
        </w:rPr>
        <w:t>Insect Repellent Pump Spray IR3535</w:t>
      </w:r>
      <w:r w:rsidRPr="00AC0EA0">
        <w:rPr>
          <w:i/>
          <w:vertAlign w:val="superscript"/>
        </w:rPr>
        <w:t>®</w:t>
      </w:r>
      <w:r w:rsidRPr="00E466DE">
        <w:rPr>
          <w:i/>
        </w:rPr>
        <w:t xml:space="preserve"> 20% is intended to be used in summer when insects are frequent. It is usually applied once a day depending on outdoor activities, weather and presence of insects. The application can be repeated when necessary (noticeable reduction in repellence). The pump spr</w:t>
      </w:r>
      <w:r>
        <w:rPr>
          <w:i/>
        </w:rPr>
        <w:t>ay can be applied up to 3 times</w:t>
      </w:r>
      <w:r w:rsidRPr="00E466DE">
        <w:rPr>
          <w:i/>
        </w:rPr>
        <w:t xml:space="preserve"> per day for adults, up to 2 times for children between the age of 3 and 10 years and maximally 1 time per day for children below 3 years.</w:t>
      </w:r>
      <w:r>
        <w:t>”</w:t>
      </w:r>
    </w:p>
    <w:p w14:paraId="09BE4E17" w14:textId="77777777" w:rsidR="00C47639" w:rsidRPr="00A02B42" w:rsidRDefault="00C47639" w:rsidP="00C47639">
      <w:pPr>
        <w:rPr>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77"/>
        <w:gridCol w:w="1733"/>
        <w:gridCol w:w="1800"/>
        <w:gridCol w:w="2186"/>
      </w:tblGrid>
      <w:tr w:rsidR="00C47639" w:rsidRPr="0014674D" w14:paraId="30AE47D7" w14:textId="77777777" w:rsidTr="00C47639">
        <w:trPr>
          <w:trHeight w:val="213"/>
          <w:tblHeader/>
        </w:trPr>
        <w:tc>
          <w:tcPr>
            <w:tcW w:w="5000" w:type="pct"/>
            <w:gridSpan w:val="4"/>
            <w:shd w:val="clear" w:color="auto" w:fill="FFFFCC"/>
          </w:tcPr>
          <w:p w14:paraId="64C690CF" w14:textId="77777777" w:rsidR="00C47639" w:rsidRPr="0014674D" w:rsidRDefault="00C47639" w:rsidP="00C47639">
            <w:pPr>
              <w:pStyle w:val="Standaard-Tabellen"/>
              <w:jc w:val="center"/>
              <w:rPr>
                <w:b/>
              </w:rPr>
            </w:pPr>
            <w:r w:rsidRPr="0014674D">
              <w:rPr>
                <w:b/>
              </w:rPr>
              <w:lastRenderedPageBreak/>
              <w:t>Summary : Amount of product used per application for the different age groups, treated surface and number of application per day</w:t>
            </w:r>
          </w:p>
        </w:tc>
      </w:tr>
      <w:tr w:rsidR="00C47639" w:rsidRPr="0014674D" w14:paraId="59EFF203" w14:textId="77777777" w:rsidTr="00C47639">
        <w:trPr>
          <w:trHeight w:val="485"/>
          <w:tblHeader/>
        </w:trPr>
        <w:tc>
          <w:tcPr>
            <w:tcW w:w="1957" w:type="pct"/>
            <w:shd w:val="clear" w:color="auto" w:fill="BFBFBF" w:themeFill="background1" w:themeFillShade="BF"/>
            <w:tcMar>
              <w:top w:w="57" w:type="dxa"/>
              <w:bottom w:w="57" w:type="dxa"/>
            </w:tcMar>
          </w:tcPr>
          <w:p w14:paraId="2906D980" w14:textId="77777777" w:rsidR="00C47639" w:rsidRPr="0014674D" w:rsidRDefault="00C47639" w:rsidP="00C47639">
            <w:pPr>
              <w:pStyle w:val="Standaard-Tabellen"/>
              <w:rPr>
                <w:b/>
              </w:rPr>
            </w:pPr>
            <w:r w:rsidRPr="0014674D">
              <w:rPr>
                <w:b/>
              </w:rPr>
              <w:t>Age groups</w:t>
            </w:r>
          </w:p>
        </w:tc>
        <w:tc>
          <w:tcPr>
            <w:tcW w:w="922" w:type="pct"/>
            <w:shd w:val="clear" w:color="auto" w:fill="BFBFBF" w:themeFill="background1" w:themeFillShade="BF"/>
            <w:tcMar>
              <w:top w:w="57" w:type="dxa"/>
              <w:bottom w:w="57" w:type="dxa"/>
            </w:tcMar>
          </w:tcPr>
          <w:p w14:paraId="06D2C78A" w14:textId="77777777" w:rsidR="00C47639" w:rsidRDefault="00C47639" w:rsidP="00C47639">
            <w:pPr>
              <w:pStyle w:val="Standaard-Tabellen"/>
              <w:rPr>
                <w:b/>
              </w:rPr>
            </w:pPr>
            <w:r w:rsidRPr="0014674D">
              <w:rPr>
                <w:b/>
              </w:rPr>
              <w:t xml:space="preserve">Amount of </w:t>
            </w:r>
          </w:p>
          <w:p w14:paraId="5F3DA9E9" w14:textId="77777777" w:rsidR="00C47639" w:rsidRDefault="00C47639" w:rsidP="00C47639">
            <w:pPr>
              <w:pStyle w:val="Standaard-Tabellen"/>
              <w:rPr>
                <w:b/>
              </w:rPr>
            </w:pPr>
            <w:r w:rsidRPr="0014674D">
              <w:rPr>
                <w:b/>
              </w:rPr>
              <w:t xml:space="preserve">product </w:t>
            </w:r>
            <w:r>
              <w:rPr>
                <w:b/>
              </w:rPr>
              <w:t xml:space="preserve">used </w:t>
            </w:r>
          </w:p>
          <w:p w14:paraId="5BAC3300" w14:textId="77777777" w:rsidR="00C47639" w:rsidRDefault="00C47639" w:rsidP="00C47639">
            <w:pPr>
              <w:pStyle w:val="Standaard-Tabellen"/>
              <w:rPr>
                <w:b/>
              </w:rPr>
            </w:pPr>
            <w:r>
              <w:rPr>
                <w:b/>
              </w:rPr>
              <w:t>per application</w:t>
            </w:r>
          </w:p>
          <w:p w14:paraId="782D5B4B" w14:textId="77777777" w:rsidR="00C47639" w:rsidRPr="0014674D" w:rsidRDefault="00C47639" w:rsidP="00C47639">
            <w:pPr>
              <w:pStyle w:val="Standaard-Tabellen"/>
              <w:rPr>
                <w:b/>
              </w:rPr>
            </w:pPr>
            <w:r>
              <w:rPr>
                <w:b/>
              </w:rPr>
              <w:t>[</w:t>
            </w:r>
            <w:r w:rsidRPr="0014674D">
              <w:rPr>
                <w:b/>
              </w:rPr>
              <w:t>g</w:t>
            </w:r>
            <w:r>
              <w:rPr>
                <w:b/>
              </w:rPr>
              <w:t>]</w:t>
            </w:r>
          </w:p>
        </w:tc>
        <w:tc>
          <w:tcPr>
            <w:tcW w:w="958" w:type="pct"/>
            <w:shd w:val="clear" w:color="auto" w:fill="BFBFBF" w:themeFill="background1" w:themeFillShade="BF"/>
          </w:tcPr>
          <w:p w14:paraId="7F143358" w14:textId="77777777" w:rsidR="00C47639" w:rsidRDefault="00C47639" w:rsidP="00C47639">
            <w:pPr>
              <w:pStyle w:val="Standaard-Tabellen"/>
              <w:rPr>
                <w:b/>
              </w:rPr>
            </w:pPr>
            <w:r w:rsidRPr="0014674D">
              <w:rPr>
                <w:b/>
              </w:rPr>
              <w:t xml:space="preserve">Treated surface </w:t>
            </w:r>
          </w:p>
          <w:p w14:paraId="4502B4C6" w14:textId="77777777" w:rsidR="00C47639" w:rsidRPr="0014674D" w:rsidRDefault="00C47639" w:rsidP="00C47639">
            <w:pPr>
              <w:pStyle w:val="Standaard-Tabellen"/>
              <w:rPr>
                <w:b/>
              </w:rPr>
            </w:pPr>
            <w:r>
              <w:rPr>
                <w:b/>
              </w:rPr>
              <w:t>[</w:t>
            </w:r>
            <w:r w:rsidRPr="0014674D">
              <w:rPr>
                <w:b/>
              </w:rPr>
              <w:t>cm</w:t>
            </w:r>
            <w:r>
              <w:rPr>
                <w:b/>
              </w:rPr>
              <w:t>²]</w:t>
            </w:r>
          </w:p>
        </w:tc>
        <w:tc>
          <w:tcPr>
            <w:tcW w:w="1163" w:type="pct"/>
            <w:shd w:val="clear" w:color="auto" w:fill="BFBFBF" w:themeFill="background1" w:themeFillShade="BF"/>
          </w:tcPr>
          <w:p w14:paraId="13DDE8DF" w14:textId="77777777" w:rsidR="00C47639" w:rsidRDefault="00C47639" w:rsidP="00C47639">
            <w:pPr>
              <w:pStyle w:val="Standaard-Tabellen"/>
              <w:rPr>
                <w:b/>
              </w:rPr>
            </w:pPr>
            <w:r w:rsidRPr="0014674D">
              <w:rPr>
                <w:b/>
              </w:rPr>
              <w:t xml:space="preserve">number of </w:t>
            </w:r>
          </w:p>
          <w:p w14:paraId="433B7DCA" w14:textId="77777777" w:rsidR="00C47639" w:rsidRDefault="00C47639" w:rsidP="00C47639">
            <w:pPr>
              <w:pStyle w:val="Standaard-Tabellen"/>
              <w:rPr>
                <w:b/>
              </w:rPr>
            </w:pPr>
            <w:r w:rsidRPr="0014674D">
              <w:rPr>
                <w:b/>
              </w:rPr>
              <w:t>application</w:t>
            </w:r>
            <w:r>
              <w:rPr>
                <w:b/>
              </w:rPr>
              <w:t>s</w:t>
            </w:r>
            <w:r w:rsidRPr="0014674D">
              <w:rPr>
                <w:b/>
              </w:rPr>
              <w:t xml:space="preserve"> </w:t>
            </w:r>
          </w:p>
          <w:p w14:paraId="5C5592DC" w14:textId="77777777" w:rsidR="00C47639" w:rsidRPr="0014674D" w:rsidRDefault="00C47639" w:rsidP="00C47639">
            <w:pPr>
              <w:pStyle w:val="Standaard-Tabellen"/>
              <w:rPr>
                <w:b/>
              </w:rPr>
            </w:pPr>
            <w:r w:rsidRPr="0014674D">
              <w:rPr>
                <w:b/>
              </w:rPr>
              <w:t>per day</w:t>
            </w:r>
          </w:p>
        </w:tc>
      </w:tr>
      <w:tr w:rsidR="00C47639" w:rsidRPr="0014674D" w14:paraId="711DFF90" w14:textId="77777777" w:rsidTr="00C47639">
        <w:trPr>
          <w:trHeight w:val="239"/>
          <w:tblHeader/>
        </w:trPr>
        <w:tc>
          <w:tcPr>
            <w:tcW w:w="1957" w:type="pct"/>
            <w:tcMar>
              <w:top w:w="57" w:type="dxa"/>
              <w:bottom w:w="57" w:type="dxa"/>
            </w:tcMar>
          </w:tcPr>
          <w:p w14:paraId="6524531A" w14:textId="77777777" w:rsidR="00C47639" w:rsidRPr="007256EB" w:rsidRDefault="00C47639" w:rsidP="00C47639">
            <w:pPr>
              <w:pStyle w:val="Standaard-Tabellen"/>
              <w:rPr>
                <w:b/>
              </w:rPr>
            </w:pPr>
            <w:r w:rsidRPr="007256EB">
              <w:rPr>
                <w:b/>
              </w:rPr>
              <w:t xml:space="preserve">ADULT </w:t>
            </w:r>
          </w:p>
          <w:p w14:paraId="3D94E982" w14:textId="77777777" w:rsidR="00C47639" w:rsidRDefault="00C47639" w:rsidP="00C47639">
            <w:pPr>
              <w:pStyle w:val="Standaard-Tabellen"/>
            </w:pPr>
            <w:r w:rsidRPr="00DD055A">
              <w:t xml:space="preserve">irrespective of gender </w:t>
            </w:r>
          </w:p>
          <w:p w14:paraId="14CEEAA2" w14:textId="77777777" w:rsidR="00C47639" w:rsidRPr="0014674D" w:rsidRDefault="00C47639" w:rsidP="00C47639">
            <w:pPr>
              <w:pStyle w:val="Standaard-Tabellen"/>
            </w:pPr>
            <w:r w:rsidRPr="00DD055A">
              <w:t>(based on female 30 to &lt;40 years old)</w:t>
            </w:r>
          </w:p>
        </w:tc>
        <w:tc>
          <w:tcPr>
            <w:tcW w:w="922" w:type="pct"/>
            <w:tcMar>
              <w:top w:w="57" w:type="dxa"/>
              <w:bottom w:w="57" w:type="dxa"/>
            </w:tcMar>
          </w:tcPr>
          <w:p w14:paraId="610C0A7D" w14:textId="77777777" w:rsidR="00C47639" w:rsidRPr="0014674D" w:rsidRDefault="00C47639" w:rsidP="00C47639">
            <w:pPr>
              <w:pStyle w:val="Standaard-Tabellen"/>
            </w:pPr>
            <w:r>
              <w:rPr>
                <w:rFonts w:cs="Arial"/>
                <w:sz w:val="20"/>
                <w:szCs w:val="20"/>
              </w:rPr>
              <w:t>6.1171</w:t>
            </w:r>
          </w:p>
        </w:tc>
        <w:tc>
          <w:tcPr>
            <w:tcW w:w="958" w:type="pct"/>
          </w:tcPr>
          <w:p w14:paraId="25FB3BBF" w14:textId="77777777" w:rsidR="00C47639" w:rsidRPr="0014674D" w:rsidRDefault="00C47639" w:rsidP="00C47639">
            <w:pPr>
              <w:pStyle w:val="Standaard-Tabellen"/>
            </w:pPr>
            <w:r>
              <w:rPr>
                <w:sz w:val="20"/>
                <w:szCs w:val="20"/>
              </w:rPr>
              <w:t>9130</w:t>
            </w:r>
          </w:p>
        </w:tc>
        <w:tc>
          <w:tcPr>
            <w:tcW w:w="1163" w:type="pct"/>
          </w:tcPr>
          <w:p w14:paraId="322FDC2A" w14:textId="77777777" w:rsidR="00C47639" w:rsidRPr="0014674D" w:rsidRDefault="00C47639" w:rsidP="00C47639">
            <w:pPr>
              <w:pStyle w:val="Standaard-Tabellen"/>
            </w:pPr>
            <w:r w:rsidRPr="0014674D">
              <w:t>3 applications/day</w:t>
            </w:r>
          </w:p>
        </w:tc>
      </w:tr>
      <w:tr w:rsidR="00C47639" w:rsidRPr="0014674D" w14:paraId="72AC5F8B" w14:textId="77777777" w:rsidTr="00C47639">
        <w:trPr>
          <w:trHeight w:val="23"/>
          <w:tblHeader/>
        </w:trPr>
        <w:tc>
          <w:tcPr>
            <w:tcW w:w="1957" w:type="pct"/>
            <w:tcMar>
              <w:top w:w="57" w:type="dxa"/>
              <w:bottom w:w="57" w:type="dxa"/>
            </w:tcMar>
          </w:tcPr>
          <w:p w14:paraId="26E21C05" w14:textId="77777777" w:rsidR="00C47639" w:rsidRDefault="00C47639" w:rsidP="00C47639">
            <w:pPr>
              <w:pStyle w:val="Standaard-Tabellen"/>
            </w:pPr>
            <w:r w:rsidRPr="007256EB">
              <w:rPr>
                <w:b/>
              </w:rPr>
              <w:t>CHILD</w:t>
            </w:r>
            <w:r w:rsidRPr="00DD055A">
              <w:t xml:space="preserve"> </w:t>
            </w:r>
            <w:r>
              <w:t xml:space="preserve">6 to &lt; 12 years old </w:t>
            </w:r>
            <w:r w:rsidRPr="00DD055A">
              <w:t xml:space="preserve">irrespective of gender </w:t>
            </w:r>
          </w:p>
          <w:p w14:paraId="4B59A416" w14:textId="77777777" w:rsidR="00C47639" w:rsidRPr="0014674D" w:rsidRDefault="00C47639" w:rsidP="00C47639">
            <w:pPr>
              <w:pStyle w:val="Standaard-Tabellen"/>
            </w:pPr>
            <w:r w:rsidRPr="00DD055A">
              <w:t>(based on female 6 to &lt;11 years old)</w:t>
            </w:r>
          </w:p>
        </w:tc>
        <w:tc>
          <w:tcPr>
            <w:tcW w:w="922" w:type="pct"/>
            <w:tcMar>
              <w:top w:w="57" w:type="dxa"/>
              <w:bottom w:w="57" w:type="dxa"/>
            </w:tcMar>
          </w:tcPr>
          <w:p w14:paraId="48F8C9A4" w14:textId="77777777" w:rsidR="00C47639" w:rsidRPr="0014674D" w:rsidRDefault="00C47639" w:rsidP="00C47639">
            <w:pPr>
              <w:pStyle w:val="Standaard-Tabellen"/>
            </w:pPr>
            <w:r>
              <w:rPr>
                <w:rFonts w:cs="Arial"/>
                <w:sz w:val="20"/>
                <w:szCs w:val="20"/>
              </w:rPr>
              <w:t>3.3902</w:t>
            </w:r>
          </w:p>
        </w:tc>
        <w:tc>
          <w:tcPr>
            <w:tcW w:w="958" w:type="pct"/>
          </w:tcPr>
          <w:p w14:paraId="0B5C76C4" w14:textId="77777777" w:rsidR="00C47639" w:rsidRPr="0014674D" w:rsidRDefault="00C47639" w:rsidP="00C47639">
            <w:pPr>
              <w:pStyle w:val="Standaard-Tabellen"/>
            </w:pPr>
            <w:r>
              <w:rPr>
                <w:sz w:val="20"/>
                <w:szCs w:val="20"/>
              </w:rPr>
              <w:t>5060</w:t>
            </w:r>
          </w:p>
        </w:tc>
        <w:tc>
          <w:tcPr>
            <w:tcW w:w="1163" w:type="pct"/>
          </w:tcPr>
          <w:p w14:paraId="7544FD0A" w14:textId="77777777" w:rsidR="00C47639" w:rsidRPr="0014674D" w:rsidRDefault="00C47639" w:rsidP="00C47639">
            <w:pPr>
              <w:pStyle w:val="Standaard-Tabellen"/>
            </w:pPr>
            <w:r w:rsidRPr="0014674D">
              <w:t xml:space="preserve">2 applications/day </w:t>
            </w:r>
          </w:p>
        </w:tc>
      </w:tr>
      <w:tr w:rsidR="00C47639" w:rsidRPr="0014674D" w14:paraId="33CEEA4C" w14:textId="77777777" w:rsidTr="00C47639">
        <w:trPr>
          <w:trHeight w:val="23"/>
          <w:tblHeader/>
        </w:trPr>
        <w:tc>
          <w:tcPr>
            <w:tcW w:w="1957" w:type="pct"/>
            <w:tcMar>
              <w:top w:w="57" w:type="dxa"/>
              <w:bottom w:w="57" w:type="dxa"/>
            </w:tcMar>
          </w:tcPr>
          <w:p w14:paraId="59DA3B86" w14:textId="77777777" w:rsidR="00C47639" w:rsidRPr="0014674D" w:rsidRDefault="00C47639" w:rsidP="00C47639">
            <w:pPr>
              <w:pStyle w:val="Standaard-Tabellen"/>
            </w:pPr>
            <w:r w:rsidRPr="007256EB">
              <w:rPr>
                <w:b/>
              </w:rPr>
              <w:t xml:space="preserve">CHILD </w:t>
            </w:r>
            <w:r>
              <w:t>2 to &lt; 6 years old irrespective of gender (based on data from female 2 to &lt;6 years old)</w:t>
            </w:r>
          </w:p>
        </w:tc>
        <w:tc>
          <w:tcPr>
            <w:tcW w:w="922" w:type="pct"/>
            <w:tcMar>
              <w:top w:w="57" w:type="dxa"/>
              <w:bottom w:w="57" w:type="dxa"/>
            </w:tcMar>
          </w:tcPr>
          <w:p w14:paraId="242A7067" w14:textId="77777777" w:rsidR="00C47639" w:rsidRDefault="00C47639" w:rsidP="00C47639">
            <w:pPr>
              <w:pStyle w:val="Standaard-Tabellen"/>
              <w:rPr>
                <w:rFonts w:cs="Arial"/>
                <w:sz w:val="20"/>
                <w:szCs w:val="20"/>
              </w:rPr>
            </w:pPr>
            <w:r>
              <w:rPr>
                <w:rFonts w:cs="Arial"/>
                <w:sz w:val="20"/>
                <w:szCs w:val="20"/>
              </w:rPr>
              <w:t>2.5058</w:t>
            </w:r>
          </w:p>
        </w:tc>
        <w:tc>
          <w:tcPr>
            <w:tcW w:w="958" w:type="pct"/>
          </w:tcPr>
          <w:p w14:paraId="0B26E867" w14:textId="77777777" w:rsidR="00C47639" w:rsidDel="00333CB1" w:rsidRDefault="00C47639" w:rsidP="00C47639">
            <w:pPr>
              <w:pStyle w:val="Standaard-Tabellen"/>
              <w:rPr>
                <w:sz w:val="20"/>
                <w:szCs w:val="20"/>
              </w:rPr>
            </w:pPr>
            <w:r>
              <w:rPr>
                <w:sz w:val="20"/>
                <w:szCs w:val="20"/>
              </w:rPr>
              <w:t>3740</w:t>
            </w:r>
          </w:p>
        </w:tc>
        <w:tc>
          <w:tcPr>
            <w:tcW w:w="1163" w:type="pct"/>
          </w:tcPr>
          <w:p w14:paraId="6EAE67BF" w14:textId="77777777" w:rsidR="00C47639" w:rsidRPr="0014674D" w:rsidRDefault="00C47639" w:rsidP="00C47639">
            <w:pPr>
              <w:pStyle w:val="Standaard-Tabellen"/>
            </w:pPr>
            <w:r w:rsidRPr="00562D07">
              <w:t>2 applications/day</w:t>
            </w:r>
          </w:p>
        </w:tc>
      </w:tr>
      <w:tr w:rsidR="00C47639" w:rsidRPr="0014674D" w14:paraId="194C82F0" w14:textId="77777777" w:rsidTr="00C47639">
        <w:trPr>
          <w:trHeight w:val="234"/>
          <w:tblHeader/>
        </w:trPr>
        <w:tc>
          <w:tcPr>
            <w:tcW w:w="1957" w:type="pct"/>
            <w:tcMar>
              <w:top w:w="57" w:type="dxa"/>
              <w:bottom w:w="57" w:type="dxa"/>
            </w:tcMar>
          </w:tcPr>
          <w:p w14:paraId="23FF2C45" w14:textId="77777777" w:rsidR="00C47639" w:rsidRPr="007256EB" w:rsidRDefault="00C47639" w:rsidP="00C47639">
            <w:pPr>
              <w:pStyle w:val="Standaard-Tabellen"/>
              <w:rPr>
                <w:b/>
              </w:rPr>
            </w:pPr>
            <w:r w:rsidRPr="007256EB">
              <w:rPr>
                <w:b/>
              </w:rPr>
              <w:t xml:space="preserve">TODDLER </w:t>
            </w:r>
            <w:r w:rsidRPr="00D54BE7">
              <w:t>1 to &lt;2 years old</w:t>
            </w:r>
          </w:p>
          <w:p w14:paraId="0F52118F" w14:textId="77777777" w:rsidR="00C47639" w:rsidRDefault="00C47639" w:rsidP="00C47639">
            <w:pPr>
              <w:pStyle w:val="Standaard-Tabellen"/>
            </w:pPr>
            <w:r w:rsidRPr="00DD055A">
              <w:t xml:space="preserve">irrespective of gender </w:t>
            </w:r>
          </w:p>
          <w:p w14:paraId="5A786128" w14:textId="77777777" w:rsidR="00C47639" w:rsidRPr="0014674D" w:rsidRDefault="00C47639" w:rsidP="00C47639">
            <w:pPr>
              <w:pStyle w:val="Standaard-Tabellen"/>
            </w:pPr>
            <w:r w:rsidRPr="00DD055A">
              <w:t>(based on female 1 to &lt;2 years old)</w:t>
            </w:r>
          </w:p>
        </w:tc>
        <w:tc>
          <w:tcPr>
            <w:tcW w:w="922" w:type="pct"/>
            <w:tcMar>
              <w:top w:w="57" w:type="dxa"/>
              <w:bottom w:w="57" w:type="dxa"/>
            </w:tcMar>
          </w:tcPr>
          <w:p w14:paraId="57341CF0" w14:textId="77777777" w:rsidR="00C47639" w:rsidRPr="0014674D" w:rsidRDefault="00C47639" w:rsidP="00C47639">
            <w:pPr>
              <w:pStyle w:val="Standaard-Tabellen"/>
            </w:pPr>
            <w:r>
              <w:rPr>
                <w:rFonts w:cs="Arial"/>
                <w:sz w:val="20"/>
                <w:szCs w:val="20"/>
              </w:rPr>
              <w:t>1.7688</w:t>
            </w:r>
          </w:p>
        </w:tc>
        <w:tc>
          <w:tcPr>
            <w:tcW w:w="958" w:type="pct"/>
          </w:tcPr>
          <w:p w14:paraId="05470220" w14:textId="77777777" w:rsidR="00C47639" w:rsidRPr="0014674D" w:rsidRDefault="00C47639" w:rsidP="00C47639">
            <w:pPr>
              <w:pStyle w:val="Standaard-Tabellen"/>
            </w:pPr>
            <w:r>
              <w:rPr>
                <w:sz w:val="20"/>
                <w:szCs w:val="20"/>
              </w:rPr>
              <w:t>2640</w:t>
            </w:r>
          </w:p>
        </w:tc>
        <w:tc>
          <w:tcPr>
            <w:tcW w:w="1163" w:type="pct"/>
          </w:tcPr>
          <w:p w14:paraId="10293E6D" w14:textId="77777777" w:rsidR="00C47639" w:rsidRPr="0014674D" w:rsidRDefault="00C47639" w:rsidP="00C47639">
            <w:pPr>
              <w:pStyle w:val="Standaard-Tabellen"/>
            </w:pPr>
            <w:r w:rsidRPr="0014674D">
              <w:t>1 application/day</w:t>
            </w:r>
          </w:p>
        </w:tc>
      </w:tr>
      <w:tr w:rsidR="00C47639" w:rsidRPr="0014674D" w14:paraId="21F3596D" w14:textId="77777777" w:rsidTr="00C47639">
        <w:trPr>
          <w:trHeight w:val="27"/>
          <w:tblHeader/>
        </w:trPr>
        <w:tc>
          <w:tcPr>
            <w:tcW w:w="1957" w:type="pct"/>
            <w:tcMar>
              <w:top w:w="57" w:type="dxa"/>
              <w:bottom w:w="57" w:type="dxa"/>
            </w:tcMar>
          </w:tcPr>
          <w:p w14:paraId="2747F287" w14:textId="77777777" w:rsidR="00C47639" w:rsidRDefault="00C47639" w:rsidP="00C47639">
            <w:pPr>
              <w:pStyle w:val="Standaard-Tabellen"/>
            </w:pPr>
            <w:r w:rsidRPr="007256EB">
              <w:rPr>
                <w:b/>
              </w:rPr>
              <w:t>INFANT</w:t>
            </w:r>
            <w:r w:rsidRPr="00DD055A">
              <w:t xml:space="preserve"> </w:t>
            </w:r>
            <w:r w:rsidRPr="00D54BE7">
              <w:t>&lt; 1 year old</w:t>
            </w:r>
          </w:p>
          <w:p w14:paraId="0E2FE782" w14:textId="77777777" w:rsidR="00C47639" w:rsidRDefault="00C47639" w:rsidP="00C47639">
            <w:pPr>
              <w:pStyle w:val="Standaard-Tabellen"/>
            </w:pPr>
            <w:r w:rsidRPr="00DD055A">
              <w:t xml:space="preserve">irrespective of gender </w:t>
            </w:r>
          </w:p>
          <w:p w14:paraId="5ED11E1F" w14:textId="77777777" w:rsidR="00C47639" w:rsidRPr="0014674D" w:rsidRDefault="00C47639" w:rsidP="00C47639">
            <w:pPr>
              <w:pStyle w:val="Standaard-Tabellen"/>
            </w:pPr>
            <w:r w:rsidRPr="00DD055A">
              <w:t>(based on female 6 to &lt;12 months old)</w:t>
            </w:r>
          </w:p>
        </w:tc>
        <w:tc>
          <w:tcPr>
            <w:tcW w:w="922" w:type="pct"/>
            <w:tcMar>
              <w:top w:w="57" w:type="dxa"/>
              <w:bottom w:w="57" w:type="dxa"/>
            </w:tcMar>
          </w:tcPr>
          <w:p w14:paraId="177D786F" w14:textId="77777777" w:rsidR="00C47639" w:rsidRPr="0014674D" w:rsidRDefault="00C47639" w:rsidP="00C47639">
            <w:pPr>
              <w:pStyle w:val="Standaard-Tabellen"/>
            </w:pPr>
            <w:r>
              <w:rPr>
                <w:rFonts w:cs="Arial"/>
                <w:sz w:val="20"/>
                <w:szCs w:val="20"/>
              </w:rPr>
              <w:t>1.51085</w:t>
            </w:r>
          </w:p>
        </w:tc>
        <w:tc>
          <w:tcPr>
            <w:tcW w:w="958" w:type="pct"/>
          </w:tcPr>
          <w:p w14:paraId="438206C0" w14:textId="77777777" w:rsidR="00C47639" w:rsidRPr="0014674D" w:rsidRDefault="00C47639" w:rsidP="00C47639">
            <w:pPr>
              <w:pStyle w:val="Standaard-Tabellen"/>
            </w:pPr>
            <w:r>
              <w:rPr>
                <w:sz w:val="20"/>
                <w:szCs w:val="20"/>
              </w:rPr>
              <w:t>2255</w:t>
            </w:r>
          </w:p>
        </w:tc>
        <w:tc>
          <w:tcPr>
            <w:tcW w:w="1163" w:type="pct"/>
          </w:tcPr>
          <w:p w14:paraId="6E49D814" w14:textId="77777777" w:rsidR="00C47639" w:rsidRPr="0014674D" w:rsidRDefault="00C47639" w:rsidP="00C47639">
            <w:pPr>
              <w:pStyle w:val="Standaard-Tabellen"/>
            </w:pPr>
            <w:r w:rsidRPr="0014674D">
              <w:t>1 application/day</w:t>
            </w:r>
          </w:p>
        </w:tc>
      </w:tr>
    </w:tbl>
    <w:p w14:paraId="0FBA5C47" w14:textId="77777777" w:rsidR="00C47639" w:rsidRPr="00B70E90" w:rsidRDefault="00C47639" w:rsidP="00C47639"/>
    <w:p w14:paraId="7B72D3AD" w14:textId="77777777" w:rsidR="00C47639" w:rsidRPr="00FF0AF1" w:rsidRDefault="00C47639" w:rsidP="00C47639">
      <w:pPr>
        <w:pStyle w:val="Titre6"/>
        <w:rPr>
          <w:lang w:val="en-US"/>
        </w:rPr>
      </w:pPr>
      <w:r w:rsidRPr="00FF0AF1">
        <w:rPr>
          <w:lang w:val="en-US"/>
        </w:rPr>
        <w:t xml:space="preserve">Dermal, </w:t>
      </w:r>
      <w:proofErr w:type="spellStart"/>
      <w:r w:rsidRPr="00FF0AF1">
        <w:rPr>
          <w:lang w:val="en-US"/>
        </w:rPr>
        <w:t>inhalatory</w:t>
      </w:r>
      <w:proofErr w:type="spellEnd"/>
      <w:r w:rsidRPr="00FF0AF1">
        <w:rPr>
          <w:lang w:val="en-US"/>
        </w:rPr>
        <w:t xml:space="preserve"> and oral absorption:  </w:t>
      </w:r>
    </w:p>
    <w:p w14:paraId="7F2F836A" w14:textId="77777777" w:rsidR="00C47639" w:rsidRPr="00490707" w:rsidRDefault="00C47639" w:rsidP="00C47639">
      <w:pPr>
        <w:pStyle w:val="Paragraphedeliste"/>
        <w:numPr>
          <w:ilvl w:val="0"/>
          <w:numId w:val="12"/>
        </w:numPr>
      </w:pPr>
      <w:proofErr w:type="spellStart"/>
      <w:r w:rsidRPr="00490707">
        <w:t>Inhalatory</w:t>
      </w:r>
      <w:proofErr w:type="spellEnd"/>
      <w:r w:rsidRPr="00490707">
        <w:t xml:space="preserve"> absorption : 100 % </w:t>
      </w:r>
    </w:p>
    <w:p w14:paraId="5CD1652E" w14:textId="77777777" w:rsidR="00C47639" w:rsidRPr="00490707" w:rsidRDefault="00C47639" w:rsidP="00C47639">
      <w:pPr>
        <w:pStyle w:val="Paragraphedeliste"/>
        <w:numPr>
          <w:ilvl w:val="0"/>
          <w:numId w:val="12"/>
        </w:numPr>
      </w:pPr>
      <w:r w:rsidRPr="00490707">
        <w:t xml:space="preserve">Dermal absorption : 14 % </w:t>
      </w:r>
    </w:p>
    <w:p w14:paraId="6823704C" w14:textId="77777777" w:rsidR="00C47639" w:rsidRPr="00953561" w:rsidRDefault="00C47639" w:rsidP="00C47639">
      <w:pPr>
        <w:pStyle w:val="Paragraphedeliste"/>
        <w:numPr>
          <w:ilvl w:val="0"/>
          <w:numId w:val="12"/>
        </w:numPr>
        <w:spacing w:before="0" w:after="160" w:line="259" w:lineRule="auto"/>
      </w:pPr>
      <w:r w:rsidRPr="00953561">
        <w:t xml:space="preserve">Oral absorption : 100 % </w:t>
      </w:r>
      <w:r w:rsidRPr="00953561">
        <w:br w:type="page"/>
      </w:r>
    </w:p>
    <w:p w14:paraId="3298049A" w14:textId="77777777" w:rsidR="00C47639" w:rsidRPr="00FD2055" w:rsidRDefault="00C47639" w:rsidP="00C47639">
      <w:pPr>
        <w:pStyle w:val="Titre5"/>
        <w:numPr>
          <w:ilvl w:val="0"/>
          <w:numId w:val="4"/>
        </w:numPr>
      </w:pPr>
      <w:bookmarkStart w:id="185" w:name="_Toc367976935"/>
      <w:bookmarkStart w:id="186" w:name="_Toc387138973"/>
      <w:bookmarkStart w:id="187" w:name="_Toc387142780"/>
      <w:bookmarkStart w:id="188" w:name="_Toc387146344"/>
      <w:bookmarkStart w:id="189" w:name="_Toc389729063"/>
      <w:bookmarkStart w:id="190" w:name="_Toc403472765"/>
      <w:bookmarkStart w:id="191" w:name="_Toc532391097"/>
      <w:bookmarkStart w:id="192" w:name="_Toc8296511"/>
      <w:r w:rsidRPr="00FD2055">
        <w:lastRenderedPageBreak/>
        <w:t>List of scenarios</w:t>
      </w:r>
      <w:bookmarkEnd w:id="185"/>
      <w:bookmarkEnd w:id="186"/>
      <w:bookmarkEnd w:id="187"/>
      <w:bookmarkEnd w:id="188"/>
      <w:bookmarkEnd w:id="189"/>
      <w:bookmarkEnd w:id="190"/>
      <w:bookmarkEnd w:id="191"/>
      <w:bookmarkEnd w:id="192"/>
    </w:p>
    <w:p w14:paraId="0CF55E7E" w14:textId="77777777" w:rsidR="00C47639" w:rsidRPr="00F6710D" w:rsidRDefault="00C47639" w:rsidP="00C47639">
      <w:r w:rsidRPr="00F6710D">
        <w:t>Insect Repellent Pump Spray IR3535</w:t>
      </w:r>
      <w:r w:rsidRPr="00A02B42">
        <w:rPr>
          <w:vertAlign w:val="superscript"/>
        </w:rPr>
        <w:t>®</w:t>
      </w:r>
      <w:r w:rsidRPr="00F6710D">
        <w:t xml:space="preserve"> 20 % is used by the general public. The primary route of exposure is dermal.</w:t>
      </w:r>
    </w:p>
    <w:p w14:paraId="3C36B362" w14:textId="77777777" w:rsidR="00C47639" w:rsidRPr="00F6710D" w:rsidRDefault="00C47639" w:rsidP="00C47639">
      <w:r w:rsidRPr="00F6710D">
        <w:t xml:space="preserve">Oral exposure by hand-to-mouth transfer is not considered to be a significant route of </w:t>
      </w:r>
      <w:r w:rsidRPr="00CD6F23">
        <w:t>primary</w:t>
      </w:r>
      <w:r w:rsidRPr="00F6710D">
        <w:t xml:space="preserve"> exposure, because of the repellent taste (bad palatability) of the active substance, thus, preventing repeated mouthing of IR3535</w:t>
      </w:r>
      <w:r w:rsidRPr="004308A4">
        <w:rPr>
          <w:vertAlign w:val="superscript"/>
        </w:rPr>
        <w:t>®</w:t>
      </w:r>
      <w:r w:rsidRPr="00F6710D">
        <w:t xml:space="preserve"> by children and infants. Furthermore, the biocidal product </w:t>
      </w:r>
      <w:r w:rsidRPr="001B2835">
        <w:t xml:space="preserve">is not intended to be applied by children younger than </w:t>
      </w:r>
      <w:r>
        <w:t>11</w:t>
      </w:r>
      <w:r w:rsidRPr="001B2835">
        <w:t xml:space="preserve"> years </w:t>
      </w:r>
      <w:r w:rsidRPr="00F6710D">
        <w:t xml:space="preserve">which </w:t>
      </w:r>
      <w:r>
        <w:t>makes</w:t>
      </w:r>
      <w:r w:rsidRPr="00F6710D">
        <w:t xml:space="preserve"> an oral uptake of the dermally applied active substance</w:t>
      </w:r>
      <w:r>
        <w:t xml:space="preserve"> inconsiderable</w:t>
      </w:r>
      <w:r w:rsidRPr="00F6710D">
        <w:t>.</w:t>
      </w:r>
    </w:p>
    <w:p w14:paraId="198C8581" w14:textId="77777777" w:rsidR="00C47639" w:rsidRPr="00F6710D" w:rsidRDefault="00C47639" w:rsidP="00C47639">
      <w:r w:rsidRPr="00F6710D">
        <w:t>A potential inhalation exposure is only possible during the application ph</w:t>
      </w:r>
      <w:r>
        <w:t>ase via spraying</w:t>
      </w:r>
      <w:r w:rsidRPr="00F6710D">
        <w:t xml:space="preserve">. After application, no inhalation exposure risk is anticipated due to the low </w:t>
      </w:r>
      <w:proofErr w:type="spellStart"/>
      <w:r w:rsidRPr="00F6710D">
        <w:t>vapour</w:t>
      </w:r>
      <w:proofErr w:type="spellEnd"/>
      <w:r w:rsidRPr="00F6710D">
        <w:t xml:space="preserve"> pressure of IR3535</w:t>
      </w:r>
      <w:r w:rsidRPr="004308A4">
        <w:rPr>
          <w:vertAlign w:val="superscript"/>
        </w:rPr>
        <w:t>®</w:t>
      </w:r>
      <w:r w:rsidRPr="00F6710D">
        <w:t xml:space="preserve">. Moreover, it has to be taken into account that the exposure time to the </w:t>
      </w:r>
      <w:r>
        <w:t>spray</w:t>
      </w:r>
      <w:r w:rsidRPr="00F6710D">
        <w:t xml:space="preserve"> is extremely short and that it is not recommended to spray </w:t>
      </w:r>
      <w:r>
        <w:t xml:space="preserve">the biocidal product </w:t>
      </w:r>
      <w:r w:rsidRPr="00F6710D">
        <w:t>directly onto the face.</w:t>
      </w:r>
    </w:p>
    <w:p w14:paraId="3EEA639B" w14:textId="77777777" w:rsidR="00C47639" w:rsidRPr="00F6710D" w:rsidRDefault="00C47639" w:rsidP="00C47639">
      <w:r w:rsidRPr="00F6710D">
        <w:t>Dermal secondary exposure is possible for adults treating or handling children. However, this scenario is fully covered by primary adult dermal exposure.</w:t>
      </w:r>
      <w:r w:rsidRPr="004308A4">
        <w:t xml:space="preserve"> A parent applying (spraying) the product on children and herself/himself has been taken into account </w:t>
      </w:r>
      <w:r>
        <w:t xml:space="preserve">for </w:t>
      </w:r>
      <w:proofErr w:type="spellStart"/>
      <w:r>
        <w:t>inhalative</w:t>
      </w:r>
      <w:proofErr w:type="spellEnd"/>
      <w:r>
        <w:t xml:space="preserve"> secondary exposure.</w:t>
      </w:r>
    </w:p>
    <w:p w14:paraId="40FBFE8F" w14:textId="77777777" w:rsidR="00C47639" w:rsidRPr="00F6710D" w:rsidRDefault="00C47639" w:rsidP="00C47639">
      <w:r w:rsidRPr="00F6710D">
        <w:t>Hand to mouth transfer has been developed consistently with the DEET dossier.</w:t>
      </w:r>
      <w:r>
        <w:t xml:space="preserve"> It was proposed to use a reverse scenario to estimate this exposure.</w:t>
      </w:r>
    </w:p>
    <w:p w14:paraId="1E619835" w14:textId="77777777" w:rsidR="00C47639" w:rsidRDefault="00C47639" w:rsidP="00C47639">
      <w:r w:rsidRPr="00F6710D">
        <w:t>Inhalation of volatilized residues after application is relevant</w:t>
      </w:r>
      <w:r>
        <w:t xml:space="preserve"> based on the HEEG opinion on </w:t>
      </w:r>
      <w:r w:rsidRPr="002A1F94">
        <w:t>Assessment of Inhalation Exposure of Volatilized Biocide Active Substance</w:t>
      </w:r>
      <w:r w:rsidRPr="00F6710D">
        <w:t xml:space="preserve">. The exposure to </w:t>
      </w:r>
      <w:proofErr w:type="spellStart"/>
      <w:r w:rsidRPr="00F6710D">
        <w:t>volatilised</w:t>
      </w:r>
      <w:proofErr w:type="spellEnd"/>
      <w:r w:rsidRPr="00F6710D">
        <w:t xml:space="preserve"> residues indoors was calculated </w:t>
      </w:r>
      <w:r>
        <w:t xml:space="preserve">using </w:t>
      </w:r>
      <w:proofErr w:type="spellStart"/>
      <w:r>
        <w:t>ConsExpo</w:t>
      </w:r>
      <w:proofErr w:type="spellEnd"/>
      <w:r>
        <w:t xml:space="preserve"> model</w:t>
      </w:r>
      <w:proofErr w:type="gramStart"/>
      <w:r>
        <w:t>.</w:t>
      </w:r>
      <w:r w:rsidRPr="00F6710D">
        <w:t>.</w:t>
      </w:r>
      <w:proofErr w:type="gramEnd"/>
    </w:p>
    <w:p w14:paraId="2118DE15" w14:textId="77777777" w:rsidR="00C47639" w:rsidRPr="00FD2055" w:rsidRDefault="00C47639" w:rsidP="00C47639"/>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
        <w:gridCol w:w="1657"/>
        <w:gridCol w:w="4939"/>
        <w:gridCol w:w="1783"/>
      </w:tblGrid>
      <w:tr w:rsidR="00C47639" w:rsidRPr="006F2452" w14:paraId="44C85CBB" w14:textId="77777777" w:rsidTr="00C47639">
        <w:trPr>
          <w:tblHeader/>
        </w:trPr>
        <w:tc>
          <w:tcPr>
            <w:tcW w:w="5000" w:type="pct"/>
            <w:gridSpan w:val="4"/>
            <w:shd w:val="clear" w:color="auto" w:fill="FFFFCC"/>
          </w:tcPr>
          <w:p w14:paraId="520C8147" w14:textId="77777777" w:rsidR="00C47639" w:rsidRPr="006F2452" w:rsidRDefault="00C47639" w:rsidP="00C47639">
            <w:pPr>
              <w:pStyle w:val="Standaard-Tabellen"/>
              <w:jc w:val="center"/>
              <w:rPr>
                <w:b/>
              </w:rPr>
            </w:pPr>
            <w:r w:rsidRPr="006F2452">
              <w:rPr>
                <w:b/>
              </w:rPr>
              <w:t>Summary table: scenarios</w:t>
            </w:r>
          </w:p>
        </w:tc>
      </w:tr>
      <w:tr w:rsidR="00C47639" w:rsidRPr="006F2452" w14:paraId="132C3D77" w14:textId="77777777" w:rsidTr="00C47639">
        <w:trPr>
          <w:tblHeader/>
        </w:trPr>
        <w:tc>
          <w:tcPr>
            <w:tcW w:w="541" w:type="pct"/>
            <w:shd w:val="clear" w:color="auto" w:fill="BFBFBF" w:themeFill="background1" w:themeFillShade="BF"/>
            <w:tcMar>
              <w:top w:w="57" w:type="dxa"/>
              <w:bottom w:w="57" w:type="dxa"/>
            </w:tcMar>
          </w:tcPr>
          <w:p w14:paraId="559A46E7" w14:textId="77777777" w:rsidR="00C47639" w:rsidRDefault="00C47639" w:rsidP="00C47639">
            <w:pPr>
              <w:pStyle w:val="Standaard-Tabellen"/>
              <w:rPr>
                <w:b/>
              </w:rPr>
            </w:pPr>
            <w:r w:rsidRPr="006F2452">
              <w:rPr>
                <w:b/>
              </w:rPr>
              <w:t>Scenario</w:t>
            </w:r>
          </w:p>
          <w:p w14:paraId="1A9EE503" w14:textId="77777777" w:rsidR="00C47639" w:rsidRPr="006F2452" w:rsidRDefault="00C47639" w:rsidP="00C47639">
            <w:pPr>
              <w:pStyle w:val="Standaard-Tabellen"/>
              <w:rPr>
                <w:b/>
              </w:rPr>
            </w:pPr>
            <w:r w:rsidRPr="006F2452">
              <w:rPr>
                <w:b/>
              </w:rPr>
              <w:t>number</w:t>
            </w:r>
          </w:p>
        </w:tc>
        <w:tc>
          <w:tcPr>
            <w:tcW w:w="882" w:type="pct"/>
            <w:shd w:val="clear" w:color="auto" w:fill="BFBFBF" w:themeFill="background1" w:themeFillShade="BF"/>
            <w:tcMar>
              <w:top w:w="57" w:type="dxa"/>
              <w:bottom w:w="57" w:type="dxa"/>
            </w:tcMar>
          </w:tcPr>
          <w:p w14:paraId="5CC45671" w14:textId="77777777" w:rsidR="00C47639" w:rsidRPr="006F2452" w:rsidRDefault="00C47639" w:rsidP="00C47639">
            <w:pPr>
              <w:pStyle w:val="Standaard-Tabellen"/>
              <w:rPr>
                <w:b/>
              </w:rPr>
            </w:pPr>
            <w:r w:rsidRPr="006F2452">
              <w:rPr>
                <w:b/>
              </w:rPr>
              <w:t>Scenario</w:t>
            </w:r>
          </w:p>
          <w:p w14:paraId="73350949" w14:textId="77777777" w:rsidR="00C47639" w:rsidRDefault="00C47639" w:rsidP="00C47639">
            <w:pPr>
              <w:pStyle w:val="Standaard-Tabellen"/>
            </w:pPr>
            <w:r w:rsidRPr="006F2452">
              <w:t>(e.g. mixing/</w:t>
            </w:r>
          </w:p>
          <w:p w14:paraId="54B2265C" w14:textId="77777777" w:rsidR="00C47639" w:rsidRPr="006F2452" w:rsidRDefault="00C47639" w:rsidP="00C47639">
            <w:pPr>
              <w:pStyle w:val="Standaard-Tabellen"/>
            </w:pPr>
            <w:r w:rsidRPr="006F2452">
              <w:t>loading)</w:t>
            </w:r>
          </w:p>
        </w:tc>
        <w:tc>
          <w:tcPr>
            <w:tcW w:w="2628" w:type="pct"/>
            <w:shd w:val="clear" w:color="auto" w:fill="BFBFBF" w:themeFill="background1" w:themeFillShade="BF"/>
            <w:tcMar>
              <w:top w:w="57" w:type="dxa"/>
              <w:bottom w:w="57" w:type="dxa"/>
            </w:tcMar>
          </w:tcPr>
          <w:p w14:paraId="5176868A" w14:textId="77777777" w:rsidR="00C47639" w:rsidRPr="006F2452" w:rsidRDefault="00C47639" w:rsidP="00C47639">
            <w:pPr>
              <w:pStyle w:val="Standaard-Tabellen"/>
              <w:rPr>
                <w:b/>
              </w:rPr>
            </w:pPr>
            <w:r w:rsidRPr="006F2452">
              <w:rPr>
                <w:b/>
              </w:rPr>
              <w:t>P</w:t>
            </w:r>
            <w:r>
              <w:rPr>
                <w:b/>
              </w:rPr>
              <w:t>rimary or secondary exposure</w:t>
            </w:r>
          </w:p>
          <w:p w14:paraId="4B144448" w14:textId="77777777" w:rsidR="00C47639" w:rsidRPr="006F2452" w:rsidRDefault="00C47639" w:rsidP="00C47639">
            <w:pPr>
              <w:pStyle w:val="Standaard-Tabellen"/>
              <w:rPr>
                <w:b/>
              </w:rPr>
            </w:pPr>
            <w:r w:rsidRPr="006F2452">
              <w:rPr>
                <w:b/>
              </w:rPr>
              <w:t>Description of scenario</w:t>
            </w:r>
          </w:p>
        </w:tc>
        <w:tc>
          <w:tcPr>
            <w:tcW w:w="949" w:type="pct"/>
            <w:shd w:val="clear" w:color="auto" w:fill="BFBFBF" w:themeFill="background1" w:themeFillShade="BF"/>
            <w:tcMar>
              <w:top w:w="57" w:type="dxa"/>
              <w:bottom w:w="57" w:type="dxa"/>
            </w:tcMar>
          </w:tcPr>
          <w:p w14:paraId="638C6A6D" w14:textId="77777777" w:rsidR="00C47639" w:rsidRPr="006F2452" w:rsidRDefault="00C47639" w:rsidP="00C47639">
            <w:pPr>
              <w:pStyle w:val="Standaard-Tabellen"/>
              <w:rPr>
                <w:b/>
              </w:rPr>
            </w:pPr>
            <w:r w:rsidRPr="006F2452">
              <w:rPr>
                <w:b/>
              </w:rPr>
              <w:t>Exposed group</w:t>
            </w:r>
          </w:p>
          <w:p w14:paraId="1CDBC37F" w14:textId="77777777" w:rsidR="00C47639" w:rsidRDefault="00C47639" w:rsidP="00C47639">
            <w:pPr>
              <w:pStyle w:val="Standaard-Tabellen"/>
            </w:pPr>
            <w:r w:rsidRPr="006F2452">
              <w:t>(e.g. professionals, non-</w:t>
            </w:r>
          </w:p>
          <w:p w14:paraId="35E7A831" w14:textId="77777777" w:rsidR="00C47639" w:rsidRPr="006F2452" w:rsidRDefault="00C47639" w:rsidP="00C47639">
            <w:pPr>
              <w:pStyle w:val="Standaard-Tabellen"/>
            </w:pPr>
            <w:r w:rsidRPr="006F2452">
              <w:t>professionals, bystanders)</w:t>
            </w:r>
          </w:p>
        </w:tc>
      </w:tr>
      <w:tr w:rsidR="00C47639" w:rsidRPr="00FD2055" w14:paraId="5579160F" w14:textId="77777777" w:rsidTr="00C47639">
        <w:trPr>
          <w:tblHeader/>
        </w:trPr>
        <w:tc>
          <w:tcPr>
            <w:tcW w:w="541" w:type="pct"/>
            <w:tcMar>
              <w:top w:w="57" w:type="dxa"/>
              <w:bottom w:w="57" w:type="dxa"/>
            </w:tcMar>
          </w:tcPr>
          <w:p w14:paraId="233EB3A8" w14:textId="77777777" w:rsidR="00C47639" w:rsidRPr="00FD2055" w:rsidRDefault="00C47639" w:rsidP="00C47639">
            <w:pPr>
              <w:pStyle w:val="Standaard-Tabellen"/>
            </w:pPr>
            <w:r>
              <w:t>1.</w:t>
            </w:r>
          </w:p>
        </w:tc>
        <w:tc>
          <w:tcPr>
            <w:tcW w:w="882" w:type="pct"/>
            <w:shd w:val="clear" w:color="auto" w:fill="auto"/>
            <w:tcMar>
              <w:top w:w="57" w:type="dxa"/>
              <w:bottom w:w="57" w:type="dxa"/>
            </w:tcMar>
          </w:tcPr>
          <w:p w14:paraId="377EFB10" w14:textId="77777777" w:rsidR="00C47639" w:rsidRPr="00FD2055" w:rsidRDefault="00C47639" w:rsidP="00C47639">
            <w:pPr>
              <w:pStyle w:val="Standaard-Tabellen"/>
            </w:pPr>
            <w:r>
              <w:t>Application phase</w:t>
            </w:r>
          </w:p>
        </w:tc>
        <w:tc>
          <w:tcPr>
            <w:tcW w:w="2628" w:type="pct"/>
            <w:tcMar>
              <w:top w:w="57" w:type="dxa"/>
              <w:bottom w:w="57" w:type="dxa"/>
            </w:tcMar>
          </w:tcPr>
          <w:p w14:paraId="1D727626" w14:textId="77777777" w:rsidR="00C47639" w:rsidRPr="00FD2055" w:rsidRDefault="00C47639" w:rsidP="00C47639">
            <w:pPr>
              <w:pStyle w:val="Standaard-Tabellen"/>
            </w:pPr>
            <w:r>
              <w:t xml:space="preserve">Primary exposure: Dermal exposure assessment for adults, children, toddlers and infants. </w:t>
            </w:r>
          </w:p>
        </w:tc>
        <w:tc>
          <w:tcPr>
            <w:tcW w:w="949" w:type="pct"/>
            <w:shd w:val="clear" w:color="auto" w:fill="auto"/>
            <w:tcMar>
              <w:top w:w="57" w:type="dxa"/>
              <w:bottom w:w="57" w:type="dxa"/>
            </w:tcMar>
          </w:tcPr>
          <w:p w14:paraId="4B2B4168" w14:textId="77777777" w:rsidR="00C47639" w:rsidRPr="00FD2055" w:rsidRDefault="00C47639" w:rsidP="00C47639">
            <w:pPr>
              <w:pStyle w:val="Standaard-Tabellen"/>
            </w:pPr>
            <w:r>
              <w:t>Non-professionals</w:t>
            </w:r>
          </w:p>
        </w:tc>
      </w:tr>
      <w:tr w:rsidR="00C47639" w:rsidRPr="00FD2055" w14:paraId="7918566A" w14:textId="77777777" w:rsidTr="00C47639">
        <w:trPr>
          <w:tblHeader/>
        </w:trPr>
        <w:tc>
          <w:tcPr>
            <w:tcW w:w="541" w:type="pct"/>
            <w:tcMar>
              <w:top w:w="57" w:type="dxa"/>
              <w:bottom w:w="57" w:type="dxa"/>
            </w:tcMar>
          </w:tcPr>
          <w:p w14:paraId="21503124" w14:textId="77777777" w:rsidR="00C47639" w:rsidRPr="00FD2055" w:rsidRDefault="00C47639" w:rsidP="00C47639">
            <w:pPr>
              <w:pStyle w:val="Standaard-Tabellen"/>
            </w:pPr>
            <w:r>
              <w:t>2.</w:t>
            </w:r>
          </w:p>
        </w:tc>
        <w:tc>
          <w:tcPr>
            <w:tcW w:w="882" w:type="pct"/>
            <w:shd w:val="clear" w:color="auto" w:fill="auto"/>
            <w:tcMar>
              <w:top w:w="57" w:type="dxa"/>
              <w:bottom w:w="57" w:type="dxa"/>
            </w:tcMar>
          </w:tcPr>
          <w:p w14:paraId="1C79F6F1" w14:textId="77777777" w:rsidR="00C47639" w:rsidRPr="00FD2055" w:rsidRDefault="00C47639" w:rsidP="00C47639">
            <w:pPr>
              <w:pStyle w:val="Standaard-Tabellen"/>
            </w:pPr>
            <w:r w:rsidRPr="008C1C4F">
              <w:t>Application phase</w:t>
            </w:r>
          </w:p>
        </w:tc>
        <w:tc>
          <w:tcPr>
            <w:tcW w:w="2628" w:type="pct"/>
            <w:tcMar>
              <w:top w:w="57" w:type="dxa"/>
              <w:bottom w:w="57" w:type="dxa"/>
            </w:tcMar>
          </w:tcPr>
          <w:p w14:paraId="0E032C42" w14:textId="77777777" w:rsidR="00C47639" w:rsidRPr="00FD2055" w:rsidRDefault="00C47639" w:rsidP="00C47639">
            <w:pPr>
              <w:pStyle w:val="Standaard-Tabellen"/>
            </w:pPr>
            <w:r w:rsidRPr="008C1C4F">
              <w:t xml:space="preserve">Primary exposure: </w:t>
            </w:r>
            <w:r>
              <w:t>Inhalation</w:t>
            </w:r>
            <w:r w:rsidRPr="008C1C4F">
              <w:t xml:space="preserve"> exposure assessment for adults, children, toddlers and infants.</w:t>
            </w:r>
          </w:p>
        </w:tc>
        <w:tc>
          <w:tcPr>
            <w:tcW w:w="949" w:type="pct"/>
            <w:shd w:val="clear" w:color="auto" w:fill="auto"/>
            <w:tcMar>
              <w:top w:w="57" w:type="dxa"/>
              <w:bottom w:w="57" w:type="dxa"/>
            </w:tcMar>
          </w:tcPr>
          <w:p w14:paraId="2AC59600" w14:textId="77777777" w:rsidR="00C47639" w:rsidRPr="00FD2055" w:rsidRDefault="00C47639" w:rsidP="00C47639">
            <w:pPr>
              <w:pStyle w:val="Standaard-Tabellen"/>
            </w:pPr>
            <w:r w:rsidRPr="00CF463E">
              <w:t>Non-professionals</w:t>
            </w:r>
          </w:p>
        </w:tc>
      </w:tr>
      <w:tr w:rsidR="00C47639" w:rsidRPr="00FD2055" w14:paraId="484443D8" w14:textId="77777777" w:rsidTr="00C47639">
        <w:trPr>
          <w:tblHeader/>
        </w:trPr>
        <w:tc>
          <w:tcPr>
            <w:tcW w:w="541" w:type="pct"/>
            <w:tcMar>
              <w:top w:w="57" w:type="dxa"/>
              <w:bottom w:w="57" w:type="dxa"/>
            </w:tcMar>
          </w:tcPr>
          <w:p w14:paraId="35B8073C" w14:textId="77777777" w:rsidR="00C47639" w:rsidRPr="00FD2055" w:rsidRDefault="00C47639" w:rsidP="00C47639">
            <w:pPr>
              <w:pStyle w:val="Standaard-Tabellen"/>
            </w:pPr>
            <w:r>
              <w:t>3.</w:t>
            </w:r>
          </w:p>
        </w:tc>
        <w:tc>
          <w:tcPr>
            <w:tcW w:w="882" w:type="pct"/>
            <w:shd w:val="clear" w:color="auto" w:fill="auto"/>
            <w:tcMar>
              <w:top w:w="57" w:type="dxa"/>
              <w:bottom w:w="57" w:type="dxa"/>
            </w:tcMar>
          </w:tcPr>
          <w:p w14:paraId="6FFA63D5" w14:textId="77777777" w:rsidR="00C47639" w:rsidRPr="00FD2055" w:rsidRDefault="00C47639" w:rsidP="00C47639">
            <w:pPr>
              <w:pStyle w:val="Standaard-Tabellen"/>
            </w:pPr>
            <w:r>
              <w:t>Post-application phase</w:t>
            </w:r>
          </w:p>
        </w:tc>
        <w:tc>
          <w:tcPr>
            <w:tcW w:w="2628" w:type="pct"/>
            <w:tcMar>
              <w:top w:w="57" w:type="dxa"/>
              <w:bottom w:w="57" w:type="dxa"/>
            </w:tcMar>
          </w:tcPr>
          <w:p w14:paraId="73D4D6D1" w14:textId="77777777" w:rsidR="00C47639" w:rsidRPr="00FD2055" w:rsidRDefault="00C47639" w:rsidP="00C47639">
            <w:pPr>
              <w:pStyle w:val="Standaard-Tabellen"/>
            </w:pPr>
            <w:r>
              <w:t xml:space="preserve">Secondary exposure (indirect exposure as a result of use): Hand-mouth transfer reverse reference scenario (oral exposure)  </w:t>
            </w:r>
          </w:p>
        </w:tc>
        <w:tc>
          <w:tcPr>
            <w:tcW w:w="949" w:type="pct"/>
            <w:shd w:val="clear" w:color="auto" w:fill="auto"/>
            <w:tcMar>
              <w:top w:w="57" w:type="dxa"/>
              <w:bottom w:w="57" w:type="dxa"/>
            </w:tcMar>
          </w:tcPr>
          <w:p w14:paraId="4741F441" w14:textId="77777777" w:rsidR="00C47639" w:rsidRPr="00FD2055" w:rsidRDefault="00C47639" w:rsidP="00C47639">
            <w:pPr>
              <w:pStyle w:val="Standaard-Tabellen"/>
            </w:pPr>
            <w:r w:rsidRPr="00682A3D">
              <w:t>Non-professionals</w:t>
            </w:r>
          </w:p>
        </w:tc>
      </w:tr>
      <w:tr w:rsidR="00C47639" w:rsidRPr="00FD2055" w14:paraId="580BDECE" w14:textId="77777777" w:rsidTr="00C47639">
        <w:trPr>
          <w:tblHeader/>
        </w:trPr>
        <w:tc>
          <w:tcPr>
            <w:tcW w:w="541" w:type="pct"/>
            <w:tcMar>
              <w:top w:w="57" w:type="dxa"/>
              <w:bottom w:w="57" w:type="dxa"/>
            </w:tcMar>
          </w:tcPr>
          <w:p w14:paraId="7DEB9453" w14:textId="77777777" w:rsidR="00C47639" w:rsidRPr="00FD2055" w:rsidRDefault="00C47639" w:rsidP="00C47639">
            <w:pPr>
              <w:pStyle w:val="Standaard-Tabellen"/>
            </w:pPr>
            <w:r>
              <w:t>4.</w:t>
            </w:r>
          </w:p>
        </w:tc>
        <w:tc>
          <w:tcPr>
            <w:tcW w:w="882" w:type="pct"/>
            <w:shd w:val="clear" w:color="auto" w:fill="auto"/>
            <w:tcMar>
              <w:top w:w="57" w:type="dxa"/>
              <w:bottom w:w="57" w:type="dxa"/>
            </w:tcMar>
          </w:tcPr>
          <w:p w14:paraId="51A632B5" w14:textId="77777777" w:rsidR="00C47639" w:rsidRPr="00FD2055" w:rsidRDefault="00C47639" w:rsidP="00C47639">
            <w:pPr>
              <w:pStyle w:val="Standaard-Tabellen"/>
            </w:pPr>
            <w:r w:rsidRPr="008C1C4F">
              <w:t>Post-application phase</w:t>
            </w:r>
          </w:p>
        </w:tc>
        <w:tc>
          <w:tcPr>
            <w:tcW w:w="2628" w:type="pct"/>
            <w:tcMar>
              <w:top w:w="57" w:type="dxa"/>
              <w:bottom w:w="57" w:type="dxa"/>
            </w:tcMar>
          </w:tcPr>
          <w:p w14:paraId="6FF41BA6" w14:textId="77777777" w:rsidR="00C47639" w:rsidRPr="00FD2055" w:rsidRDefault="00C47639" w:rsidP="00C47639">
            <w:pPr>
              <w:pStyle w:val="Standaard-Tabellen"/>
            </w:pPr>
            <w:r>
              <w:t xml:space="preserve">Parent treating two children and himself/herself (spraying) (combined </w:t>
            </w:r>
            <w:proofErr w:type="spellStart"/>
            <w:r>
              <w:t>inhalative</w:t>
            </w:r>
            <w:proofErr w:type="spellEnd"/>
            <w:r>
              <w:t xml:space="preserve"> and oral exposure)</w:t>
            </w:r>
          </w:p>
        </w:tc>
        <w:tc>
          <w:tcPr>
            <w:tcW w:w="949" w:type="pct"/>
            <w:shd w:val="clear" w:color="auto" w:fill="auto"/>
            <w:tcMar>
              <w:top w:w="57" w:type="dxa"/>
              <w:bottom w:w="57" w:type="dxa"/>
            </w:tcMar>
          </w:tcPr>
          <w:p w14:paraId="02D59D9A" w14:textId="77777777" w:rsidR="00C47639" w:rsidRPr="00FD2055" w:rsidRDefault="00C47639" w:rsidP="00C47639">
            <w:pPr>
              <w:pStyle w:val="Standaard-Tabellen"/>
            </w:pPr>
            <w:r w:rsidRPr="00682A3D">
              <w:t>Non-professionals</w:t>
            </w:r>
          </w:p>
        </w:tc>
      </w:tr>
      <w:tr w:rsidR="00C47639" w:rsidRPr="00FD2055" w14:paraId="63F9A0C6" w14:textId="77777777" w:rsidTr="00C47639">
        <w:trPr>
          <w:tblHeader/>
        </w:trPr>
        <w:tc>
          <w:tcPr>
            <w:tcW w:w="541" w:type="pct"/>
            <w:tcMar>
              <w:top w:w="57" w:type="dxa"/>
              <w:bottom w:w="57" w:type="dxa"/>
            </w:tcMar>
          </w:tcPr>
          <w:p w14:paraId="5A6F7814" w14:textId="77777777" w:rsidR="00C47639" w:rsidRPr="00FD2055" w:rsidRDefault="00C47639" w:rsidP="00C47639">
            <w:pPr>
              <w:pStyle w:val="Standaard-Tabellen"/>
            </w:pPr>
            <w:r>
              <w:t>5.</w:t>
            </w:r>
          </w:p>
        </w:tc>
        <w:tc>
          <w:tcPr>
            <w:tcW w:w="882" w:type="pct"/>
            <w:shd w:val="clear" w:color="auto" w:fill="auto"/>
            <w:tcMar>
              <w:top w:w="57" w:type="dxa"/>
              <w:bottom w:w="57" w:type="dxa"/>
            </w:tcMar>
          </w:tcPr>
          <w:p w14:paraId="015E6FAF" w14:textId="77777777" w:rsidR="00C47639" w:rsidRPr="00FD2055" w:rsidRDefault="00C47639" w:rsidP="00C47639">
            <w:pPr>
              <w:pStyle w:val="Standaard-Tabellen"/>
            </w:pPr>
            <w:r w:rsidRPr="008C1C4F">
              <w:t>Post-application phase</w:t>
            </w:r>
          </w:p>
        </w:tc>
        <w:tc>
          <w:tcPr>
            <w:tcW w:w="2628" w:type="pct"/>
            <w:tcMar>
              <w:top w:w="57" w:type="dxa"/>
              <w:bottom w:w="57" w:type="dxa"/>
            </w:tcMar>
          </w:tcPr>
          <w:p w14:paraId="1EEF4CF1" w14:textId="77777777" w:rsidR="00C47639" w:rsidRPr="00FD2055" w:rsidRDefault="00C47639" w:rsidP="00C47639">
            <w:pPr>
              <w:pStyle w:val="Standaard-Tabellen"/>
            </w:pPr>
            <w:r>
              <w:t xml:space="preserve">Inhalation of </w:t>
            </w:r>
            <w:proofErr w:type="spellStart"/>
            <w:r>
              <w:t>volatilised</w:t>
            </w:r>
            <w:proofErr w:type="spellEnd"/>
            <w:r>
              <w:t xml:space="preserve"> residues after application (</w:t>
            </w:r>
            <w:proofErr w:type="spellStart"/>
            <w:r>
              <w:t>inhalative</w:t>
            </w:r>
            <w:proofErr w:type="spellEnd"/>
            <w:r>
              <w:t xml:space="preserve"> exposure) </w:t>
            </w:r>
          </w:p>
        </w:tc>
        <w:tc>
          <w:tcPr>
            <w:tcW w:w="949" w:type="pct"/>
            <w:shd w:val="clear" w:color="auto" w:fill="auto"/>
            <w:tcMar>
              <w:top w:w="57" w:type="dxa"/>
              <w:bottom w:w="57" w:type="dxa"/>
            </w:tcMar>
          </w:tcPr>
          <w:p w14:paraId="5D676E26" w14:textId="77777777" w:rsidR="00C47639" w:rsidRPr="00FD2055" w:rsidRDefault="00C47639" w:rsidP="00C47639">
            <w:pPr>
              <w:pStyle w:val="Standaard-Tabellen"/>
            </w:pPr>
            <w:r w:rsidRPr="00682A3D">
              <w:t>Non-professionals</w:t>
            </w:r>
          </w:p>
        </w:tc>
      </w:tr>
      <w:tr w:rsidR="00C47639" w:rsidRPr="00FD2055" w14:paraId="1D4773D5" w14:textId="77777777" w:rsidTr="00C47639">
        <w:trPr>
          <w:tblHeader/>
        </w:trPr>
        <w:tc>
          <w:tcPr>
            <w:tcW w:w="541" w:type="pct"/>
            <w:tcMar>
              <w:top w:w="57" w:type="dxa"/>
              <w:bottom w:w="57" w:type="dxa"/>
            </w:tcMar>
          </w:tcPr>
          <w:p w14:paraId="7A99C2EA" w14:textId="77777777" w:rsidR="00C47639" w:rsidRPr="00FD2055" w:rsidRDefault="00C47639" w:rsidP="00C47639">
            <w:pPr>
              <w:pStyle w:val="Standaard-Tabellen"/>
            </w:pPr>
            <w:r>
              <w:t xml:space="preserve">6. </w:t>
            </w:r>
          </w:p>
        </w:tc>
        <w:tc>
          <w:tcPr>
            <w:tcW w:w="882" w:type="pct"/>
            <w:shd w:val="clear" w:color="auto" w:fill="auto"/>
            <w:tcMar>
              <w:top w:w="57" w:type="dxa"/>
              <w:bottom w:w="57" w:type="dxa"/>
            </w:tcMar>
          </w:tcPr>
          <w:p w14:paraId="77D775ED" w14:textId="77777777" w:rsidR="00C47639" w:rsidRPr="00FD2055" w:rsidRDefault="00C47639" w:rsidP="00C47639">
            <w:pPr>
              <w:pStyle w:val="Standaard-Tabellen"/>
            </w:pPr>
            <w:r>
              <w:t>Exposure during production</w:t>
            </w:r>
          </w:p>
        </w:tc>
        <w:tc>
          <w:tcPr>
            <w:tcW w:w="2628" w:type="pct"/>
            <w:tcMar>
              <w:top w:w="57" w:type="dxa"/>
              <w:bottom w:w="57" w:type="dxa"/>
            </w:tcMar>
          </w:tcPr>
          <w:p w14:paraId="1FD40D18" w14:textId="77777777" w:rsidR="00C47639" w:rsidRPr="00FD2055" w:rsidRDefault="00C47639" w:rsidP="00C47639">
            <w:pPr>
              <w:pStyle w:val="Standaard-Tabellen"/>
            </w:pPr>
            <w:r w:rsidRPr="003F1174">
              <w:t>Mixing and Loading model – worst case for the production, formulation and disposal of the biocidal product</w:t>
            </w:r>
          </w:p>
        </w:tc>
        <w:tc>
          <w:tcPr>
            <w:tcW w:w="949" w:type="pct"/>
            <w:shd w:val="clear" w:color="auto" w:fill="auto"/>
            <w:tcMar>
              <w:top w:w="57" w:type="dxa"/>
              <w:bottom w:w="57" w:type="dxa"/>
            </w:tcMar>
          </w:tcPr>
          <w:p w14:paraId="25071F46" w14:textId="77777777" w:rsidR="00C47639" w:rsidRPr="00FD2055" w:rsidRDefault="00C47639" w:rsidP="00C47639">
            <w:pPr>
              <w:pStyle w:val="Standaard-Tabellen"/>
            </w:pPr>
            <w:r>
              <w:t xml:space="preserve">Professionals </w:t>
            </w:r>
          </w:p>
        </w:tc>
      </w:tr>
    </w:tbl>
    <w:p w14:paraId="59337D15" w14:textId="77777777" w:rsidR="00C47639" w:rsidRDefault="00C47639" w:rsidP="00C47639"/>
    <w:p w14:paraId="27526C24" w14:textId="77777777" w:rsidR="00C47639" w:rsidRDefault="00C47639" w:rsidP="00C47639">
      <w:pPr>
        <w:spacing w:before="0" w:after="160" w:line="259" w:lineRule="auto"/>
      </w:pPr>
      <w:r>
        <w:br w:type="page"/>
      </w:r>
    </w:p>
    <w:p w14:paraId="200B6EEE" w14:textId="77777777" w:rsidR="00C47639" w:rsidRDefault="00C47639" w:rsidP="00C47639">
      <w:pPr>
        <w:pStyle w:val="Titre5"/>
      </w:pPr>
      <w:bookmarkStart w:id="193" w:name="_Toc532391098"/>
      <w:bookmarkStart w:id="194" w:name="_Toc8296512"/>
      <w:r>
        <w:lastRenderedPageBreak/>
        <w:t>Industrial exposure</w:t>
      </w:r>
      <w:bookmarkEnd w:id="193"/>
      <w:bookmarkEnd w:id="194"/>
    </w:p>
    <w:p w14:paraId="71AB6FBB" w14:textId="77777777" w:rsidR="00C47639" w:rsidRDefault="00C47639" w:rsidP="00C47639">
      <w:pPr>
        <w:spacing w:before="0" w:after="160" w:line="259" w:lineRule="auto"/>
      </w:pPr>
      <w:r w:rsidRPr="008A7806">
        <w:t xml:space="preserve">There is no concern about industrial exposure because of </w:t>
      </w:r>
      <w:proofErr w:type="gramStart"/>
      <w:r w:rsidRPr="008A7806">
        <w:t>the intend</w:t>
      </w:r>
      <w:proofErr w:type="gramEnd"/>
      <w:r w:rsidRPr="008A7806">
        <w:t xml:space="preserve"> of use apart for the production/formulation and disposal of the biocidal product. This exposure is address</w:t>
      </w:r>
      <w:r>
        <w:t>ed</w:t>
      </w:r>
      <w:r w:rsidRPr="008A7806">
        <w:t xml:space="preserve"> under a point below</w:t>
      </w:r>
      <w:r>
        <w:t xml:space="preserve"> (scenario 6)</w:t>
      </w:r>
      <w:r w:rsidRPr="008A7806">
        <w:t>.</w:t>
      </w:r>
      <w:r>
        <w:t xml:space="preserve"> </w:t>
      </w:r>
    </w:p>
    <w:p w14:paraId="58EA5FE1" w14:textId="77777777" w:rsidR="00C47639" w:rsidRDefault="00C47639" w:rsidP="00C47639">
      <w:pPr>
        <w:pStyle w:val="Titre5"/>
      </w:pPr>
      <w:bookmarkStart w:id="195" w:name="_Toc532391099"/>
      <w:bookmarkStart w:id="196" w:name="_Toc8296513"/>
      <w:r>
        <w:t>Professional exposure</w:t>
      </w:r>
      <w:bookmarkEnd w:id="195"/>
      <w:bookmarkEnd w:id="196"/>
    </w:p>
    <w:p w14:paraId="326D19D3" w14:textId="77777777" w:rsidR="00C47639" w:rsidRPr="00682A3D" w:rsidRDefault="00C47639" w:rsidP="00C47639">
      <w:r w:rsidRPr="00611749">
        <w:t>Not relevant since the product Insect Repellent Pump Spray IR3535</w:t>
      </w:r>
      <w:r w:rsidRPr="00413222">
        <w:rPr>
          <w:vertAlign w:val="superscript"/>
        </w:rPr>
        <w:t>®</w:t>
      </w:r>
      <w:r w:rsidRPr="00611749">
        <w:t xml:space="preserve"> 20 % is intended to be used by general public.</w:t>
      </w:r>
    </w:p>
    <w:p w14:paraId="1E847A63" w14:textId="77777777" w:rsidR="00C47639" w:rsidRDefault="00C47639" w:rsidP="00C47639">
      <w:pPr>
        <w:pStyle w:val="Titre5"/>
      </w:pPr>
      <w:bookmarkStart w:id="197" w:name="_Toc532391100"/>
      <w:bookmarkStart w:id="198" w:name="_Toc8296514"/>
      <w:r>
        <w:lastRenderedPageBreak/>
        <w:t>Non-professional exposure</w:t>
      </w:r>
      <w:bookmarkEnd w:id="197"/>
      <w:bookmarkEnd w:id="198"/>
    </w:p>
    <w:p w14:paraId="5B57ED6C" w14:textId="77777777" w:rsidR="00C47639" w:rsidRPr="00FF0AF1" w:rsidRDefault="00C47639" w:rsidP="00C47639">
      <w:pPr>
        <w:pStyle w:val="Titre6"/>
        <w:rPr>
          <w:lang w:val="en-US"/>
        </w:rPr>
      </w:pPr>
      <w:r w:rsidRPr="00FF0AF1">
        <w:rPr>
          <w:lang w:val="en-US"/>
        </w:rPr>
        <w:t>Scenario 1: Primary exposure: Dermal exposure assessment for adults, children, toddlers and infants.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16"/>
        <w:gridCol w:w="5406"/>
        <w:gridCol w:w="1374"/>
      </w:tblGrid>
      <w:tr w:rsidR="00C47639" w:rsidRPr="00332AD5" w14:paraId="3B248B5B" w14:textId="77777777" w:rsidTr="00C47639">
        <w:trPr>
          <w:tblHeader/>
        </w:trPr>
        <w:tc>
          <w:tcPr>
            <w:tcW w:w="5000" w:type="pct"/>
            <w:gridSpan w:val="3"/>
            <w:tcBorders>
              <w:bottom w:val="single" w:sz="6" w:space="0" w:color="auto"/>
            </w:tcBorders>
            <w:shd w:val="clear" w:color="auto" w:fill="FFFFCC"/>
            <w:tcMar>
              <w:top w:w="57" w:type="dxa"/>
              <w:bottom w:w="57" w:type="dxa"/>
            </w:tcMar>
          </w:tcPr>
          <w:p w14:paraId="573C30AF" w14:textId="77777777" w:rsidR="00C47639" w:rsidRPr="00332AD5" w:rsidRDefault="00C47639" w:rsidP="00C47639">
            <w:pPr>
              <w:pStyle w:val="Standaard-Tabellen"/>
              <w:jc w:val="center"/>
              <w:rPr>
                <w:b/>
              </w:rPr>
            </w:pPr>
            <w:r w:rsidRPr="00332AD5">
              <w:rPr>
                <w:b/>
              </w:rPr>
              <w:t xml:space="preserve">Description of Scenario </w:t>
            </w:r>
            <w:r>
              <w:rPr>
                <w:b/>
              </w:rPr>
              <w:t>1</w:t>
            </w:r>
          </w:p>
        </w:tc>
      </w:tr>
      <w:tr w:rsidR="00C47639" w:rsidRPr="00FD2055" w14:paraId="01C2D584" w14:textId="77777777" w:rsidTr="00C47639">
        <w:trPr>
          <w:tblHeader/>
        </w:trPr>
        <w:tc>
          <w:tcPr>
            <w:tcW w:w="5000" w:type="pct"/>
            <w:gridSpan w:val="3"/>
            <w:tcBorders>
              <w:bottom w:val="single" w:sz="4" w:space="0" w:color="auto"/>
            </w:tcBorders>
            <w:shd w:val="clear" w:color="auto" w:fill="auto"/>
            <w:tcMar>
              <w:top w:w="57" w:type="dxa"/>
              <w:bottom w:w="57" w:type="dxa"/>
            </w:tcMar>
          </w:tcPr>
          <w:p w14:paraId="0402FD7A" w14:textId="77777777" w:rsidR="00C47639" w:rsidRPr="008728A7" w:rsidRDefault="00C47639" w:rsidP="00C47639">
            <w:pPr>
              <w:spacing w:before="0" w:after="0"/>
            </w:pPr>
            <w:r w:rsidRPr="002A4F9D">
              <w:t>This scenario is based on the one available in the CAR</w:t>
            </w:r>
            <w:r>
              <w:t xml:space="preserve"> of </w:t>
            </w:r>
            <w:r w:rsidRPr="007874A0">
              <w:t>IR3535</w:t>
            </w:r>
            <w:r w:rsidRPr="007874A0">
              <w:rPr>
                <w:vertAlign w:val="superscript"/>
              </w:rPr>
              <w:t>®</w:t>
            </w:r>
            <w:r w:rsidRPr="002A4F9D">
              <w:t xml:space="preserve">. It has been updated with the </w:t>
            </w:r>
            <w:proofErr w:type="gramStart"/>
            <w:r w:rsidRPr="002A4F9D">
              <w:t>document :</w:t>
            </w:r>
            <w:proofErr w:type="gramEnd"/>
            <w:r w:rsidRPr="002A4F9D">
              <w:t xml:space="preserve"> Biocide Huma</w:t>
            </w:r>
            <w:r>
              <w:t>n Health Exposure Methodology (O</w:t>
            </w:r>
            <w:r w:rsidRPr="002A4F9D">
              <w:t>ct 2015).</w:t>
            </w:r>
          </w:p>
        </w:tc>
      </w:tr>
      <w:tr w:rsidR="00C47639" w:rsidRPr="00FD2055" w14:paraId="250F413A" w14:textId="77777777" w:rsidTr="00C47639">
        <w:trPr>
          <w:tblHeader/>
        </w:trPr>
        <w:tc>
          <w:tcPr>
            <w:tcW w:w="5000" w:type="pct"/>
            <w:gridSpan w:val="3"/>
            <w:tcBorders>
              <w:top w:val="single" w:sz="4" w:space="0" w:color="auto"/>
              <w:bottom w:val="nil"/>
            </w:tcBorders>
            <w:shd w:val="clear" w:color="auto" w:fill="auto"/>
            <w:tcMar>
              <w:top w:w="57" w:type="dxa"/>
              <w:bottom w:w="57" w:type="dxa"/>
            </w:tcMar>
          </w:tcPr>
          <w:p w14:paraId="2A85D22A" w14:textId="77777777" w:rsidR="00C47639" w:rsidRPr="00A81AEF" w:rsidRDefault="00C47639" w:rsidP="00C47639">
            <w:pPr>
              <w:spacing w:before="0" w:after="0"/>
              <w:rPr>
                <w:b/>
              </w:rPr>
            </w:pPr>
            <w:r w:rsidRPr="00A81AEF">
              <w:rPr>
                <w:b/>
              </w:rPr>
              <w:t xml:space="preserve">Dermal exposure: </w:t>
            </w:r>
          </w:p>
          <w:p w14:paraId="6ADC6B5A" w14:textId="77777777" w:rsidR="00C47639" w:rsidRPr="00A81AEF" w:rsidRDefault="00C47639" w:rsidP="00C47639">
            <w:pPr>
              <w:spacing w:before="0" w:after="0"/>
              <w:ind w:left="708"/>
              <w:rPr>
                <w:b/>
              </w:rPr>
            </w:pPr>
            <w:r w:rsidRPr="00A81AEF">
              <w:t xml:space="preserve">Number of application/day x amount </w:t>
            </w:r>
            <w:proofErr w:type="spellStart"/>
            <w:r w:rsidRPr="00A81AEF">
              <w:t>b.p</w:t>
            </w:r>
            <w:proofErr w:type="spellEnd"/>
            <w:r w:rsidRPr="00A81AEF">
              <w:t xml:space="preserve">./application x percent of </w:t>
            </w:r>
            <w:proofErr w:type="spellStart"/>
            <w:r w:rsidRPr="00A81AEF">
              <w:t>a.s</w:t>
            </w:r>
            <w:proofErr w:type="spellEnd"/>
            <w:r w:rsidRPr="00A81AEF">
              <w:t xml:space="preserve">. in </w:t>
            </w:r>
            <w:proofErr w:type="spellStart"/>
            <w:r w:rsidRPr="00A81AEF">
              <w:t>b.p</w:t>
            </w:r>
            <w:proofErr w:type="spellEnd"/>
            <w:r w:rsidRPr="00A81AEF">
              <w:t>.</w:t>
            </w:r>
          </w:p>
        </w:tc>
      </w:tr>
      <w:tr w:rsidR="00C47639" w:rsidRPr="00FD2055" w14:paraId="6DFE98CC" w14:textId="77777777" w:rsidTr="00C47639">
        <w:trPr>
          <w:tblHeader/>
        </w:trPr>
        <w:tc>
          <w:tcPr>
            <w:tcW w:w="5000" w:type="pct"/>
            <w:gridSpan w:val="3"/>
            <w:tcBorders>
              <w:top w:val="nil"/>
              <w:bottom w:val="nil"/>
            </w:tcBorders>
            <w:shd w:val="clear" w:color="auto" w:fill="auto"/>
            <w:tcMar>
              <w:top w:w="57" w:type="dxa"/>
              <w:bottom w:w="57" w:type="dxa"/>
            </w:tcMar>
          </w:tcPr>
          <w:p w14:paraId="55460657" w14:textId="77777777" w:rsidR="00C47639" w:rsidRPr="00A81AEF" w:rsidRDefault="00C47639" w:rsidP="00C47639">
            <w:pPr>
              <w:spacing w:before="0" w:after="0"/>
              <w:rPr>
                <w:b/>
              </w:rPr>
            </w:pPr>
            <w:r w:rsidRPr="00A81AEF">
              <w:rPr>
                <w:b/>
              </w:rPr>
              <w:t>Systemic exposure:</w:t>
            </w:r>
          </w:p>
          <w:p w14:paraId="7A6E2140" w14:textId="77777777" w:rsidR="00C47639" w:rsidRPr="00A81AEF" w:rsidRDefault="00C47639" w:rsidP="00C47639">
            <w:pPr>
              <w:spacing w:before="0" w:after="0"/>
              <w:ind w:left="708"/>
              <w:rPr>
                <w:b/>
              </w:rPr>
            </w:pPr>
            <w:r w:rsidRPr="00A81AEF">
              <w:t>Dermal exposure x percent of dermal absorption</w:t>
            </w:r>
          </w:p>
        </w:tc>
      </w:tr>
      <w:tr w:rsidR="00C47639" w:rsidRPr="00FD2055" w14:paraId="59503763" w14:textId="77777777" w:rsidTr="00C47639">
        <w:trPr>
          <w:tblHeader/>
        </w:trPr>
        <w:tc>
          <w:tcPr>
            <w:tcW w:w="5000" w:type="pct"/>
            <w:gridSpan w:val="3"/>
            <w:tcBorders>
              <w:top w:val="nil"/>
            </w:tcBorders>
            <w:shd w:val="clear" w:color="auto" w:fill="auto"/>
            <w:tcMar>
              <w:top w:w="57" w:type="dxa"/>
              <w:bottom w:w="57" w:type="dxa"/>
            </w:tcMar>
          </w:tcPr>
          <w:p w14:paraId="5B38B063" w14:textId="77777777" w:rsidR="00C47639" w:rsidRPr="00A81AEF" w:rsidRDefault="00C47639" w:rsidP="00C47639">
            <w:pPr>
              <w:spacing w:before="0" w:after="0"/>
              <w:rPr>
                <w:b/>
              </w:rPr>
            </w:pPr>
            <w:r w:rsidRPr="00A81AEF">
              <w:rPr>
                <w:b/>
              </w:rPr>
              <w:t xml:space="preserve">Dermal systemic exposure: </w:t>
            </w:r>
          </w:p>
          <w:p w14:paraId="28D39D8F" w14:textId="77777777" w:rsidR="00C47639" w:rsidRPr="00992444" w:rsidRDefault="00C47639" w:rsidP="00C47639">
            <w:pPr>
              <w:spacing w:before="0" w:after="0"/>
              <w:ind w:left="708"/>
              <w:rPr>
                <w:i/>
              </w:rPr>
            </w:pPr>
            <w:r w:rsidRPr="00A81AEF">
              <w:t>Systemic exposure / body weight</w:t>
            </w:r>
          </w:p>
        </w:tc>
      </w:tr>
      <w:tr w:rsidR="00C47639" w:rsidRPr="00FD2055" w14:paraId="02B01758" w14:textId="77777777" w:rsidTr="00C47639">
        <w:trPr>
          <w:tblHeader/>
        </w:trPr>
        <w:tc>
          <w:tcPr>
            <w:tcW w:w="1392" w:type="pct"/>
            <w:tcBorders>
              <w:top w:val="nil"/>
            </w:tcBorders>
            <w:shd w:val="clear" w:color="auto" w:fill="BFBFBF" w:themeFill="background1" w:themeFillShade="BF"/>
            <w:tcMar>
              <w:top w:w="57" w:type="dxa"/>
              <w:bottom w:w="57" w:type="dxa"/>
            </w:tcMar>
          </w:tcPr>
          <w:p w14:paraId="7569B2E5" w14:textId="77777777" w:rsidR="00C47639" w:rsidRPr="000B65BB" w:rsidRDefault="00C47639" w:rsidP="00C47639">
            <w:pPr>
              <w:pStyle w:val="Standaard-Tabellen"/>
            </w:pPr>
          </w:p>
        </w:tc>
        <w:tc>
          <w:tcPr>
            <w:tcW w:w="2877" w:type="pct"/>
            <w:shd w:val="clear" w:color="auto" w:fill="BFBFBF" w:themeFill="background1" w:themeFillShade="BF"/>
            <w:tcMar>
              <w:top w:w="57" w:type="dxa"/>
              <w:bottom w:w="57" w:type="dxa"/>
            </w:tcMar>
          </w:tcPr>
          <w:p w14:paraId="7300E48A" w14:textId="77777777" w:rsidR="00C47639" w:rsidRPr="000B65BB" w:rsidRDefault="00C47639" w:rsidP="00C47639">
            <w:pPr>
              <w:pStyle w:val="Standaard-Tabellen"/>
              <w:rPr>
                <w:b/>
              </w:rPr>
            </w:pPr>
            <w:r w:rsidRPr="000B65BB">
              <w:rPr>
                <w:b/>
              </w:rPr>
              <w:t>Parameters</w:t>
            </w:r>
          </w:p>
        </w:tc>
        <w:tc>
          <w:tcPr>
            <w:tcW w:w="731" w:type="pct"/>
            <w:shd w:val="clear" w:color="auto" w:fill="BFBFBF" w:themeFill="background1" w:themeFillShade="BF"/>
            <w:tcMar>
              <w:top w:w="57" w:type="dxa"/>
              <w:bottom w:w="57" w:type="dxa"/>
            </w:tcMar>
          </w:tcPr>
          <w:p w14:paraId="044C6AF6" w14:textId="77777777" w:rsidR="00C47639" w:rsidRPr="000B65BB" w:rsidRDefault="00C47639" w:rsidP="00C47639">
            <w:pPr>
              <w:pStyle w:val="Standaard-Tabellen"/>
              <w:rPr>
                <w:b/>
              </w:rPr>
            </w:pPr>
            <w:r w:rsidRPr="000B65BB">
              <w:rPr>
                <w:b/>
              </w:rPr>
              <w:t>Value</w:t>
            </w:r>
          </w:p>
        </w:tc>
      </w:tr>
      <w:tr w:rsidR="00C47639" w:rsidRPr="00FD2055" w14:paraId="41CD8B7A" w14:textId="77777777" w:rsidTr="00C47639">
        <w:trPr>
          <w:tblHeader/>
        </w:trPr>
        <w:tc>
          <w:tcPr>
            <w:tcW w:w="1392" w:type="pct"/>
            <w:vMerge w:val="restart"/>
            <w:tcMar>
              <w:top w:w="57" w:type="dxa"/>
              <w:bottom w:w="57" w:type="dxa"/>
            </w:tcMar>
          </w:tcPr>
          <w:p w14:paraId="387C3262" w14:textId="77777777" w:rsidR="00C47639" w:rsidRPr="000B65BB" w:rsidRDefault="00C47639" w:rsidP="00C47639">
            <w:pPr>
              <w:pStyle w:val="Standaard-Tabellen"/>
            </w:pPr>
            <w:r w:rsidRPr="000B65BB">
              <w:t>For All categories</w:t>
            </w:r>
          </w:p>
        </w:tc>
        <w:tc>
          <w:tcPr>
            <w:tcW w:w="2877" w:type="pct"/>
            <w:shd w:val="clear" w:color="auto" w:fill="auto"/>
            <w:tcMar>
              <w:top w:w="57" w:type="dxa"/>
              <w:bottom w:w="57" w:type="dxa"/>
            </w:tcMar>
          </w:tcPr>
          <w:p w14:paraId="0FA5A1EA" w14:textId="77777777" w:rsidR="00C47639" w:rsidRPr="000B65BB" w:rsidRDefault="00C47639" w:rsidP="00C47639">
            <w:pPr>
              <w:pStyle w:val="Standaard-Tabellen"/>
            </w:pPr>
            <w:r w:rsidRPr="000B65BB">
              <w:t>Dermal absorption</w:t>
            </w:r>
            <w:r w:rsidRPr="000B65BB">
              <w:rPr>
                <w:vertAlign w:val="superscript"/>
              </w:rPr>
              <w:t>1</w:t>
            </w:r>
          </w:p>
        </w:tc>
        <w:tc>
          <w:tcPr>
            <w:tcW w:w="731" w:type="pct"/>
            <w:shd w:val="clear" w:color="auto" w:fill="auto"/>
            <w:tcMar>
              <w:top w:w="57" w:type="dxa"/>
              <w:bottom w:w="57" w:type="dxa"/>
            </w:tcMar>
          </w:tcPr>
          <w:p w14:paraId="60413CFC" w14:textId="77777777" w:rsidR="00C47639" w:rsidRPr="000B65BB" w:rsidRDefault="00C47639" w:rsidP="00C47639">
            <w:pPr>
              <w:pStyle w:val="Standaard-Tabellen"/>
            </w:pPr>
            <w:r w:rsidRPr="000B65BB">
              <w:t>14%</w:t>
            </w:r>
          </w:p>
        </w:tc>
      </w:tr>
      <w:tr w:rsidR="00C47639" w:rsidRPr="00FD2055" w14:paraId="6C2CF66A" w14:textId="77777777" w:rsidTr="00C47639">
        <w:trPr>
          <w:tblHeader/>
        </w:trPr>
        <w:tc>
          <w:tcPr>
            <w:tcW w:w="1392" w:type="pct"/>
            <w:vMerge/>
            <w:tcMar>
              <w:top w:w="57" w:type="dxa"/>
              <w:bottom w:w="57" w:type="dxa"/>
            </w:tcMar>
          </w:tcPr>
          <w:p w14:paraId="056CB1CC" w14:textId="77777777" w:rsidR="00C47639" w:rsidRPr="000B65BB" w:rsidRDefault="00C47639" w:rsidP="00C47639">
            <w:pPr>
              <w:pStyle w:val="Standaard-Tabellen"/>
            </w:pPr>
          </w:p>
        </w:tc>
        <w:tc>
          <w:tcPr>
            <w:tcW w:w="2877" w:type="pct"/>
            <w:shd w:val="clear" w:color="auto" w:fill="auto"/>
            <w:tcMar>
              <w:top w:w="57" w:type="dxa"/>
              <w:bottom w:w="57" w:type="dxa"/>
            </w:tcMar>
          </w:tcPr>
          <w:p w14:paraId="35ED96DB" w14:textId="77777777" w:rsidR="00C47639" w:rsidRPr="000B65BB" w:rsidRDefault="00C47639" w:rsidP="00C47639">
            <w:pPr>
              <w:pStyle w:val="Standaard-Tabellen"/>
            </w:pPr>
            <w:r w:rsidRPr="000B65BB">
              <w:t>% of active substance in biocidal product</w:t>
            </w:r>
            <w:r w:rsidRPr="000B65BB">
              <w:rPr>
                <w:vertAlign w:val="superscript"/>
              </w:rPr>
              <w:t>1</w:t>
            </w:r>
            <w:r w:rsidRPr="000B65BB">
              <w:t xml:space="preserve"> </w:t>
            </w:r>
          </w:p>
        </w:tc>
        <w:tc>
          <w:tcPr>
            <w:tcW w:w="731" w:type="pct"/>
            <w:shd w:val="clear" w:color="auto" w:fill="auto"/>
            <w:tcMar>
              <w:top w:w="57" w:type="dxa"/>
              <w:bottom w:w="57" w:type="dxa"/>
            </w:tcMar>
          </w:tcPr>
          <w:p w14:paraId="76C12ECA" w14:textId="77777777" w:rsidR="00C47639" w:rsidRPr="000B65BB" w:rsidRDefault="00C47639" w:rsidP="00C47639">
            <w:pPr>
              <w:pStyle w:val="Standaard-Tabellen"/>
            </w:pPr>
            <w:r w:rsidRPr="000B65BB">
              <w:t>20%</w:t>
            </w:r>
          </w:p>
        </w:tc>
      </w:tr>
      <w:tr w:rsidR="00C47639" w:rsidRPr="00FD2055" w14:paraId="038C0C00" w14:textId="77777777" w:rsidTr="00C47639">
        <w:trPr>
          <w:tblHeader/>
        </w:trPr>
        <w:tc>
          <w:tcPr>
            <w:tcW w:w="1392" w:type="pct"/>
            <w:vMerge w:val="restart"/>
            <w:tcMar>
              <w:top w:w="57" w:type="dxa"/>
              <w:bottom w:w="57" w:type="dxa"/>
            </w:tcMar>
          </w:tcPr>
          <w:p w14:paraId="13F6243E" w14:textId="77777777" w:rsidR="00C47639" w:rsidRPr="000B65BB" w:rsidRDefault="00C47639" w:rsidP="00C47639">
            <w:pPr>
              <w:pStyle w:val="Standaard-Tabellen"/>
            </w:pPr>
            <w:r w:rsidRPr="000B65BB">
              <w:t>Tier 1- Adult</w:t>
            </w:r>
          </w:p>
        </w:tc>
        <w:tc>
          <w:tcPr>
            <w:tcW w:w="2877" w:type="pct"/>
            <w:shd w:val="clear" w:color="auto" w:fill="auto"/>
            <w:tcMar>
              <w:top w:w="57" w:type="dxa"/>
              <w:bottom w:w="57" w:type="dxa"/>
            </w:tcMar>
          </w:tcPr>
          <w:p w14:paraId="64D90902" w14:textId="77777777" w:rsidR="00C47639" w:rsidRPr="000B65BB" w:rsidRDefault="00C47639" w:rsidP="00C47639">
            <w:pPr>
              <w:pStyle w:val="Standaard-Tabellen"/>
            </w:pPr>
            <w:r w:rsidRPr="000B65BB">
              <w:t>Number of application / day</w:t>
            </w:r>
            <w:r w:rsidRPr="000B65BB">
              <w:rPr>
                <w:vertAlign w:val="superscript"/>
              </w:rPr>
              <w:t>1</w:t>
            </w:r>
            <w:r w:rsidRPr="000B65BB">
              <w:t xml:space="preserve"> </w:t>
            </w:r>
          </w:p>
        </w:tc>
        <w:tc>
          <w:tcPr>
            <w:tcW w:w="731" w:type="pct"/>
            <w:shd w:val="clear" w:color="auto" w:fill="auto"/>
            <w:tcMar>
              <w:top w:w="57" w:type="dxa"/>
              <w:bottom w:w="57" w:type="dxa"/>
            </w:tcMar>
          </w:tcPr>
          <w:p w14:paraId="753B6B30" w14:textId="77777777" w:rsidR="00C47639" w:rsidRPr="000B65BB" w:rsidRDefault="00C47639" w:rsidP="00C47639">
            <w:pPr>
              <w:pStyle w:val="Standaard-Tabellen"/>
            </w:pPr>
            <w:r w:rsidRPr="000B65BB">
              <w:t>3</w:t>
            </w:r>
          </w:p>
        </w:tc>
      </w:tr>
      <w:tr w:rsidR="00C47639" w:rsidRPr="00FD2055" w14:paraId="0F3807FE" w14:textId="77777777" w:rsidTr="00C47639">
        <w:trPr>
          <w:tblHeader/>
        </w:trPr>
        <w:tc>
          <w:tcPr>
            <w:tcW w:w="1392" w:type="pct"/>
            <w:vMerge/>
            <w:tcMar>
              <w:top w:w="57" w:type="dxa"/>
              <w:bottom w:w="57" w:type="dxa"/>
            </w:tcMar>
          </w:tcPr>
          <w:p w14:paraId="2EB4FD58" w14:textId="77777777" w:rsidR="00C47639" w:rsidRPr="000B65BB" w:rsidRDefault="00C47639" w:rsidP="00C47639">
            <w:pPr>
              <w:pStyle w:val="Standaard-Tabellen"/>
            </w:pPr>
          </w:p>
        </w:tc>
        <w:tc>
          <w:tcPr>
            <w:tcW w:w="2877" w:type="pct"/>
            <w:shd w:val="clear" w:color="auto" w:fill="auto"/>
            <w:tcMar>
              <w:top w:w="57" w:type="dxa"/>
              <w:bottom w:w="57" w:type="dxa"/>
            </w:tcMar>
          </w:tcPr>
          <w:p w14:paraId="7067EC49" w14:textId="77777777" w:rsidR="00C47639" w:rsidRPr="000B65BB" w:rsidRDefault="00C47639" w:rsidP="00C47639">
            <w:pPr>
              <w:pStyle w:val="Standaard-Tabellen"/>
            </w:pPr>
            <w:r w:rsidRPr="000B65BB">
              <w:t>Body weight</w:t>
            </w:r>
            <w:r w:rsidRPr="000B65BB">
              <w:rPr>
                <w:vertAlign w:val="superscript"/>
              </w:rPr>
              <w:t>1</w:t>
            </w:r>
          </w:p>
        </w:tc>
        <w:tc>
          <w:tcPr>
            <w:tcW w:w="731" w:type="pct"/>
            <w:shd w:val="clear" w:color="auto" w:fill="auto"/>
            <w:tcMar>
              <w:top w:w="57" w:type="dxa"/>
              <w:bottom w:w="57" w:type="dxa"/>
            </w:tcMar>
          </w:tcPr>
          <w:p w14:paraId="5DE0AC1F" w14:textId="77777777" w:rsidR="00C47639" w:rsidRPr="000B65BB" w:rsidRDefault="00C47639" w:rsidP="00C47639">
            <w:pPr>
              <w:pStyle w:val="Standaard-Tabellen"/>
            </w:pPr>
            <w:r w:rsidRPr="000B65BB">
              <w:t>60 kg</w:t>
            </w:r>
          </w:p>
        </w:tc>
      </w:tr>
      <w:tr w:rsidR="00C47639" w:rsidRPr="00FD2055" w14:paraId="67635843" w14:textId="77777777" w:rsidTr="00C47639">
        <w:trPr>
          <w:tblHeader/>
        </w:trPr>
        <w:tc>
          <w:tcPr>
            <w:tcW w:w="1392" w:type="pct"/>
            <w:vMerge/>
            <w:tcMar>
              <w:top w:w="57" w:type="dxa"/>
              <w:bottom w:w="57" w:type="dxa"/>
            </w:tcMar>
          </w:tcPr>
          <w:p w14:paraId="73974FDF" w14:textId="77777777" w:rsidR="00C47639" w:rsidRPr="000B65BB" w:rsidRDefault="00C47639" w:rsidP="00C47639">
            <w:pPr>
              <w:pStyle w:val="Standaard-Tabellen"/>
            </w:pPr>
          </w:p>
        </w:tc>
        <w:tc>
          <w:tcPr>
            <w:tcW w:w="2877" w:type="pct"/>
            <w:shd w:val="clear" w:color="auto" w:fill="auto"/>
            <w:tcMar>
              <w:top w:w="57" w:type="dxa"/>
              <w:bottom w:w="57" w:type="dxa"/>
            </w:tcMar>
          </w:tcPr>
          <w:p w14:paraId="0EE00B7C" w14:textId="77777777" w:rsidR="00C47639" w:rsidRPr="000B65BB" w:rsidRDefault="00C47639" w:rsidP="00C47639">
            <w:pPr>
              <w:pStyle w:val="Standaard-Tabellen"/>
            </w:pPr>
            <w:r w:rsidRPr="000B65BB">
              <w:t>Amount of biocidal product/ application</w:t>
            </w:r>
            <w:r>
              <w:rPr>
                <w:vertAlign w:val="superscript"/>
              </w:rPr>
              <w:t>1</w:t>
            </w:r>
          </w:p>
        </w:tc>
        <w:tc>
          <w:tcPr>
            <w:tcW w:w="731" w:type="pct"/>
            <w:shd w:val="clear" w:color="auto" w:fill="auto"/>
            <w:tcMar>
              <w:top w:w="57" w:type="dxa"/>
              <w:bottom w:w="57" w:type="dxa"/>
            </w:tcMar>
          </w:tcPr>
          <w:p w14:paraId="4425560F" w14:textId="77777777" w:rsidR="00C47639" w:rsidRPr="000B65BB" w:rsidRDefault="00C47639" w:rsidP="00C47639">
            <w:pPr>
              <w:pStyle w:val="Standaard-Tabellen"/>
            </w:pPr>
            <w:r>
              <w:t xml:space="preserve">6.12 </w:t>
            </w:r>
            <w:r w:rsidRPr="000B65BB">
              <w:t>g</w:t>
            </w:r>
          </w:p>
        </w:tc>
      </w:tr>
      <w:tr w:rsidR="00C47639" w:rsidRPr="00FD2055" w14:paraId="54F847E8" w14:textId="77777777" w:rsidTr="00C47639">
        <w:trPr>
          <w:tblHeader/>
        </w:trPr>
        <w:tc>
          <w:tcPr>
            <w:tcW w:w="1392" w:type="pct"/>
            <w:vMerge w:val="restart"/>
            <w:tcMar>
              <w:top w:w="57" w:type="dxa"/>
              <w:bottom w:w="57" w:type="dxa"/>
            </w:tcMar>
          </w:tcPr>
          <w:p w14:paraId="693DE1DF" w14:textId="77777777" w:rsidR="00C47639" w:rsidRPr="000B65BB" w:rsidRDefault="00C47639" w:rsidP="00C47639">
            <w:pPr>
              <w:pStyle w:val="Standaard-Tabellen"/>
            </w:pPr>
            <w:r w:rsidRPr="000B65BB">
              <w:t xml:space="preserve">Tier 1- </w:t>
            </w:r>
            <w:r w:rsidRPr="00994E49">
              <w:t>C</w:t>
            </w:r>
            <w:r>
              <w:t>hild</w:t>
            </w:r>
            <w:r w:rsidRPr="00994E49">
              <w:t xml:space="preserve"> 6 to &lt; 12 years old</w:t>
            </w:r>
          </w:p>
        </w:tc>
        <w:tc>
          <w:tcPr>
            <w:tcW w:w="2877" w:type="pct"/>
            <w:shd w:val="clear" w:color="auto" w:fill="auto"/>
            <w:tcMar>
              <w:top w:w="57" w:type="dxa"/>
              <w:bottom w:w="57" w:type="dxa"/>
            </w:tcMar>
          </w:tcPr>
          <w:p w14:paraId="060F188F" w14:textId="77777777" w:rsidR="00C47639" w:rsidRPr="000B65BB" w:rsidRDefault="00C47639" w:rsidP="00C47639">
            <w:pPr>
              <w:pStyle w:val="Standaard-Tabellen"/>
            </w:pPr>
            <w:r w:rsidRPr="000B65BB">
              <w:t>Number of application / day</w:t>
            </w:r>
            <w:r w:rsidRPr="000B65BB">
              <w:rPr>
                <w:vertAlign w:val="superscript"/>
              </w:rPr>
              <w:t>1</w:t>
            </w:r>
          </w:p>
        </w:tc>
        <w:tc>
          <w:tcPr>
            <w:tcW w:w="731" w:type="pct"/>
            <w:shd w:val="clear" w:color="auto" w:fill="auto"/>
            <w:tcMar>
              <w:top w:w="57" w:type="dxa"/>
              <w:bottom w:w="57" w:type="dxa"/>
            </w:tcMar>
          </w:tcPr>
          <w:p w14:paraId="0C2DD2AF" w14:textId="77777777" w:rsidR="00C47639" w:rsidRPr="000B65BB" w:rsidRDefault="00C47639" w:rsidP="00C47639">
            <w:pPr>
              <w:pStyle w:val="Standaard-Tabellen"/>
            </w:pPr>
            <w:r w:rsidRPr="000B65BB">
              <w:t>2</w:t>
            </w:r>
          </w:p>
        </w:tc>
      </w:tr>
      <w:tr w:rsidR="00C47639" w:rsidRPr="00FD2055" w14:paraId="509CC556" w14:textId="77777777" w:rsidTr="00C47639">
        <w:trPr>
          <w:tblHeader/>
        </w:trPr>
        <w:tc>
          <w:tcPr>
            <w:tcW w:w="1392" w:type="pct"/>
            <w:vMerge/>
            <w:tcMar>
              <w:top w:w="57" w:type="dxa"/>
              <w:bottom w:w="57" w:type="dxa"/>
            </w:tcMar>
          </w:tcPr>
          <w:p w14:paraId="53EB824C" w14:textId="77777777" w:rsidR="00C47639" w:rsidRPr="000B65BB" w:rsidRDefault="00C47639" w:rsidP="00C47639">
            <w:pPr>
              <w:pStyle w:val="Standaard-Tabellen"/>
            </w:pPr>
          </w:p>
        </w:tc>
        <w:tc>
          <w:tcPr>
            <w:tcW w:w="2877" w:type="pct"/>
            <w:shd w:val="clear" w:color="auto" w:fill="auto"/>
            <w:tcMar>
              <w:top w:w="57" w:type="dxa"/>
              <w:bottom w:w="57" w:type="dxa"/>
            </w:tcMar>
          </w:tcPr>
          <w:p w14:paraId="0CF2707C" w14:textId="77777777" w:rsidR="00C47639" w:rsidRPr="000B65BB" w:rsidRDefault="00C47639" w:rsidP="00C47639">
            <w:pPr>
              <w:pStyle w:val="Standaard-Tabellen"/>
            </w:pPr>
            <w:r w:rsidRPr="000B65BB">
              <w:t>Body weight</w:t>
            </w:r>
            <w:r w:rsidRPr="000B65BB">
              <w:rPr>
                <w:vertAlign w:val="superscript"/>
              </w:rPr>
              <w:t>1</w:t>
            </w:r>
            <w:r w:rsidRPr="000B65BB">
              <w:t xml:space="preserve"> </w:t>
            </w:r>
          </w:p>
        </w:tc>
        <w:tc>
          <w:tcPr>
            <w:tcW w:w="731" w:type="pct"/>
            <w:shd w:val="clear" w:color="auto" w:fill="auto"/>
            <w:tcMar>
              <w:top w:w="57" w:type="dxa"/>
              <w:bottom w:w="57" w:type="dxa"/>
            </w:tcMar>
          </w:tcPr>
          <w:p w14:paraId="4BD1F47A" w14:textId="77777777" w:rsidR="00C47639" w:rsidRPr="000B65BB" w:rsidRDefault="00C47639" w:rsidP="00C47639">
            <w:pPr>
              <w:pStyle w:val="Standaard-Tabellen"/>
            </w:pPr>
            <w:r w:rsidRPr="000B65BB">
              <w:t>23</w:t>
            </w:r>
            <w:r>
              <w:t>.</w:t>
            </w:r>
            <w:r w:rsidRPr="000B65BB">
              <w:t>9 kg</w:t>
            </w:r>
          </w:p>
        </w:tc>
      </w:tr>
      <w:tr w:rsidR="00C47639" w:rsidRPr="00FD2055" w14:paraId="6CC3541C" w14:textId="77777777" w:rsidTr="00C47639">
        <w:trPr>
          <w:tblHeader/>
        </w:trPr>
        <w:tc>
          <w:tcPr>
            <w:tcW w:w="1392" w:type="pct"/>
            <w:vMerge/>
            <w:tcMar>
              <w:top w:w="57" w:type="dxa"/>
              <w:bottom w:w="57" w:type="dxa"/>
            </w:tcMar>
          </w:tcPr>
          <w:p w14:paraId="294B45FE" w14:textId="77777777" w:rsidR="00C47639" w:rsidRPr="000B65BB" w:rsidRDefault="00C47639" w:rsidP="00C47639">
            <w:pPr>
              <w:pStyle w:val="Standaard-Tabellen"/>
            </w:pPr>
          </w:p>
        </w:tc>
        <w:tc>
          <w:tcPr>
            <w:tcW w:w="2877" w:type="pct"/>
            <w:shd w:val="clear" w:color="auto" w:fill="auto"/>
            <w:tcMar>
              <w:top w:w="57" w:type="dxa"/>
              <w:bottom w:w="57" w:type="dxa"/>
            </w:tcMar>
          </w:tcPr>
          <w:p w14:paraId="47C8DB45" w14:textId="77777777" w:rsidR="00C47639" w:rsidRPr="000B65BB" w:rsidRDefault="00C47639" w:rsidP="00C47639">
            <w:pPr>
              <w:pStyle w:val="Standaard-Tabellen"/>
            </w:pPr>
            <w:r w:rsidRPr="000B65BB">
              <w:t>Amount of biocidal product/ application</w:t>
            </w:r>
            <w:r w:rsidRPr="000B65BB">
              <w:rPr>
                <w:vertAlign w:val="superscript"/>
              </w:rPr>
              <w:t>1</w:t>
            </w:r>
          </w:p>
        </w:tc>
        <w:tc>
          <w:tcPr>
            <w:tcW w:w="731" w:type="pct"/>
            <w:shd w:val="clear" w:color="auto" w:fill="auto"/>
            <w:tcMar>
              <w:top w:w="57" w:type="dxa"/>
              <w:bottom w:w="57" w:type="dxa"/>
            </w:tcMar>
          </w:tcPr>
          <w:p w14:paraId="7F90B02B" w14:textId="77777777" w:rsidR="00C47639" w:rsidRPr="000B65BB" w:rsidRDefault="00C47639" w:rsidP="00C47639">
            <w:pPr>
              <w:pStyle w:val="Standaard-Tabellen"/>
            </w:pPr>
            <w:r>
              <w:t xml:space="preserve">3.39 </w:t>
            </w:r>
            <w:r w:rsidRPr="000B65BB">
              <w:t>g</w:t>
            </w:r>
          </w:p>
        </w:tc>
      </w:tr>
      <w:tr w:rsidR="00C47639" w:rsidRPr="00FD2055" w14:paraId="255F8653" w14:textId="77777777" w:rsidTr="00C47639">
        <w:trPr>
          <w:tblHeader/>
        </w:trPr>
        <w:tc>
          <w:tcPr>
            <w:tcW w:w="1392" w:type="pct"/>
            <w:vMerge w:val="restart"/>
            <w:tcMar>
              <w:top w:w="57" w:type="dxa"/>
              <w:bottom w:w="57" w:type="dxa"/>
            </w:tcMar>
          </w:tcPr>
          <w:p w14:paraId="1C7EA4FE" w14:textId="77777777" w:rsidR="00C47639" w:rsidRPr="000B65BB" w:rsidRDefault="00C47639" w:rsidP="00C47639">
            <w:pPr>
              <w:pStyle w:val="Standaard-Tabellen"/>
            </w:pPr>
            <w:r w:rsidRPr="000B65BB">
              <w:t xml:space="preserve">Tier 1- </w:t>
            </w:r>
            <w:r w:rsidRPr="00994E49">
              <w:t>C</w:t>
            </w:r>
            <w:r>
              <w:t>hild</w:t>
            </w:r>
            <w:r w:rsidRPr="00994E49">
              <w:t xml:space="preserve"> </w:t>
            </w:r>
            <w:r>
              <w:t>2 to &lt; 6</w:t>
            </w:r>
            <w:r w:rsidRPr="00994E49">
              <w:t xml:space="preserve"> years old</w:t>
            </w:r>
          </w:p>
        </w:tc>
        <w:tc>
          <w:tcPr>
            <w:tcW w:w="2877" w:type="pct"/>
            <w:shd w:val="clear" w:color="auto" w:fill="auto"/>
            <w:tcMar>
              <w:top w:w="57" w:type="dxa"/>
              <w:bottom w:w="57" w:type="dxa"/>
            </w:tcMar>
          </w:tcPr>
          <w:p w14:paraId="418C70A0" w14:textId="77777777" w:rsidR="00C47639" w:rsidRPr="000B65BB" w:rsidRDefault="00C47639" w:rsidP="00C47639">
            <w:pPr>
              <w:pStyle w:val="Standaard-Tabellen"/>
            </w:pPr>
            <w:r w:rsidRPr="000B65BB">
              <w:t>Number of application / day</w:t>
            </w:r>
            <w:r w:rsidRPr="000B65BB">
              <w:rPr>
                <w:vertAlign w:val="superscript"/>
              </w:rPr>
              <w:t>1</w:t>
            </w:r>
          </w:p>
        </w:tc>
        <w:tc>
          <w:tcPr>
            <w:tcW w:w="731" w:type="pct"/>
            <w:shd w:val="clear" w:color="auto" w:fill="auto"/>
            <w:tcMar>
              <w:top w:w="57" w:type="dxa"/>
              <w:bottom w:w="57" w:type="dxa"/>
            </w:tcMar>
          </w:tcPr>
          <w:p w14:paraId="43C9877C" w14:textId="77777777" w:rsidR="00C47639" w:rsidDel="00994E49" w:rsidRDefault="00C47639" w:rsidP="00C47639">
            <w:pPr>
              <w:pStyle w:val="Standaard-Tabellen"/>
            </w:pPr>
            <w:r w:rsidRPr="000B65BB">
              <w:t>2</w:t>
            </w:r>
          </w:p>
        </w:tc>
      </w:tr>
      <w:tr w:rsidR="00C47639" w:rsidRPr="00FD2055" w14:paraId="4F7CCD46" w14:textId="77777777" w:rsidTr="00C47639">
        <w:trPr>
          <w:tblHeader/>
        </w:trPr>
        <w:tc>
          <w:tcPr>
            <w:tcW w:w="1392" w:type="pct"/>
            <w:vMerge/>
            <w:tcMar>
              <w:top w:w="57" w:type="dxa"/>
              <w:bottom w:w="57" w:type="dxa"/>
            </w:tcMar>
          </w:tcPr>
          <w:p w14:paraId="5CB0F5AB" w14:textId="77777777" w:rsidR="00C47639" w:rsidRPr="000B65BB" w:rsidRDefault="00C47639" w:rsidP="00C47639">
            <w:pPr>
              <w:pStyle w:val="Standaard-Tabellen"/>
            </w:pPr>
          </w:p>
        </w:tc>
        <w:tc>
          <w:tcPr>
            <w:tcW w:w="2877" w:type="pct"/>
            <w:shd w:val="clear" w:color="auto" w:fill="auto"/>
            <w:tcMar>
              <w:top w:w="57" w:type="dxa"/>
              <w:bottom w:w="57" w:type="dxa"/>
            </w:tcMar>
          </w:tcPr>
          <w:p w14:paraId="0BCD80F5" w14:textId="77777777" w:rsidR="00C47639" w:rsidRPr="000B65BB" w:rsidRDefault="00C47639" w:rsidP="00C47639">
            <w:pPr>
              <w:pStyle w:val="Standaard-Tabellen"/>
            </w:pPr>
            <w:r w:rsidRPr="000B65BB">
              <w:t>Body weight</w:t>
            </w:r>
            <w:r w:rsidRPr="000B65BB">
              <w:rPr>
                <w:vertAlign w:val="superscript"/>
              </w:rPr>
              <w:t>1</w:t>
            </w:r>
            <w:r w:rsidRPr="000B65BB">
              <w:t xml:space="preserve"> </w:t>
            </w:r>
          </w:p>
        </w:tc>
        <w:tc>
          <w:tcPr>
            <w:tcW w:w="731" w:type="pct"/>
            <w:shd w:val="clear" w:color="auto" w:fill="auto"/>
            <w:tcMar>
              <w:top w:w="57" w:type="dxa"/>
              <w:bottom w:w="57" w:type="dxa"/>
            </w:tcMar>
          </w:tcPr>
          <w:p w14:paraId="65D8F6B1" w14:textId="77777777" w:rsidR="00C47639" w:rsidDel="00994E49" w:rsidRDefault="00C47639" w:rsidP="00C47639">
            <w:pPr>
              <w:pStyle w:val="Standaard-Tabellen"/>
            </w:pPr>
            <w:r>
              <w:t>15.6</w:t>
            </w:r>
            <w:r w:rsidRPr="000B65BB">
              <w:t xml:space="preserve"> kg</w:t>
            </w:r>
          </w:p>
        </w:tc>
      </w:tr>
      <w:tr w:rsidR="00C47639" w:rsidRPr="00FD2055" w14:paraId="27160DB5" w14:textId="77777777" w:rsidTr="00C47639">
        <w:trPr>
          <w:tblHeader/>
        </w:trPr>
        <w:tc>
          <w:tcPr>
            <w:tcW w:w="1392" w:type="pct"/>
            <w:vMerge/>
            <w:tcMar>
              <w:top w:w="57" w:type="dxa"/>
              <w:bottom w:w="57" w:type="dxa"/>
            </w:tcMar>
          </w:tcPr>
          <w:p w14:paraId="01DBE2A1" w14:textId="77777777" w:rsidR="00C47639" w:rsidRPr="000B65BB" w:rsidRDefault="00C47639" w:rsidP="00C47639">
            <w:pPr>
              <w:pStyle w:val="Standaard-Tabellen"/>
            </w:pPr>
          </w:p>
        </w:tc>
        <w:tc>
          <w:tcPr>
            <w:tcW w:w="2877" w:type="pct"/>
            <w:shd w:val="clear" w:color="auto" w:fill="auto"/>
            <w:tcMar>
              <w:top w:w="57" w:type="dxa"/>
              <w:bottom w:w="57" w:type="dxa"/>
            </w:tcMar>
          </w:tcPr>
          <w:p w14:paraId="6B91F90D" w14:textId="77777777" w:rsidR="00C47639" w:rsidRPr="000B65BB" w:rsidRDefault="00C47639" w:rsidP="00C47639">
            <w:pPr>
              <w:pStyle w:val="Standaard-Tabellen"/>
            </w:pPr>
            <w:r w:rsidRPr="000B65BB">
              <w:t>Amount of biocidal product/ application</w:t>
            </w:r>
            <w:r w:rsidRPr="000B65BB">
              <w:rPr>
                <w:vertAlign w:val="superscript"/>
              </w:rPr>
              <w:t>1</w:t>
            </w:r>
          </w:p>
        </w:tc>
        <w:tc>
          <w:tcPr>
            <w:tcW w:w="731" w:type="pct"/>
            <w:shd w:val="clear" w:color="auto" w:fill="auto"/>
            <w:tcMar>
              <w:top w:w="57" w:type="dxa"/>
              <w:bottom w:w="57" w:type="dxa"/>
            </w:tcMar>
          </w:tcPr>
          <w:p w14:paraId="5A0C5B43" w14:textId="77777777" w:rsidR="00C47639" w:rsidDel="00994E49" w:rsidRDefault="00C47639" w:rsidP="00C47639">
            <w:pPr>
              <w:pStyle w:val="Standaard-Tabellen"/>
            </w:pPr>
            <w:r>
              <w:t xml:space="preserve">2.51 </w:t>
            </w:r>
            <w:r w:rsidRPr="000B65BB">
              <w:t>g</w:t>
            </w:r>
          </w:p>
        </w:tc>
      </w:tr>
      <w:tr w:rsidR="00C47639" w:rsidRPr="00FD2055" w14:paraId="554129E0" w14:textId="77777777" w:rsidTr="00C47639">
        <w:trPr>
          <w:tblHeader/>
        </w:trPr>
        <w:tc>
          <w:tcPr>
            <w:tcW w:w="1392" w:type="pct"/>
            <w:vMerge w:val="restart"/>
            <w:tcMar>
              <w:top w:w="57" w:type="dxa"/>
              <w:bottom w:w="57" w:type="dxa"/>
            </w:tcMar>
          </w:tcPr>
          <w:p w14:paraId="14188F9B" w14:textId="77777777" w:rsidR="00C47639" w:rsidRPr="000B65BB" w:rsidRDefault="00C47639" w:rsidP="00C47639">
            <w:pPr>
              <w:pStyle w:val="Standaard-Tabellen"/>
            </w:pPr>
            <w:r w:rsidRPr="000B65BB">
              <w:t>Tier 1- Toddler</w:t>
            </w:r>
          </w:p>
        </w:tc>
        <w:tc>
          <w:tcPr>
            <w:tcW w:w="2877" w:type="pct"/>
            <w:shd w:val="clear" w:color="auto" w:fill="auto"/>
            <w:tcMar>
              <w:top w:w="57" w:type="dxa"/>
              <w:bottom w:w="57" w:type="dxa"/>
            </w:tcMar>
          </w:tcPr>
          <w:p w14:paraId="0D49DF4A" w14:textId="77777777" w:rsidR="00C47639" w:rsidRPr="000B65BB" w:rsidRDefault="00C47639" w:rsidP="00C47639">
            <w:pPr>
              <w:pStyle w:val="Standaard-Tabellen"/>
            </w:pPr>
            <w:r w:rsidRPr="000B65BB">
              <w:t>Number of application / day</w:t>
            </w:r>
            <w:r w:rsidRPr="000B65BB">
              <w:rPr>
                <w:vertAlign w:val="superscript"/>
              </w:rPr>
              <w:t>1</w:t>
            </w:r>
          </w:p>
        </w:tc>
        <w:tc>
          <w:tcPr>
            <w:tcW w:w="731" w:type="pct"/>
            <w:shd w:val="clear" w:color="auto" w:fill="auto"/>
            <w:tcMar>
              <w:top w:w="57" w:type="dxa"/>
              <w:bottom w:w="57" w:type="dxa"/>
            </w:tcMar>
          </w:tcPr>
          <w:p w14:paraId="6607D347" w14:textId="77777777" w:rsidR="00C47639" w:rsidRPr="000B65BB" w:rsidRDefault="00C47639" w:rsidP="00C47639">
            <w:pPr>
              <w:pStyle w:val="Standaard-Tabellen"/>
            </w:pPr>
            <w:r w:rsidRPr="000B65BB">
              <w:t>1</w:t>
            </w:r>
          </w:p>
        </w:tc>
      </w:tr>
      <w:tr w:rsidR="00C47639" w:rsidRPr="00FD2055" w14:paraId="557B48C9" w14:textId="77777777" w:rsidTr="00C47639">
        <w:trPr>
          <w:tblHeader/>
        </w:trPr>
        <w:tc>
          <w:tcPr>
            <w:tcW w:w="1392" w:type="pct"/>
            <w:vMerge/>
            <w:tcMar>
              <w:top w:w="57" w:type="dxa"/>
              <w:bottom w:w="57" w:type="dxa"/>
            </w:tcMar>
          </w:tcPr>
          <w:p w14:paraId="3FF06379" w14:textId="77777777" w:rsidR="00C47639" w:rsidRPr="000B65BB" w:rsidRDefault="00C47639" w:rsidP="00C47639">
            <w:pPr>
              <w:pStyle w:val="Standaard-Tabellen"/>
            </w:pPr>
          </w:p>
        </w:tc>
        <w:tc>
          <w:tcPr>
            <w:tcW w:w="2877" w:type="pct"/>
            <w:shd w:val="clear" w:color="auto" w:fill="auto"/>
            <w:tcMar>
              <w:top w:w="57" w:type="dxa"/>
              <w:bottom w:w="57" w:type="dxa"/>
            </w:tcMar>
          </w:tcPr>
          <w:p w14:paraId="0424DE6B" w14:textId="77777777" w:rsidR="00C47639" w:rsidRPr="000B65BB" w:rsidRDefault="00C47639" w:rsidP="00C47639">
            <w:pPr>
              <w:pStyle w:val="Standaard-Tabellen"/>
            </w:pPr>
            <w:r w:rsidRPr="000B65BB">
              <w:t>Body weight</w:t>
            </w:r>
            <w:r w:rsidRPr="000B65BB">
              <w:rPr>
                <w:vertAlign w:val="superscript"/>
              </w:rPr>
              <w:t>1</w:t>
            </w:r>
            <w:r w:rsidRPr="000B65BB">
              <w:t xml:space="preserve"> </w:t>
            </w:r>
          </w:p>
        </w:tc>
        <w:tc>
          <w:tcPr>
            <w:tcW w:w="731" w:type="pct"/>
            <w:shd w:val="clear" w:color="auto" w:fill="auto"/>
            <w:tcMar>
              <w:top w:w="57" w:type="dxa"/>
              <w:bottom w:w="57" w:type="dxa"/>
            </w:tcMar>
          </w:tcPr>
          <w:p w14:paraId="157570F6" w14:textId="77777777" w:rsidR="00C47639" w:rsidRPr="000B65BB" w:rsidRDefault="00C47639" w:rsidP="00C47639">
            <w:pPr>
              <w:pStyle w:val="Standaard-Tabellen"/>
            </w:pPr>
            <w:r w:rsidRPr="000B65BB">
              <w:t>10 kg</w:t>
            </w:r>
          </w:p>
        </w:tc>
      </w:tr>
      <w:tr w:rsidR="00C47639" w:rsidRPr="00FD2055" w14:paraId="06A73408" w14:textId="77777777" w:rsidTr="00C47639">
        <w:trPr>
          <w:tblHeader/>
        </w:trPr>
        <w:tc>
          <w:tcPr>
            <w:tcW w:w="1392" w:type="pct"/>
            <w:vMerge/>
            <w:tcMar>
              <w:top w:w="57" w:type="dxa"/>
              <w:bottom w:w="57" w:type="dxa"/>
            </w:tcMar>
          </w:tcPr>
          <w:p w14:paraId="75A4226E" w14:textId="77777777" w:rsidR="00C47639" w:rsidRPr="000B65BB" w:rsidRDefault="00C47639" w:rsidP="00C47639">
            <w:pPr>
              <w:pStyle w:val="Standaard-Tabellen"/>
            </w:pPr>
          </w:p>
        </w:tc>
        <w:tc>
          <w:tcPr>
            <w:tcW w:w="2877" w:type="pct"/>
            <w:shd w:val="clear" w:color="auto" w:fill="auto"/>
            <w:tcMar>
              <w:top w:w="57" w:type="dxa"/>
              <w:bottom w:w="57" w:type="dxa"/>
            </w:tcMar>
          </w:tcPr>
          <w:p w14:paraId="34C9C6E1" w14:textId="77777777" w:rsidR="00C47639" w:rsidRPr="000B65BB" w:rsidRDefault="00C47639" w:rsidP="00C47639">
            <w:pPr>
              <w:pStyle w:val="Standaard-Tabellen"/>
            </w:pPr>
            <w:r w:rsidRPr="000B65BB">
              <w:t>Amount of biocidal product/ application</w:t>
            </w:r>
            <w:r w:rsidRPr="000B65BB">
              <w:rPr>
                <w:vertAlign w:val="superscript"/>
              </w:rPr>
              <w:t>1</w:t>
            </w:r>
          </w:p>
        </w:tc>
        <w:tc>
          <w:tcPr>
            <w:tcW w:w="731" w:type="pct"/>
            <w:shd w:val="clear" w:color="auto" w:fill="auto"/>
            <w:tcMar>
              <w:top w:w="57" w:type="dxa"/>
              <w:bottom w:w="57" w:type="dxa"/>
            </w:tcMar>
          </w:tcPr>
          <w:p w14:paraId="3BDF7563" w14:textId="77777777" w:rsidR="00C47639" w:rsidRPr="000B65BB" w:rsidRDefault="00C47639" w:rsidP="00C47639">
            <w:pPr>
              <w:pStyle w:val="Standaard-Tabellen"/>
            </w:pPr>
            <w:r>
              <w:t xml:space="preserve">1.77 </w:t>
            </w:r>
            <w:r w:rsidRPr="000B65BB">
              <w:t>g</w:t>
            </w:r>
          </w:p>
        </w:tc>
      </w:tr>
      <w:tr w:rsidR="00C47639" w:rsidRPr="00FD2055" w14:paraId="413A35D2" w14:textId="77777777" w:rsidTr="00C47639">
        <w:trPr>
          <w:tblHeader/>
        </w:trPr>
        <w:tc>
          <w:tcPr>
            <w:tcW w:w="1392" w:type="pct"/>
            <w:vMerge w:val="restart"/>
            <w:tcMar>
              <w:top w:w="57" w:type="dxa"/>
              <w:bottom w:w="57" w:type="dxa"/>
            </w:tcMar>
          </w:tcPr>
          <w:p w14:paraId="5783BAF2" w14:textId="77777777" w:rsidR="00C47639" w:rsidRPr="000B65BB" w:rsidRDefault="00C47639" w:rsidP="00C47639">
            <w:pPr>
              <w:pStyle w:val="Standaard-Tabellen"/>
            </w:pPr>
            <w:r w:rsidRPr="000B65BB">
              <w:t>Tier 1- Infant</w:t>
            </w:r>
          </w:p>
        </w:tc>
        <w:tc>
          <w:tcPr>
            <w:tcW w:w="2877" w:type="pct"/>
            <w:shd w:val="clear" w:color="auto" w:fill="auto"/>
            <w:tcMar>
              <w:top w:w="57" w:type="dxa"/>
              <w:bottom w:w="57" w:type="dxa"/>
            </w:tcMar>
          </w:tcPr>
          <w:p w14:paraId="73A7BDE9" w14:textId="77777777" w:rsidR="00C47639" w:rsidRPr="000B65BB" w:rsidRDefault="00C47639" w:rsidP="00C47639">
            <w:pPr>
              <w:pStyle w:val="Standaard-Tabellen"/>
            </w:pPr>
            <w:r w:rsidRPr="000B65BB">
              <w:t>Number of application / day</w:t>
            </w:r>
            <w:r w:rsidRPr="000B65BB">
              <w:rPr>
                <w:vertAlign w:val="superscript"/>
              </w:rPr>
              <w:t>1</w:t>
            </w:r>
          </w:p>
        </w:tc>
        <w:tc>
          <w:tcPr>
            <w:tcW w:w="731" w:type="pct"/>
            <w:shd w:val="clear" w:color="auto" w:fill="auto"/>
            <w:tcMar>
              <w:top w:w="57" w:type="dxa"/>
              <w:bottom w:w="57" w:type="dxa"/>
            </w:tcMar>
          </w:tcPr>
          <w:p w14:paraId="052D9859" w14:textId="77777777" w:rsidR="00C47639" w:rsidRPr="000B65BB" w:rsidRDefault="00C47639" w:rsidP="00C47639">
            <w:pPr>
              <w:pStyle w:val="Standaard-Tabellen"/>
            </w:pPr>
            <w:r w:rsidRPr="000B65BB">
              <w:t>1</w:t>
            </w:r>
          </w:p>
        </w:tc>
      </w:tr>
      <w:tr w:rsidR="00C47639" w:rsidRPr="00FD2055" w14:paraId="363A9687" w14:textId="77777777" w:rsidTr="00C47639">
        <w:trPr>
          <w:tblHeader/>
        </w:trPr>
        <w:tc>
          <w:tcPr>
            <w:tcW w:w="1392" w:type="pct"/>
            <w:vMerge/>
            <w:tcMar>
              <w:top w:w="57" w:type="dxa"/>
              <w:bottom w:w="57" w:type="dxa"/>
            </w:tcMar>
          </w:tcPr>
          <w:p w14:paraId="712F888F" w14:textId="77777777" w:rsidR="00C47639" w:rsidRPr="000B65BB" w:rsidRDefault="00C47639" w:rsidP="00C47639">
            <w:pPr>
              <w:pStyle w:val="Standaard-Tabellen"/>
            </w:pPr>
          </w:p>
        </w:tc>
        <w:tc>
          <w:tcPr>
            <w:tcW w:w="2877" w:type="pct"/>
            <w:shd w:val="clear" w:color="auto" w:fill="auto"/>
            <w:tcMar>
              <w:top w:w="57" w:type="dxa"/>
              <w:bottom w:w="57" w:type="dxa"/>
            </w:tcMar>
          </w:tcPr>
          <w:p w14:paraId="4796DCE5" w14:textId="77777777" w:rsidR="00C47639" w:rsidRPr="000B65BB" w:rsidRDefault="00C47639" w:rsidP="00C47639">
            <w:pPr>
              <w:pStyle w:val="Standaard-Tabellen"/>
            </w:pPr>
            <w:r w:rsidRPr="000B65BB">
              <w:t>Body weight</w:t>
            </w:r>
            <w:r w:rsidRPr="000B65BB">
              <w:rPr>
                <w:vertAlign w:val="superscript"/>
              </w:rPr>
              <w:t>1</w:t>
            </w:r>
            <w:r w:rsidRPr="000B65BB">
              <w:t xml:space="preserve"> </w:t>
            </w:r>
          </w:p>
        </w:tc>
        <w:tc>
          <w:tcPr>
            <w:tcW w:w="731" w:type="pct"/>
            <w:shd w:val="clear" w:color="auto" w:fill="auto"/>
            <w:tcMar>
              <w:top w:w="57" w:type="dxa"/>
              <w:bottom w:w="57" w:type="dxa"/>
            </w:tcMar>
          </w:tcPr>
          <w:p w14:paraId="01A51C48" w14:textId="77777777" w:rsidR="00C47639" w:rsidRPr="000B65BB" w:rsidRDefault="00C47639" w:rsidP="00C47639">
            <w:pPr>
              <w:pStyle w:val="Standaard-Tabellen"/>
            </w:pPr>
            <w:r w:rsidRPr="000B65BB">
              <w:t>8 kg</w:t>
            </w:r>
          </w:p>
        </w:tc>
      </w:tr>
      <w:tr w:rsidR="00C47639" w:rsidRPr="00FD2055" w14:paraId="0397C7A4" w14:textId="77777777" w:rsidTr="00C47639">
        <w:trPr>
          <w:tblHeader/>
        </w:trPr>
        <w:tc>
          <w:tcPr>
            <w:tcW w:w="1392" w:type="pct"/>
            <w:vMerge/>
            <w:tcMar>
              <w:top w:w="57" w:type="dxa"/>
              <w:bottom w:w="57" w:type="dxa"/>
            </w:tcMar>
          </w:tcPr>
          <w:p w14:paraId="00AD7E82" w14:textId="77777777" w:rsidR="00C47639" w:rsidRPr="000B65BB" w:rsidRDefault="00C47639" w:rsidP="00C47639">
            <w:pPr>
              <w:pStyle w:val="Standaard-Tabellen"/>
            </w:pPr>
          </w:p>
        </w:tc>
        <w:tc>
          <w:tcPr>
            <w:tcW w:w="2877" w:type="pct"/>
            <w:shd w:val="clear" w:color="auto" w:fill="auto"/>
            <w:tcMar>
              <w:top w:w="57" w:type="dxa"/>
              <w:bottom w:w="57" w:type="dxa"/>
            </w:tcMar>
          </w:tcPr>
          <w:p w14:paraId="1ADAE86B" w14:textId="77777777" w:rsidR="00C47639" w:rsidRPr="000B65BB" w:rsidRDefault="00C47639" w:rsidP="00C47639">
            <w:pPr>
              <w:pStyle w:val="Standaard-Tabellen"/>
            </w:pPr>
            <w:r w:rsidRPr="000B65BB">
              <w:t>Amount of biocidal product/ application</w:t>
            </w:r>
            <w:r w:rsidRPr="000B65BB">
              <w:rPr>
                <w:vertAlign w:val="superscript"/>
              </w:rPr>
              <w:t>1</w:t>
            </w:r>
            <w:r w:rsidRPr="000B65BB">
              <w:t xml:space="preserve"> </w:t>
            </w:r>
          </w:p>
        </w:tc>
        <w:tc>
          <w:tcPr>
            <w:tcW w:w="731" w:type="pct"/>
            <w:shd w:val="clear" w:color="auto" w:fill="auto"/>
            <w:tcMar>
              <w:top w:w="57" w:type="dxa"/>
              <w:bottom w:w="57" w:type="dxa"/>
            </w:tcMar>
          </w:tcPr>
          <w:p w14:paraId="5B130446" w14:textId="77777777" w:rsidR="00C47639" w:rsidRPr="000B65BB" w:rsidRDefault="00C47639" w:rsidP="00C47639">
            <w:pPr>
              <w:pStyle w:val="Standaard-Tabellen"/>
            </w:pPr>
            <w:r>
              <w:t xml:space="preserve">1.51 </w:t>
            </w:r>
            <w:r w:rsidRPr="000B65BB">
              <w:t>g</w:t>
            </w:r>
          </w:p>
        </w:tc>
      </w:tr>
      <w:tr w:rsidR="00C47639" w:rsidRPr="00FD2055" w14:paraId="255A3F9C" w14:textId="77777777" w:rsidTr="00C47639">
        <w:trPr>
          <w:tblHeader/>
        </w:trPr>
        <w:tc>
          <w:tcPr>
            <w:tcW w:w="1392" w:type="pct"/>
            <w:tcMar>
              <w:top w:w="57" w:type="dxa"/>
              <w:bottom w:w="57" w:type="dxa"/>
            </w:tcMar>
          </w:tcPr>
          <w:p w14:paraId="70D27E0C" w14:textId="77777777" w:rsidR="00C47639" w:rsidRPr="000B65BB" w:rsidRDefault="00C47639" w:rsidP="00C47639">
            <w:pPr>
              <w:pStyle w:val="Standaard-Tabellen"/>
            </w:pPr>
            <w:r w:rsidRPr="000B65BB">
              <w:t xml:space="preserve">Tier </w:t>
            </w:r>
            <w:r>
              <w:t>2</w:t>
            </w:r>
            <w:r w:rsidRPr="000B65BB">
              <w:t>- Adult</w:t>
            </w:r>
          </w:p>
        </w:tc>
        <w:tc>
          <w:tcPr>
            <w:tcW w:w="2877" w:type="pct"/>
            <w:shd w:val="clear" w:color="auto" w:fill="auto"/>
            <w:tcMar>
              <w:top w:w="57" w:type="dxa"/>
              <w:bottom w:w="57" w:type="dxa"/>
            </w:tcMar>
          </w:tcPr>
          <w:p w14:paraId="563A7749" w14:textId="77777777" w:rsidR="00C47639" w:rsidRPr="000B65BB" w:rsidRDefault="00C47639" w:rsidP="00C47639">
            <w:pPr>
              <w:pStyle w:val="Standaard-Tabellen"/>
            </w:pPr>
            <w:r w:rsidRPr="000B65BB">
              <w:t>Number of application / day</w:t>
            </w:r>
            <w:r>
              <w:rPr>
                <w:vertAlign w:val="superscript"/>
              </w:rPr>
              <w:t>2</w:t>
            </w:r>
          </w:p>
        </w:tc>
        <w:tc>
          <w:tcPr>
            <w:tcW w:w="731" w:type="pct"/>
            <w:shd w:val="clear" w:color="auto" w:fill="auto"/>
            <w:tcMar>
              <w:top w:w="57" w:type="dxa"/>
              <w:bottom w:w="57" w:type="dxa"/>
            </w:tcMar>
          </w:tcPr>
          <w:p w14:paraId="1BFF1F23" w14:textId="77777777" w:rsidR="00C47639" w:rsidRDefault="00C47639" w:rsidP="00C47639">
            <w:pPr>
              <w:pStyle w:val="Standaard-Tabellen"/>
            </w:pPr>
            <w:r w:rsidRPr="000B65BB">
              <w:t>2</w:t>
            </w:r>
          </w:p>
        </w:tc>
      </w:tr>
      <w:tr w:rsidR="00C47639" w:rsidRPr="00FD2055" w14:paraId="5A5562FE" w14:textId="77777777" w:rsidTr="00C47639">
        <w:trPr>
          <w:tblHeader/>
        </w:trPr>
        <w:tc>
          <w:tcPr>
            <w:tcW w:w="1392" w:type="pct"/>
            <w:tcMar>
              <w:top w:w="57" w:type="dxa"/>
              <w:bottom w:w="57" w:type="dxa"/>
            </w:tcMar>
          </w:tcPr>
          <w:p w14:paraId="1246F880" w14:textId="77777777" w:rsidR="00C47639" w:rsidRPr="000B65BB" w:rsidRDefault="00C47639" w:rsidP="00C47639">
            <w:pPr>
              <w:pStyle w:val="Standaard-Tabellen"/>
            </w:pPr>
            <w:r w:rsidRPr="00A22424">
              <w:t xml:space="preserve">Tier </w:t>
            </w:r>
            <w:r>
              <w:t>2</w:t>
            </w:r>
            <w:r w:rsidRPr="00A22424">
              <w:t>- Child 6 to &lt; 12 years old</w:t>
            </w:r>
          </w:p>
        </w:tc>
        <w:tc>
          <w:tcPr>
            <w:tcW w:w="2877" w:type="pct"/>
            <w:shd w:val="clear" w:color="auto" w:fill="auto"/>
            <w:tcMar>
              <w:top w:w="57" w:type="dxa"/>
              <w:bottom w:w="57" w:type="dxa"/>
            </w:tcMar>
          </w:tcPr>
          <w:p w14:paraId="47B7FC26" w14:textId="77777777" w:rsidR="00C47639" w:rsidRPr="000B65BB" w:rsidRDefault="00C47639" w:rsidP="00C47639">
            <w:pPr>
              <w:pStyle w:val="Standaard-Tabellen"/>
            </w:pPr>
            <w:r w:rsidRPr="000B65BB">
              <w:t>Number of application / day</w:t>
            </w:r>
            <w:r>
              <w:rPr>
                <w:vertAlign w:val="superscript"/>
              </w:rPr>
              <w:t>2</w:t>
            </w:r>
          </w:p>
        </w:tc>
        <w:tc>
          <w:tcPr>
            <w:tcW w:w="731" w:type="pct"/>
            <w:shd w:val="clear" w:color="auto" w:fill="auto"/>
            <w:tcMar>
              <w:top w:w="57" w:type="dxa"/>
              <w:bottom w:w="57" w:type="dxa"/>
            </w:tcMar>
          </w:tcPr>
          <w:p w14:paraId="785119BD" w14:textId="77777777" w:rsidR="00C47639" w:rsidRDefault="00C47639" w:rsidP="00C47639">
            <w:pPr>
              <w:pStyle w:val="Standaard-Tabellen"/>
            </w:pPr>
            <w:r>
              <w:t>1</w:t>
            </w:r>
          </w:p>
        </w:tc>
      </w:tr>
      <w:tr w:rsidR="00C47639" w:rsidRPr="00FD2055" w14:paraId="36B9F68C" w14:textId="77777777" w:rsidTr="00C47639">
        <w:trPr>
          <w:tblHeader/>
        </w:trPr>
        <w:tc>
          <w:tcPr>
            <w:tcW w:w="1392" w:type="pct"/>
            <w:tcMar>
              <w:top w:w="57" w:type="dxa"/>
              <w:bottom w:w="57" w:type="dxa"/>
            </w:tcMar>
          </w:tcPr>
          <w:p w14:paraId="18C38384" w14:textId="77777777" w:rsidR="00C47639" w:rsidRPr="000B65BB" w:rsidRDefault="00C47639" w:rsidP="00C47639">
            <w:pPr>
              <w:pStyle w:val="Standaard-Tabellen"/>
            </w:pPr>
            <w:r w:rsidRPr="00A22424">
              <w:t xml:space="preserve">Tier </w:t>
            </w:r>
            <w:r>
              <w:t>2</w:t>
            </w:r>
            <w:r w:rsidRPr="00A22424">
              <w:t>- Child 2 to &lt; 6 years old</w:t>
            </w:r>
          </w:p>
        </w:tc>
        <w:tc>
          <w:tcPr>
            <w:tcW w:w="2877" w:type="pct"/>
            <w:shd w:val="clear" w:color="auto" w:fill="auto"/>
            <w:tcMar>
              <w:top w:w="57" w:type="dxa"/>
              <w:bottom w:w="57" w:type="dxa"/>
            </w:tcMar>
          </w:tcPr>
          <w:p w14:paraId="1F991F3E" w14:textId="77777777" w:rsidR="00C47639" w:rsidRPr="000B65BB" w:rsidRDefault="00C47639" w:rsidP="00C47639">
            <w:pPr>
              <w:pStyle w:val="Standaard-Tabellen"/>
            </w:pPr>
            <w:r w:rsidRPr="000B65BB">
              <w:t>Number of application / day</w:t>
            </w:r>
            <w:r>
              <w:rPr>
                <w:vertAlign w:val="superscript"/>
              </w:rPr>
              <w:t>2</w:t>
            </w:r>
          </w:p>
        </w:tc>
        <w:tc>
          <w:tcPr>
            <w:tcW w:w="731" w:type="pct"/>
            <w:shd w:val="clear" w:color="auto" w:fill="auto"/>
            <w:tcMar>
              <w:top w:w="57" w:type="dxa"/>
              <w:bottom w:w="57" w:type="dxa"/>
            </w:tcMar>
          </w:tcPr>
          <w:p w14:paraId="50506184" w14:textId="77777777" w:rsidR="00C47639" w:rsidRDefault="00C47639" w:rsidP="00C47639">
            <w:pPr>
              <w:pStyle w:val="Standaard-Tabellen"/>
            </w:pPr>
            <w:r>
              <w:t>1</w:t>
            </w:r>
          </w:p>
        </w:tc>
      </w:tr>
      <w:tr w:rsidR="00C47639" w:rsidRPr="00FD2055" w14:paraId="12C18F67" w14:textId="77777777" w:rsidTr="00C47639">
        <w:trPr>
          <w:tblHeader/>
        </w:trPr>
        <w:tc>
          <w:tcPr>
            <w:tcW w:w="1392" w:type="pct"/>
            <w:tcMar>
              <w:top w:w="57" w:type="dxa"/>
              <w:bottom w:w="57" w:type="dxa"/>
            </w:tcMar>
          </w:tcPr>
          <w:p w14:paraId="17341A6D" w14:textId="77777777" w:rsidR="00C47639" w:rsidRPr="000B65BB" w:rsidRDefault="00C47639" w:rsidP="00C47639">
            <w:pPr>
              <w:pStyle w:val="Standaard-Tabellen"/>
            </w:pPr>
            <w:r w:rsidRPr="000B65BB">
              <w:t xml:space="preserve">Tier </w:t>
            </w:r>
            <w:r>
              <w:t>3</w:t>
            </w:r>
            <w:r w:rsidRPr="000B65BB">
              <w:t>- Adult</w:t>
            </w:r>
          </w:p>
        </w:tc>
        <w:tc>
          <w:tcPr>
            <w:tcW w:w="2877" w:type="pct"/>
            <w:shd w:val="clear" w:color="auto" w:fill="auto"/>
            <w:tcMar>
              <w:top w:w="57" w:type="dxa"/>
              <w:bottom w:w="57" w:type="dxa"/>
            </w:tcMar>
          </w:tcPr>
          <w:p w14:paraId="44E6789A" w14:textId="77777777" w:rsidR="00C47639" w:rsidRPr="000B65BB" w:rsidRDefault="00C47639" w:rsidP="00C47639">
            <w:pPr>
              <w:pStyle w:val="Standaard-Tabellen"/>
            </w:pPr>
            <w:r w:rsidRPr="000B65BB">
              <w:t>Number of application / day</w:t>
            </w:r>
            <w:r>
              <w:rPr>
                <w:vertAlign w:val="superscript"/>
              </w:rPr>
              <w:t>2</w:t>
            </w:r>
          </w:p>
        </w:tc>
        <w:tc>
          <w:tcPr>
            <w:tcW w:w="731" w:type="pct"/>
            <w:shd w:val="clear" w:color="auto" w:fill="auto"/>
            <w:tcMar>
              <w:top w:w="57" w:type="dxa"/>
              <w:bottom w:w="57" w:type="dxa"/>
            </w:tcMar>
          </w:tcPr>
          <w:p w14:paraId="58AD7DD7" w14:textId="77777777" w:rsidR="00C47639" w:rsidRDefault="00C47639" w:rsidP="00C47639">
            <w:pPr>
              <w:pStyle w:val="Standaard-Tabellen"/>
            </w:pPr>
            <w:r>
              <w:t>1</w:t>
            </w:r>
          </w:p>
        </w:tc>
      </w:tr>
    </w:tbl>
    <w:p w14:paraId="26A72448" w14:textId="77777777" w:rsidR="00C47639" w:rsidRPr="000B65BB" w:rsidRDefault="00C47639" w:rsidP="00C47639">
      <w:pPr>
        <w:pStyle w:val="Voetnoot"/>
      </w:pPr>
      <w:r w:rsidRPr="000B65BB">
        <w:rPr>
          <w:rStyle w:val="Appelnotedebasdep"/>
          <w:position w:val="4"/>
          <w:vertAlign w:val="superscript"/>
        </w:rPr>
        <w:t>1</w:t>
      </w:r>
      <w:r w:rsidRPr="000B65BB">
        <w:rPr>
          <w:rStyle w:val="Appelnotedebasdep"/>
          <w:position w:val="4"/>
        </w:rPr>
        <w:t xml:space="preserve"> </w:t>
      </w:r>
      <w:r w:rsidRPr="000B65BB">
        <w:t>General information, see justification above</w:t>
      </w:r>
    </w:p>
    <w:p w14:paraId="7527AB08" w14:textId="77777777" w:rsidR="00C47639" w:rsidRPr="000B65BB" w:rsidRDefault="00C47639" w:rsidP="00C47639">
      <w:pPr>
        <w:pStyle w:val="Voetnoot"/>
      </w:pPr>
      <w:r>
        <w:rPr>
          <w:rStyle w:val="Appelnotedebasdep"/>
          <w:position w:val="4"/>
          <w:vertAlign w:val="superscript"/>
        </w:rPr>
        <w:t>2</w:t>
      </w:r>
      <w:r w:rsidRPr="000B65BB">
        <w:rPr>
          <w:rStyle w:val="Appelnotedebasdep"/>
          <w:position w:val="4"/>
        </w:rPr>
        <w:t xml:space="preserve"> </w:t>
      </w:r>
      <w:r>
        <w:t>Limitation of the exposure</w:t>
      </w:r>
    </w:p>
    <w:p w14:paraId="0DD939AF" w14:textId="77777777" w:rsidR="00C47639" w:rsidRPr="00332AD5" w:rsidRDefault="00C47639" w:rsidP="00C47639">
      <w:pPr>
        <w:pStyle w:val="Voetnoot"/>
        <w:rPr>
          <w:rStyle w:val="Appelnotedebasdep"/>
        </w:rPr>
      </w:pPr>
    </w:p>
    <w:p w14:paraId="6186B814" w14:textId="77777777" w:rsidR="00C47639" w:rsidRPr="0027501E" w:rsidRDefault="00C47639" w:rsidP="00C47639">
      <w:pPr>
        <w:pStyle w:val="Titre7"/>
        <w:rPr>
          <w:lang w:val="en-US"/>
        </w:rPr>
      </w:pPr>
      <w:r w:rsidRPr="0027501E">
        <w:rPr>
          <w:lang w:val="en-US"/>
        </w:rPr>
        <w:lastRenderedPageBreak/>
        <w:t>Calculations for scenario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99"/>
        <w:gridCol w:w="1654"/>
        <w:gridCol w:w="4243"/>
      </w:tblGrid>
      <w:tr w:rsidR="00C47639" w:rsidRPr="00CF46C5" w14:paraId="1BBDFDF0" w14:textId="77777777" w:rsidTr="00C47639">
        <w:trPr>
          <w:cantSplit/>
          <w:trHeight w:val="293"/>
          <w:tblHeader/>
        </w:trPr>
        <w:tc>
          <w:tcPr>
            <w:tcW w:w="5000" w:type="pct"/>
            <w:gridSpan w:val="3"/>
            <w:shd w:val="clear" w:color="auto" w:fill="FFFFCC"/>
          </w:tcPr>
          <w:p w14:paraId="0850B860" w14:textId="77777777" w:rsidR="00C47639" w:rsidRPr="00CF46C5" w:rsidRDefault="00C47639" w:rsidP="00C47639">
            <w:pPr>
              <w:pStyle w:val="Standaard-Tabellen"/>
              <w:jc w:val="center"/>
              <w:rPr>
                <w:b/>
              </w:rPr>
            </w:pPr>
            <w:r w:rsidRPr="00CF46C5">
              <w:rPr>
                <w:b/>
              </w:rPr>
              <w:t>Summary table: estimated exposure for Dermal Primary exposure</w:t>
            </w:r>
          </w:p>
        </w:tc>
      </w:tr>
      <w:tr w:rsidR="00C47639" w:rsidRPr="00CF46C5" w14:paraId="7C3918EC" w14:textId="77777777" w:rsidTr="00C47639">
        <w:trPr>
          <w:cantSplit/>
          <w:trHeight w:val="293"/>
          <w:tblHeader/>
        </w:trPr>
        <w:tc>
          <w:tcPr>
            <w:tcW w:w="1862" w:type="pct"/>
            <w:shd w:val="clear" w:color="auto" w:fill="BFBFBF" w:themeFill="background1" w:themeFillShade="BF"/>
          </w:tcPr>
          <w:p w14:paraId="62C3A977" w14:textId="77777777" w:rsidR="00C47639" w:rsidRPr="00781F73" w:rsidRDefault="00C47639" w:rsidP="00C47639">
            <w:pPr>
              <w:pStyle w:val="Standaard-Tabellen"/>
              <w:rPr>
                <w:b/>
              </w:rPr>
            </w:pPr>
            <w:r w:rsidRPr="00781F73">
              <w:rPr>
                <w:b/>
              </w:rPr>
              <w:t>Exposure scenario</w:t>
            </w:r>
          </w:p>
        </w:tc>
        <w:tc>
          <w:tcPr>
            <w:tcW w:w="880" w:type="pct"/>
            <w:shd w:val="clear" w:color="auto" w:fill="BFBFBF" w:themeFill="background1" w:themeFillShade="BF"/>
          </w:tcPr>
          <w:p w14:paraId="07492CCD" w14:textId="77777777" w:rsidR="00C47639" w:rsidRPr="00781F73" w:rsidRDefault="00C47639" w:rsidP="00C47639">
            <w:pPr>
              <w:pStyle w:val="Standaard-Tabellen"/>
              <w:rPr>
                <w:b/>
              </w:rPr>
            </w:pPr>
            <w:r w:rsidRPr="00781F73">
              <w:rPr>
                <w:b/>
              </w:rPr>
              <w:t>Tier/PPE</w:t>
            </w:r>
          </w:p>
        </w:tc>
        <w:tc>
          <w:tcPr>
            <w:tcW w:w="2258" w:type="pct"/>
            <w:shd w:val="clear" w:color="auto" w:fill="BFBFBF" w:themeFill="background1" w:themeFillShade="BF"/>
          </w:tcPr>
          <w:p w14:paraId="1D485D89" w14:textId="77777777" w:rsidR="00C47639" w:rsidRPr="00781F73" w:rsidRDefault="00C47639" w:rsidP="00C47639">
            <w:pPr>
              <w:pStyle w:val="Standaard-Tabellen"/>
              <w:rPr>
                <w:b/>
              </w:rPr>
            </w:pPr>
            <w:r w:rsidRPr="00781F73">
              <w:rPr>
                <w:b/>
              </w:rPr>
              <w:t>Estimated dermal uptake</w:t>
            </w:r>
          </w:p>
        </w:tc>
      </w:tr>
      <w:tr w:rsidR="00C47639" w:rsidRPr="00CF46C5" w14:paraId="49337BC4" w14:textId="77777777" w:rsidTr="00C47639">
        <w:trPr>
          <w:cantSplit/>
          <w:trHeight w:val="587"/>
          <w:tblHeader/>
        </w:trPr>
        <w:tc>
          <w:tcPr>
            <w:tcW w:w="1862" w:type="pct"/>
            <w:shd w:val="clear" w:color="auto" w:fill="auto"/>
            <w:vAlign w:val="center"/>
          </w:tcPr>
          <w:p w14:paraId="357E12DE" w14:textId="77777777" w:rsidR="00C47639" w:rsidRPr="00CF46C5" w:rsidRDefault="00C47639" w:rsidP="00C47639">
            <w:pPr>
              <w:pStyle w:val="Standaard-Tabellen"/>
            </w:pPr>
            <w:r w:rsidRPr="00CF46C5">
              <w:t>Scenario 1 – ADULT</w:t>
            </w:r>
          </w:p>
          <w:p w14:paraId="40A68F50" w14:textId="77777777" w:rsidR="00C47639" w:rsidRPr="00CF46C5" w:rsidRDefault="00C47639" w:rsidP="00C47639">
            <w:pPr>
              <w:pStyle w:val="Standaard-Tabellen"/>
            </w:pPr>
            <w:r w:rsidRPr="00CF46C5">
              <w:t>3 applications/day</w:t>
            </w:r>
          </w:p>
        </w:tc>
        <w:tc>
          <w:tcPr>
            <w:tcW w:w="880" w:type="pct"/>
            <w:vAlign w:val="center"/>
          </w:tcPr>
          <w:p w14:paraId="50D4C089" w14:textId="77777777" w:rsidR="00C47639" w:rsidRPr="00CF46C5" w:rsidRDefault="00C47639" w:rsidP="00C47639">
            <w:pPr>
              <w:pStyle w:val="Standaard-Tabellen"/>
            </w:pPr>
            <w:r w:rsidRPr="00CF46C5">
              <w:t>Tier 1 /</w:t>
            </w:r>
          </w:p>
          <w:p w14:paraId="0CEB24C2" w14:textId="77777777" w:rsidR="00C47639" w:rsidRPr="00CF46C5" w:rsidRDefault="00C47639" w:rsidP="00C47639">
            <w:pPr>
              <w:pStyle w:val="Standaard-Tabellen"/>
            </w:pPr>
            <w:r w:rsidRPr="00CF46C5">
              <w:t>no PPE</w:t>
            </w:r>
          </w:p>
        </w:tc>
        <w:tc>
          <w:tcPr>
            <w:tcW w:w="2258" w:type="pct"/>
            <w:vAlign w:val="center"/>
          </w:tcPr>
          <w:p w14:paraId="33EDE9EA" w14:textId="77777777" w:rsidR="00C47639" w:rsidRPr="00B42FAC" w:rsidRDefault="00C47639" w:rsidP="00C47639">
            <w:pPr>
              <w:pStyle w:val="Standaard-Tabellen"/>
            </w:pPr>
            <w:r w:rsidRPr="0027501E">
              <w:rPr>
                <w:color w:val="FF0000"/>
              </w:rPr>
              <w:t>8.56</w:t>
            </w:r>
            <w:r w:rsidRPr="00B42FAC">
              <w:t xml:space="preserve"> mg/kg </w:t>
            </w:r>
            <w:proofErr w:type="spellStart"/>
            <w:r w:rsidRPr="00B42FAC">
              <w:t>bw</w:t>
            </w:r>
            <w:proofErr w:type="spellEnd"/>
            <w:r w:rsidRPr="00B42FAC">
              <w:t>/day</w:t>
            </w:r>
          </w:p>
        </w:tc>
      </w:tr>
      <w:tr w:rsidR="00C47639" w:rsidRPr="00CF46C5" w14:paraId="04C03B32" w14:textId="77777777" w:rsidTr="00C47639">
        <w:trPr>
          <w:cantSplit/>
          <w:trHeight w:val="435"/>
          <w:tblHeader/>
        </w:trPr>
        <w:tc>
          <w:tcPr>
            <w:tcW w:w="1862" w:type="pct"/>
            <w:shd w:val="clear" w:color="auto" w:fill="auto"/>
            <w:vAlign w:val="center"/>
          </w:tcPr>
          <w:p w14:paraId="571FEC2A" w14:textId="77777777" w:rsidR="00C47639" w:rsidRPr="00CF46C5" w:rsidRDefault="00C47639" w:rsidP="00C47639">
            <w:pPr>
              <w:pStyle w:val="Standaard-Tabellen"/>
            </w:pPr>
            <w:r w:rsidRPr="00CF46C5">
              <w:t>Scenario 1 – CHILD</w:t>
            </w:r>
            <w:r>
              <w:t xml:space="preserve"> (6-12)</w:t>
            </w:r>
          </w:p>
          <w:p w14:paraId="7EB3D88D" w14:textId="77777777" w:rsidR="00C47639" w:rsidRPr="00CF46C5" w:rsidRDefault="00C47639" w:rsidP="00C47639">
            <w:pPr>
              <w:pStyle w:val="Standaard-Tabellen"/>
            </w:pPr>
            <w:r w:rsidRPr="00CF46C5">
              <w:t>2 applications/day</w:t>
            </w:r>
          </w:p>
        </w:tc>
        <w:tc>
          <w:tcPr>
            <w:tcW w:w="880" w:type="pct"/>
            <w:vAlign w:val="center"/>
          </w:tcPr>
          <w:p w14:paraId="54879C7F" w14:textId="77777777" w:rsidR="00C47639" w:rsidRPr="00CF46C5" w:rsidRDefault="00C47639" w:rsidP="00C47639">
            <w:pPr>
              <w:pStyle w:val="Standaard-Tabellen"/>
            </w:pPr>
            <w:r w:rsidRPr="00CF46C5">
              <w:t>Tier 1 /</w:t>
            </w:r>
          </w:p>
          <w:p w14:paraId="718B96F7" w14:textId="77777777" w:rsidR="00C47639" w:rsidRPr="00CF46C5" w:rsidRDefault="00C47639" w:rsidP="00C47639">
            <w:pPr>
              <w:pStyle w:val="Standaard-Tabellen"/>
            </w:pPr>
            <w:r w:rsidRPr="00CF46C5">
              <w:t>no PPE</w:t>
            </w:r>
          </w:p>
        </w:tc>
        <w:tc>
          <w:tcPr>
            <w:tcW w:w="2258" w:type="pct"/>
            <w:vAlign w:val="center"/>
          </w:tcPr>
          <w:p w14:paraId="132B71FA" w14:textId="77777777" w:rsidR="00C47639" w:rsidRPr="00B42FAC" w:rsidRDefault="00C47639" w:rsidP="00C47639">
            <w:pPr>
              <w:pStyle w:val="Standaard-Tabellen"/>
            </w:pPr>
            <w:r w:rsidRPr="0027501E">
              <w:rPr>
                <w:color w:val="FF0000"/>
              </w:rPr>
              <w:t>7.94</w:t>
            </w:r>
            <w:r w:rsidRPr="00B42FAC">
              <w:t xml:space="preserve"> mg/kg </w:t>
            </w:r>
            <w:proofErr w:type="spellStart"/>
            <w:r w:rsidRPr="00B42FAC">
              <w:t>bw</w:t>
            </w:r>
            <w:proofErr w:type="spellEnd"/>
            <w:r w:rsidRPr="00B42FAC">
              <w:t>/day</w:t>
            </w:r>
          </w:p>
        </w:tc>
      </w:tr>
      <w:tr w:rsidR="00C47639" w:rsidRPr="00CF46C5" w14:paraId="1A3936B4" w14:textId="77777777" w:rsidTr="00C47639">
        <w:trPr>
          <w:cantSplit/>
          <w:trHeight w:val="435"/>
          <w:tblHeader/>
        </w:trPr>
        <w:tc>
          <w:tcPr>
            <w:tcW w:w="1862" w:type="pct"/>
            <w:shd w:val="clear" w:color="auto" w:fill="auto"/>
            <w:vAlign w:val="center"/>
          </w:tcPr>
          <w:p w14:paraId="5DABA98E" w14:textId="77777777" w:rsidR="00C47639" w:rsidRPr="00CF46C5" w:rsidRDefault="00C47639" w:rsidP="00C47639">
            <w:pPr>
              <w:pStyle w:val="Standaard-Tabellen"/>
            </w:pPr>
            <w:r w:rsidRPr="00CF46C5">
              <w:t>Scenario 1 – CHILD</w:t>
            </w:r>
            <w:r>
              <w:t xml:space="preserve"> (2-6)</w:t>
            </w:r>
          </w:p>
          <w:p w14:paraId="1D9495DD" w14:textId="77777777" w:rsidR="00C47639" w:rsidRPr="00CF46C5" w:rsidRDefault="00C47639" w:rsidP="00C47639">
            <w:pPr>
              <w:pStyle w:val="Standaard-Tabellen"/>
            </w:pPr>
            <w:r w:rsidRPr="00CF46C5">
              <w:t>2 applications/day</w:t>
            </w:r>
          </w:p>
        </w:tc>
        <w:tc>
          <w:tcPr>
            <w:tcW w:w="880" w:type="pct"/>
            <w:vAlign w:val="center"/>
          </w:tcPr>
          <w:p w14:paraId="6845FAA0" w14:textId="77777777" w:rsidR="00C47639" w:rsidRPr="00CF46C5" w:rsidRDefault="00C47639" w:rsidP="00C47639">
            <w:pPr>
              <w:pStyle w:val="Standaard-Tabellen"/>
            </w:pPr>
            <w:r w:rsidRPr="00CF46C5">
              <w:t>Tier 1 /</w:t>
            </w:r>
          </w:p>
          <w:p w14:paraId="5FACC6EE" w14:textId="77777777" w:rsidR="00C47639" w:rsidRPr="00CF46C5" w:rsidRDefault="00C47639" w:rsidP="00C47639">
            <w:pPr>
              <w:pStyle w:val="Standaard-Tabellen"/>
            </w:pPr>
            <w:r w:rsidRPr="00CF46C5">
              <w:t>no PPE</w:t>
            </w:r>
          </w:p>
        </w:tc>
        <w:tc>
          <w:tcPr>
            <w:tcW w:w="2258" w:type="pct"/>
            <w:vAlign w:val="center"/>
          </w:tcPr>
          <w:p w14:paraId="02588D81" w14:textId="77777777" w:rsidR="00C47639" w:rsidRPr="00B42FAC" w:rsidRDefault="00C47639" w:rsidP="00C47639">
            <w:pPr>
              <w:pStyle w:val="Standaard-Tabellen"/>
            </w:pPr>
            <w:r w:rsidRPr="0027501E">
              <w:rPr>
                <w:color w:val="FF0000"/>
              </w:rPr>
              <w:t>8.99</w:t>
            </w:r>
            <w:r w:rsidRPr="00B42FAC">
              <w:t xml:space="preserve"> mg/kg </w:t>
            </w:r>
            <w:proofErr w:type="spellStart"/>
            <w:r w:rsidRPr="00B42FAC">
              <w:t>bw</w:t>
            </w:r>
            <w:proofErr w:type="spellEnd"/>
            <w:r w:rsidRPr="00B42FAC">
              <w:t>/day</w:t>
            </w:r>
          </w:p>
        </w:tc>
      </w:tr>
      <w:tr w:rsidR="00C47639" w:rsidRPr="00CF46C5" w14:paraId="225A33FC" w14:textId="77777777" w:rsidTr="00C47639">
        <w:trPr>
          <w:cantSplit/>
          <w:trHeight w:val="595"/>
          <w:tblHeader/>
        </w:trPr>
        <w:tc>
          <w:tcPr>
            <w:tcW w:w="1862" w:type="pct"/>
            <w:shd w:val="clear" w:color="auto" w:fill="auto"/>
            <w:vAlign w:val="center"/>
          </w:tcPr>
          <w:p w14:paraId="1FF44AA5" w14:textId="77777777" w:rsidR="00C47639" w:rsidRPr="00CF46C5" w:rsidRDefault="00C47639" w:rsidP="00C47639">
            <w:pPr>
              <w:pStyle w:val="Standaard-Tabellen"/>
            </w:pPr>
            <w:r w:rsidRPr="00CF46C5">
              <w:t>Scenario 1 – TODDLER</w:t>
            </w:r>
          </w:p>
          <w:p w14:paraId="79E06FB5" w14:textId="77777777" w:rsidR="00C47639" w:rsidRPr="00CF46C5" w:rsidRDefault="00C47639" w:rsidP="00C47639">
            <w:pPr>
              <w:pStyle w:val="Standaard-Tabellen"/>
            </w:pPr>
            <w:r w:rsidRPr="00CF46C5">
              <w:t>1 application/day</w:t>
            </w:r>
          </w:p>
        </w:tc>
        <w:tc>
          <w:tcPr>
            <w:tcW w:w="880" w:type="pct"/>
            <w:vAlign w:val="center"/>
          </w:tcPr>
          <w:p w14:paraId="322A75CE" w14:textId="77777777" w:rsidR="00C47639" w:rsidRPr="00CF46C5" w:rsidRDefault="00C47639" w:rsidP="00C47639">
            <w:pPr>
              <w:pStyle w:val="Standaard-Tabellen"/>
            </w:pPr>
            <w:r w:rsidRPr="00CF46C5">
              <w:t>Tier 1 /</w:t>
            </w:r>
          </w:p>
          <w:p w14:paraId="21F62DD7" w14:textId="77777777" w:rsidR="00C47639" w:rsidRPr="00CF46C5" w:rsidRDefault="00C47639" w:rsidP="00C47639">
            <w:pPr>
              <w:pStyle w:val="Standaard-Tabellen"/>
            </w:pPr>
            <w:r w:rsidRPr="00CF46C5">
              <w:t>no PPE</w:t>
            </w:r>
          </w:p>
        </w:tc>
        <w:tc>
          <w:tcPr>
            <w:tcW w:w="2258" w:type="pct"/>
            <w:vAlign w:val="center"/>
          </w:tcPr>
          <w:p w14:paraId="7C4947F3" w14:textId="77777777" w:rsidR="00C47639" w:rsidRPr="00B42FAC" w:rsidRDefault="00C47639" w:rsidP="00C47639">
            <w:pPr>
              <w:pStyle w:val="Standaard-Tabellen"/>
            </w:pPr>
            <w:r w:rsidRPr="00B42FAC">
              <w:t xml:space="preserve">4.95 mg/kg </w:t>
            </w:r>
            <w:proofErr w:type="spellStart"/>
            <w:r w:rsidRPr="00B42FAC">
              <w:t>bw</w:t>
            </w:r>
            <w:proofErr w:type="spellEnd"/>
            <w:r w:rsidRPr="00B42FAC">
              <w:t>/day</w:t>
            </w:r>
          </w:p>
        </w:tc>
      </w:tr>
      <w:tr w:rsidR="00C47639" w:rsidRPr="00CF46C5" w14:paraId="505D1FF1" w14:textId="77777777" w:rsidTr="00C47639">
        <w:trPr>
          <w:cantSplit/>
          <w:trHeight w:val="587"/>
          <w:tblHeader/>
        </w:trPr>
        <w:tc>
          <w:tcPr>
            <w:tcW w:w="1862" w:type="pct"/>
            <w:shd w:val="clear" w:color="auto" w:fill="auto"/>
            <w:vAlign w:val="center"/>
          </w:tcPr>
          <w:p w14:paraId="79890404" w14:textId="77777777" w:rsidR="00C47639" w:rsidRPr="00CF46C5" w:rsidRDefault="00C47639" w:rsidP="00C47639">
            <w:pPr>
              <w:pStyle w:val="Standaard-Tabellen"/>
            </w:pPr>
            <w:r w:rsidRPr="00CF46C5">
              <w:t>Scenario 1 – INFANT</w:t>
            </w:r>
          </w:p>
          <w:p w14:paraId="186BF382" w14:textId="77777777" w:rsidR="00C47639" w:rsidRPr="00CF46C5" w:rsidRDefault="00C47639" w:rsidP="00C47639">
            <w:pPr>
              <w:pStyle w:val="Standaard-Tabellen"/>
            </w:pPr>
            <w:r w:rsidRPr="00CF46C5">
              <w:t>1 application/day</w:t>
            </w:r>
          </w:p>
        </w:tc>
        <w:tc>
          <w:tcPr>
            <w:tcW w:w="880" w:type="pct"/>
            <w:vAlign w:val="center"/>
          </w:tcPr>
          <w:p w14:paraId="006984FE" w14:textId="77777777" w:rsidR="00C47639" w:rsidRPr="00CF46C5" w:rsidRDefault="00C47639" w:rsidP="00C47639">
            <w:pPr>
              <w:pStyle w:val="Standaard-Tabellen"/>
            </w:pPr>
            <w:r w:rsidRPr="00CF46C5">
              <w:t>Tier 1 /</w:t>
            </w:r>
          </w:p>
          <w:p w14:paraId="6B1FB1AD" w14:textId="77777777" w:rsidR="00C47639" w:rsidRPr="00CF46C5" w:rsidRDefault="00C47639" w:rsidP="00C47639">
            <w:pPr>
              <w:pStyle w:val="Standaard-Tabellen"/>
            </w:pPr>
            <w:r w:rsidRPr="00CF46C5">
              <w:t>no PPE</w:t>
            </w:r>
          </w:p>
        </w:tc>
        <w:tc>
          <w:tcPr>
            <w:tcW w:w="2258" w:type="pct"/>
            <w:vAlign w:val="center"/>
          </w:tcPr>
          <w:p w14:paraId="39F03CE6" w14:textId="77777777" w:rsidR="00C47639" w:rsidRPr="00B42FAC" w:rsidRDefault="00C47639" w:rsidP="00C47639">
            <w:pPr>
              <w:pStyle w:val="Standaard-Tabellen"/>
            </w:pPr>
            <w:r w:rsidRPr="0027501E">
              <w:rPr>
                <w:color w:val="FF0000"/>
              </w:rPr>
              <w:t>5.29</w:t>
            </w:r>
            <w:r w:rsidRPr="00B42FAC">
              <w:t xml:space="preserve"> mg/kg </w:t>
            </w:r>
            <w:proofErr w:type="spellStart"/>
            <w:r w:rsidRPr="00B42FAC">
              <w:t>bw</w:t>
            </w:r>
            <w:proofErr w:type="spellEnd"/>
            <w:r w:rsidRPr="00B42FAC">
              <w:t>/day</w:t>
            </w:r>
          </w:p>
        </w:tc>
      </w:tr>
      <w:tr w:rsidR="00C47639" w:rsidRPr="00CF46C5" w14:paraId="47077C5C" w14:textId="77777777" w:rsidTr="00C47639">
        <w:trPr>
          <w:cantSplit/>
          <w:trHeight w:val="587"/>
          <w:tblHeader/>
        </w:trPr>
        <w:tc>
          <w:tcPr>
            <w:tcW w:w="1862" w:type="pct"/>
            <w:shd w:val="clear" w:color="auto" w:fill="auto"/>
            <w:vAlign w:val="center"/>
          </w:tcPr>
          <w:p w14:paraId="1F9F38F8" w14:textId="77777777" w:rsidR="00C47639" w:rsidRPr="00CF46C5" w:rsidRDefault="00C47639" w:rsidP="00C47639">
            <w:pPr>
              <w:pStyle w:val="Standaard-Tabellen"/>
            </w:pPr>
            <w:r w:rsidRPr="00CF46C5">
              <w:t>Scenario 1 – ADULT</w:t>
            </w:r>
          </w:p>
          <w:p w14:paraId="3A594275" w14:textId="77777777" w:rsidR="00C47639" w:rsidRPr="00CF46C5" w:rsidRDefault="00C47639" w:rsidP="00C47639">
            <w:pPr>
              <w:pStyle w:val="Standaard-Tabellen"/>
            </w:pPr>
            <w:r>
              <w:t>2</w:t>
            </w:r>
            <w:r w:rsidRPr="00CF46C5">
              <w:t xml:space="preserve"> applications/day</w:t>
            </w:r>
          </w:p>
        </w:tc>
        <w:tc>
          <w:tcPr>
            <w:tcW w:w="880" w:type="pct"/>
            <w:vAlign w:val="center"/>
          </w:tcPr>
          <w:p w14:paraId="0D575D78" w14:textId="77777777" w:rsidR="00C47639" w:rsidRPr="00CF46C5" w:rsidRDefault="00C47639" w:rsidP="00C47639">
            <w:pPr>
              <w:pStyle w:val="Standaard-Tabellen"/>
            </w:pPr>
            <w:r w:rsidRPr="00CF46C5">
              <w:t xml:space="preserve">Tier </w:t>
            </w:r>
            <w:r>
              <w:t>2</w:t>
            </w:r>
            <w:r w:rsidRPr="00CF46C5">
              <w:t xml:space="preserve"> /</w:t>
            </w:r>
          </w:p>
          <w:p w14:paraId="6BA98BB3" w14:textId="77777777" w:rsidR="00C47639" w:rsidRPr="00CF46C5" w:rsidRDefault="00C47639" w:rsidP="00C47639">
            <w:pPr>
              <w:pStyle w:val="Standaard-Tabellen"/>
            </w:pPr>
            <w:r w:rsidRPr="00CF46C5">
              <w:t>no PPE</w:t>
            </w:r>
          </w:p>
        </w:tc>
        <w:tc>
          <w:tcPr>
            <w:tcW w:w="2258" w:type="pct"/>
            <w:vAlign w:val="center"/>
          </w:tcPr>
          <w:p w14:paraId="62613A53" w14:textId="77777777" w:rsidR="00C47639" w:rsidRPr="00837BBB" w:rsidRDefault="00C47639" w:rsidP="00C47639">
            <w:pPr>
              <w:pStyle w:val="Standaard-Tabellen"/>
            </w:pPr>
            <w:r w:rsidRPr="0027501E">
              <w:rPr>
                <w:color w:val="FF0000"/>
              </w:rPr>
              <w:t xml:space="preserve">5.71 </w:t>
            </w:r>
            <w:r w:rsidRPr="00CF46C5">
              <w:t xml:space="preserve">mg/kg </w:t>
            </w:r>
            <w:proofErr w:type="spellStart"/>
            <w:r w:rsidRPr="00CF46C5">
              <w:t>bw</w:t>
            </w:r>
            <w:proofErr w:type="spellEnd"/>
            <w:r w:rsidRPr="00CF46C5">
              <w:t>/day</w:t>
            </w:r>
          </w:p>
        </w:tc>
      </w:tr>
      <w:tr w:rsidR="00C47639" w:rsidRPr="00CF46C5" w14:paraId="7C43A6C6" w14:textId="77777777" w:rsidTr="00C47639">
        <w:trPr>
          <w:cantSplit/>
          <w:trHeight w:val="587"/>
          <w:tblHeader/>
        </w:trPr>
        <w:tc>
          <w:tcPr>
            <w:tcW w:w="1862" w:type="pct"/>
            <w:shd w:val="clear" w:color="auto" w:fill="auto"/>
            <w:vAlign w:val="center"/>
          </w:tcPr>
          <w:p w14:paraId="053AB915" w14:textId="77777777" w:rsidR="00C47639" w:rsidRPr="00CF46C5" w:rsidRDefault="00C47639" w:rsidP="00C47639">
            <w:pPr>
              <w:pStyle w:val="Standaard-Tabellen"/>
            </w:pPr>
            <w:r w:rsidRPr="00CF46C5">
              <w:t>Scenario 1 – CHILD</w:t>
            </w:r>
            <w:r>
              <w:t xml:space="preserve"> (6-12)</w:t>
            </w:r>
          </w:p>
          <w:p w14:paraId="38DAFE12" w14:textId="77777777" w:rsidR="00C47639" w:rsidRPr="00CF46C5" w:rsidRDefault="00C47639" w:rsidP="00C47639">
            <w:pPr>
              <w:pStyle w:val="Standaard-Tabellen"/>
            </w:pPr>
            <w:r>
              <w:t>1 application</w:t>
            </w:r>
            <w:r w:rsidRPr="00CF46C5">
              <w:t>/day</w:t>
            </w:r>
          </w:p>
        </w:tc>
        <w:tc>
          <w:tcPr>
            <w:tcW w:w="880" w:type="pct"/>
            <w:vAlign w:val="center"/>
          </w:tcPr>
          <w:p w14:paraId="4451CF28" w14:textId="77777777" w:rsidR="00C47639" w:rsidRPr="00CF46C5" w:rsidRDefault="00C47639" w:rsidP="00C47639">
            <w:pPr>
              <w:pStyle w:val="Standaard-Tabellen"/>
            </w:pPr>
            <w:r>
              <w:t>Tier 2</w:t>
            </w:r>
            <w:r w:rsidRPr="00CF46C5">
              <w:t xml:space="preserve"> /</w:t>
            </w:r>
          </w:p>
          <w:p w14:paraId="11850A79" w14:textId="77777777" w:rsidR="00C47639" w:rsidRPr="00CF46C5" w:rsidRDefault="00C47639" w:rsidP="00C47639">
            <w:pPr>
              <w:pStyle w:val="Standaard-Tabellen"/>
            </w:pPr>
            <w:r w:rsidRPr="00CF46C5">
              <w:t>no PPE</w:t>
            </w:r>
          </w:p>
        </w:tc>
        <w:tc>
          <w:tcPr>
            <w:tcW w:w="2258" w:type="pct"/>
            <w:vAlign w:val="center"/>
          </w:tcPr>
          <w:p w14:paraId="37EF8EBC" w14:textId="77777777" w:rsidR="00C47639" w:rsidRPr="00837BBB" w:rsidRDefault="00C47639" w:rsidP="00C47639">
            <w:pPr>
              <w:pStyle w:val="Standaard-Tabellen"/>
            </w:pPr>
            <w:r>
              <w:t>3.97</w:t>
            </w:r>
            <w:r w:rsidRPr="00837BBB">
              <w:t xml:space="preserve"> </w:t>
            </w:r>
            <w:r w:rsidRPr="00CF46C5">
              <w:t xml:space="preserve">mg/kg </w:t>
            </w:r>
            <w:proofErr w:type="spellStart"/>
            <w:r w:rsidRPr="00CF46C5">
              <w:t>bw</w:t>
            </w:r>
            <w:proofErr w:type="spellEnd"/>
            <w:r w:rsidRPr="00CF46C5">
              <w:t>/day</w:t>
            </w:r>
          </w:p>
        </w:tc>
      </w:tr>
      <w:tr w:rsidR="00C47639" w:rsidRPr="00CF46C5" w14:paraId="04FB4D9A" w14:textId="77777777" w:rsidTr="00C47639">
        <w:trPr>
          <w:cantSplit/>
          <w:trHeight w:val="587"/>
          <w:tblHeader/>
        </w:trPr>
        <w:tc>
          <w:tcPr>
            <w:tcW w:w="1862" w:type="pct"/>
            <w:shd w:val="clear" w:color="auto" w:fill="auto"/>
            <w:vAlign w:val="center"/>
          </w:tcPr>
          <w:p w14:paraId="4A61EA06" w14:textId="77777777" w:rsidR="00C47639" w:rsidRPr="00CF46C5" w:rsidRDefault="00C47639" w:rsidP="00C47639">
            <w:pPr>
              <w:pStyle w:val="Standaard-Tabellen"/>
            </w:pPr>
            <w:r w:rsidRPr="00CF46C5">
              <w:t>Scenario 1 – CHILD</w:t>
            </w:r>
            <w:r>
              <w:t xml:space="preserve"> (2-6)</w:t>
            </w:r>
          </w:p>
          <w:p w14:paraId="295BB7D5" w14:textId="77777777" w:rsidR="00C47639" w:rsidRPr="00CF46C5" w:rsidRDefault="00C47639" w:rsidP="00C47639">
            <w:pPr>
              <w:pStyle w:val="Standaard-Tabellen"/>
            </w:pPr>
            <w:r>
              <w:t>1 application</w:t>
            </w:r>
            <w:r w:rsidRPr="00CF46C5">
              <w:t>/day</w:t>
            </w:r>
          </w:p>
        </w:tc>
        <w:tc>
          <w:tcPr>
            <w:tcW w:w="880" w:type="pct"/>
            <w:vAlign w:val="center"/>
          </w:tcPr>
          <w:p w14:paraId="3EA81D14" w14:textId="77777777" w:rsidR="00C47639" w:rsidRPr="00CF46C5" w:rsidRDefault="00C47639" w:rsidP="00C47639">
            <w:pPr>
              <w:pStyle w:val="Standaard-Tabellen"/>
            </w:pPr>
            <w:r>
              <w:t>Tier 2</w:t>
            </w:r>
            <w:r w:rsidRPr="00CF46C5">
              <w:t xml:space="preserve"> /</w:t>
            </w:r>
          </w:p>
          <w:p w14:paraId="527052AB" w14:textId="77777777" w:rsidR="00C47639" w:rsidRPr="00CF46C5" w:rsidRDefault="00C47639" w:rsidP="00C47639">
            <w:pPr>
              <w:pStyle w:val="Standaard-Tabellen"/>
            </w:pPr>
            <w:r w:rsidRPr="00CF46C5">
              <w:t>no PPE</w:t>
            </w:r>
          </w:p>
        </w:tc>
        <w:tc>
          <w:tcPr>
            <w:tcW w:w="2258" w:type="pct"/>
            <w:vAlign w:val="center"/>
          </w:tcPr>
          <w:p w14:paraId="3A20521F" w14:textId="77777777" w:rsidR="00C47639" w:rsidRPr="00837BBB" w:rsidRDefault="00C47639" w:rsidP="00C47639">
            <w:pPr>
              <w:pStyle w:val="Standaard-Tabellen"/>
            </w:pPr>
            <w:r>
              <w:t>4.50</w:t>
            </w:r>
            <w:r w:rsidRPr="00837BBB">
              <w:t xml:space="preserve"> </w:t>
            </w:r>
            <w:r w:rsidRPr="00CF46C5">
              <w:t xml:space="preserve">mg/kg </w:t>
            </w:r>
            <w:proofErr w:type="spellStart"/>
            <w:r w:rsidRPr="00CF46C5">
              <w:t>bw</w:t>
            </w:r>
            <w:proofErr w:type="spellEnd"/>
            <w:r w:rsidRPr="00CF46C5">
              <w:t>/day</w:t>
            </w:r>
          </w:p>
        </w:tc>
      </w:tr>
      <w:tr w:rsidR="00C47639" w:rsidRPr="00CF46C5" w14:paraId="5F2434FF" w14:textId="77777777" w:rsidTr="00C47639">
        <w:trPr>
          <w:cantSplit/>
          <w:trHeight w:val="587"/>
          <w:tblHeader/>
        </w:trPr>
        <w:tc>
          <w:tcPr>
            <w:tcW w:w="1862" w:type="pct"/>
            <w:shd w:val="clear" w:color="auto" w:fill="auto"/>
            <w:vAlign w:val="center"/>
          </w:tcPr>
          <w:p w14:paraId="37DCB45C" w14:textId="77777777" w:rsidR="00C47639" w:rsidRPr="00CF46C5" w:rsidRDefault="00C47639" w:rsidP="00C47639">
            <w:pPr>
              <w:pStyle w:val="Standaard-Tabellen"/>
            </w:pPr>
            <w:r w:rsidRPr="00CF46C5">
              <w:t>Scenario 1 – ADULT</w:t>
            </w:r>
          </w:p>
          <w:p w14:paraId="28FFF5BB" w14:textId="77777777" w:rsidR="00C47639" w:rsidRPr="00CF46C5" w:rsidRDefault="00C47639" w:rsidP="00C47639">
            <w:pPr>
              <w:pStyle w:val="Standaard-Tabellen"/>
            </w:pPr>
            <w:r>
              <w:t>1 application</w:t>
            </w:r>
            <w:r w:rsidRPr="00CF46C5">
              <w:t>/day</w:t>
            </w:r>
          </w:p>
        </w:tc>
        <w:tc>
          <w:tcPr>
            <w:tcW w:w="880" w:type="pct"/>
            <w:vAlign w:val="center"/>
          </w:tcPr>
          <w:p w14:paraId="7E82C545" w14:textId="77777777" w:rsidR="00C47639" w:rsidRPr="00CF46C5" w:rsidRDefault="00C47639" w:rsidP="00C47639">
            <w:pPr>
              <w:pStyle w:val="Standaard-Tabellen"/>
            </w:pPr>
            <w:r>
              <w:t>Tier 3</w:t>
            </w:r>
            <w:r w:rsidRPr="00CF46C5">
              <w:t xml:space="preserve"> /</w:t>
            </w:r>
          </w:p>
          <w:p w14:paraId="79D6ED10" w14:textId="77777777" w:rsidR="00C47639" w:rsidRPr="00CF46C5" w:rsidRDefault="00C47639" w:rsidP="00C47639">
            <w:pPr>
              <w:pStyle w:val="Standaard-Tabellen"/>
            </w:pPr>
            <w:r w:rsidRPr="00CF46C5">
              <w:t>no PPE</w:t>
            </w:r>
          </w:p>
        </w:tc>
        <w:tc>
          <w:tcPr>
            <w:tcW w:w="2258" w:type="pct"/>
            <w:vAlign w:val="center"/>
          </w:tcPr>
          <w:p w14:paraId="45516889" w14:textId="77777777" w:rsidR="00C47639" w:rsidRPr="00837BBB" w:rsidRDefault="00C47639" w:rsidP="00C47639">
            <w:pPr>
              <w:pStyle w:val="Standaard-Tabellen"/>
            </w:pPr>
            <w:r>
              <w:t>2.85</w:t>
            </w:r>
            <w:r w:rsidRPr="00837BBB">
              <w:t xml:space="preserve"> </w:t>
            </w:r>
            <w:r w:rsidRPr="00CF46C5">
              <w:t xml:space="preserve">mg/kg </w:t>
            </w:r>
            <w:proofErr w:type="spellStart"/>
            <w:r w:rsidRPr="00CF46C5">
              <w:t>bw</w:t>
            </w:r>
            <w:proofErr w:type="spellEnd"/>
            <w:r w:rsidRPr="00CF46C5">
              <w:t>/day</w:t>
            </w:r>
          </w:p>
        </w:tc>
      </w:tr>
    </w:tbl>
    <w:p w14:paraId="0B1203B1" w14:textId="77777777" w:rsidR="00C47639" w:rsidRPr="00FD2055" w:rsidRDefault="00C47639" w:rsidP="00C47639">
      <w:pPr>
        <w:pStyle w:val="Explanatorynotes"/>
      </w:pPr>
    </w:p>
    <w:p w14:paraId="4D2443BD" w14:textId="77777777" w:rsidR="00C47639" w:rsidRPr="00532A83" w:rsidRDefault="00C47639" w:rsidP="00C47639">
      <w:pPr>
        <w:pStyle w:val="Titre6"/>
        <w:rPr>
          <w:lang w:val="en-US"/>
        </w:rPr>
      </w:pPr>
      <w:r w:rsidRPr="00532A83">
        <w:rPr>
          <w:lang w:val="en-US"/>
        </w:rPr>
        <w:t xml:space="preserve">Scenario </w:t>
      </w:r>
      <w:r>
        <w:rPr>
          <w:lang w:val="en-US"/>
        </w:rPr>
        <w:t xml:space="preserve">2: </w:t>
      </w:r>
      <w:r w:rsidRPr="00532A83">
        <w:rPr>
          <w:lang w:val="en-US"/>
        </w:rPr>
        <w:t>Primary exposure: Inhalation exposure assessment for adults, children, toddlers and infants.</w:t>
      </w:r>
    </w:p>
    <w:p w14:paraId="03478A79" w14:textId="77777777" w:rsidR="00C47639" w:rsidRPr="00FD2055" w:rsidRDefault="00C47639" w:rsidP="00C47639">
      <w:pPr>
        <w:pStyle w:val="Explanatorynotes"/>
      </w:pPr>
    </w:p>
    <w:p w14:paraId="6A97EB24" w14:textId="77777777" w:rsidR="00C47639" w:rsidRPr="00FD2055" w:rsidRDefault="00C47639" w:rsidP="00C47639"/>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8"/>
        <w:gridCol w:w="4970"/>
        <w:gridCol w:w="1898"/>
      </w:tblGrid>
      <w:tr w:rsidR="00C47639" w:rsidRPr="00332AD5" w14:paraId="5A8806F6" w14:textId="77777777" w:rsidTr="00C47639">
        <w:trPr>
          <w:tblHeader/>
        </w:trPr>
        <w:tc>
          <w:tcPr>
            <w:tcW w:w="5000" w:type="pct"/>
            <w:gridSpan w:val="3"/>
            <w:shd w:val="clear" w:color="auto" w:fill="FFFFCC"/>
            <w:tcMar>
              <w:top w:w="57" w:type="dxa"/>
              <w:bottom w:w="57" w:type="dxa"/>
            </w:tcMar>
          </w:tcPr>
          <w:p w14:paraId="6124C435" w14:textId="77777777" w:rsidR="00C47639" w:rsidRPr="00332AD5" w:rsidRDefault="00C47639" w:rsidP="00C47639">
            <w:pPr>
              <w:pStyle w:val="Standaard-Tabellen"/>
              <w:jc w:val="center"/>
              <w:rPr>
                <w:b/>
              </w:rPr>
            </w:pPr>
            <w:r w:rsidRPr="00332AD5">
              <w:rPr>
                <w:b/>
              </w:rPr>
              <w:lastRenderedPageBreak/>
              <w:t xml:space="preserve">Description of Scenario </w:t>
            </w:r>
            <w:r>
              <w:rPr>
                <w:b/>
              </w:rPr>
              <w:t>2</w:t>
            </w:r>
          </w:p>
        </w:tc>
      </w:tr>
      <w:tr w:rsidR="00C47639" w:rsidRPr="00FD2055" w14:paraId="57B9FD3C" w14:textId="77777777" w:rsidTr="00C47639">
        <w:trPr>
          <w:tblHeader/>
        </w:trPr>
        <w:tc>
          <w:tcPr>
            <w:tcW w:w="5000" w:type="pct"/>
            <w:gridSpan w:val="3"/>
            <w:tcBorders>
              <w:bottom w:val="single" w:sz="6" w:space="0" w:color="auto"/>
            </w:tcBorders>
            <w:shd w:val="clear" w:color="auto" w:fill="auto"/>
            <w:tcMar>
              <w:top w:w="57" w:type="dxa"/>
              <w:bottom w:w="57" w:type="dxa"/>
            </w:tcMar>
          </w:tcPr>
          <w:p w14:paraId="2F7FDFD0" w14:textId="77777777" w:rsidR="00C47639" w:rsidRPr="00624A36" w:rsidRDefault="00C47639" w:rsidP="00C47639">
            <w:pPr>
              <w:spacing w:before="0" w:after="0"/>
              <w:rPr>
                <w:i/>
              </w:rPr>
            </w:pPr>
            <w:r w:rsidRPr="00781F73">
              <w:t>This scenario is based on the one available in the CAR of IR3535</w:t>
            </w:r>
            <w:r w:rsidRPr="0004367B">
              <w:rPr>
                <w:vertAlign w:val="superscript"/>
              </w:rPr>
              <w:t>®</w:t>
            </w:r>
            <w:r w:rsidRPr="00781F73">
              <w:t xml:space="preserve">. It has been adapted with the </w:t>
            </w:r>
            <w:proofErr w:type="gramStart"/>
            <w:r w:rsidRPr="00781F73">
              <w:t>documents :</w:t>
            </w:r>
            <w:proofErr w:type="gramEnd"/>
            <w:r w:rsidRPr="00781F73">
              <w:t xml:space="preserve"> Biocide Human Health Exposure Methodology (</w:t>
            </w:r>
            <w:r>
              <w:t>O</w:t>
            </w:r>
            <w:r w:rsidRPr="00781F73">
              <w:t>ct 2015) and Guidance on the biocidal products Regulation (volume III Human He</w:t>
            </w:r>
            <w:r>
              <w:t>alth – Part B Risk Assessment, O</w:t>
            </w:r>
            <w:r w:rsidRPr="00781F73">
              <w:t>ct 2015).</w:t>
            </w:r>
          </w:p>
        </w:tc>
      </w:tr>
      <w:tr w:rsidR="00C47639" w:rsidRPr="00FD2055" w14:paraId="27F68F0A" w14:textId="77777777" w:rsidTr="00C47639">
        <w:trPr>
          <w:tblHeader/>
        </w:trPr>
        <w:tc>
          <w:tcPr>
            <w:tcW w:w="5000" w:type="pct"/>
            <w:gridSpan w:val="3"/>
            <w:tcBorders>
              <w:bottom w:val="nil"/>
            </w:tcBorders>
            <w:shd w:val="clear" w:color="auto" w:fill="auto"/>
            <w:tcMar>
              <w:top w:w="57" w:type="dxa"/>
              <w:bottom w:w="57" w:type="dxa"/>
            </w:tcMar>
          </w:tcPr>
          <w:p w14:paraId="1534DC5D" w14:textId="77777777" w:rsidR="00C47639" w:rsidRDefault="00C47639" w:rsidP="00C47639">
            <w:pPr>
              <w:pStyle w:val="Explanatorynotes"/>
              <w:spacing w:before="0" w:after="0"/>
              <w:rPr>
                <w:rFonts w:ascii="Verdana" w:hAnsi="Verdana"/>
                <w:i w:val="0"/>
              </w:rPr>
            </w:pPr>
            <w:r w:rsidRPr="004C0F06">
              <w:rPr>
                <w:rFonts w:ascii="Verdana" w:hAnsi="Verdana"/>
                <w:b/>
                <w:i w:val="0"/>
              </w:rPr>
              <w:t>Model used:</w:t>
            </w:r>
            <w:r w:rsidRPr="00624A36">
              <w:rPr>
                <w:rFonts w:ascii="Verdana" w:hAnsi="Verdana"/>
                <w:i w:val="0"/>
              </w:rPr>
              <w:t xml:space="preserve"> “</w:t>
            </w:r>
            <w:r w:rsidRPr="00A65E12">
              <w:rPr>
                <w:rFonts w:ascii="Verdana" w:hAnsi="Verdana"/>
                <w:i w:val="0"/>
              </w:rPr>
              <w:t>Consumer spraying and dusting model 2 - Hand-held trigger spray” from</w:t>
            </w:r>
            <w:r>
              <w:rPr>
                <w:rFonts w:ascii="Verdana" w:hAnsi="Verdana"/>
                <w:i w:val="0"/>
              </w:rPr>
              <w:t xml:space="preserve"> </w:t>
            </w:r>
            <w:r w:rsidRPr="00A65E12">
              <w:rPr>
                <w:rFonts w:ascii="Verdana" w:hAnsi="Verdana"/>
                <w:i w:val="0"/>
              </w:rPr>
              <w:t xml:space="preserve"> Biocide Human Health Exposure Methodology, p. </w:t>
            </w:r>
            <w:r>
              <w:rPr>
                <w:rFonts w:ascii="Verdana" w:hAnsi="Verdana"/>
                <w:i w:val="0"/>
              </w:rPr>
              <w:t>220</w:t>
            </w:r>
          </w:p>
        </w:tc>
      </w:tr>
      <w:tr w:rsidR="00C47639" w:rsidRPr="00FD2055" w14:paraId="023580C1" w14:textId="77777777" w:rsidTr="00C47639">
        <w:trPr>
          <w:tblHeader/>
        </w:trPr>
        <w:tc>
          <w:tcPr>
            <w:tcW w:w="5000" w:type="pct"/>
            <w:gridSpan w:val="3"/>
            <w:tcBorders>
              <w:top w:val="nil"/>
            </w:tcBorders>
            <w:shd w:val="clear" w:color="auto" w:fill="auto"/>
            <w:tcMar>
              <w:top w:w="57" w:type="dxa"/>
              <w:bottom w:w="57" w:type="dxa"/>
            </w:tcMar>
          </w:tcPr>
          <w:p w14:paraId="38DA2F67" w14:textId="77777777" w:rsidR="00C47639" w:rsidRDefault="00C47639" w:rsidP="00C47639">
            <w:pPr>
              <w:pStyle w:val="Explanatorynotes"/>
              <w:spacing w:before="0" w:after="0"/>
              <w:ind w:left="773" w:hanging="773"/>
              <w:rPr>
                <w:rFonts w:ascii="Verdana" w:hAnsi="Verdana"/>
                <w:i w:val="0"/>
              </w:rPr>
            </w:pPr>
            <w:r>
              <w:rPr>
                <w:rFonts w:ascii="Verdana" w:hAnsi="Verdana"/>
                <w:b/>
                <w:i w:val="0"/>
              </w:rPr>
              <w:t>I</w:t>
            </w:r>
            <w:r w:rsidRPr="00624A36">
              <w:rPr>
                <w:rFonts w:ascii="Verdana" w:hAnsi="Verdana"/>
                <w:b/>
                <w:i w:val="0"/>
              </w:rPr>
              <w:t>nhaled product</w:t>
            </w:r>
            <w:r w:rsidRPr="00624A36">
              <w:rPr>
                <w:rFonts w:ascii="Verdana" w:hAnsi="Verdana"/>
                <w:i w:val="0"/>
              </w:rPr>
              <w:t xml:space="preserve"> = </w:t>
            </w:r>
          </w:p>
          <w:p w14:paraId="255941CF" w14:textId="77777777" w:rsidR="00C47639" w:rsidRPr="00624A36" w:rsidRDefault="00C47639" w:rsidP="00C47639">
            <w:pPr>
              <w:pStyle w:val="Explanatorynotes"/>
              <w:spacing w:before="0" w:after="0"/>
              <w:ind w:left="348"/>
              <w:rPr>
                <w:rFonts w:ascii="Verdana" w:hAnsi="Verdana"/>
                <w:i w:val="0"/>
              </w:rPr>
            </w:pPr>
            <w:r w:rsidRPr="00624A36">
              <w:rPr>
                <w:rFonts w:ascii="Verdana" w:hAnsi="Verdana"/>
                <w:i w:val="0"/>
              </w:rPr>
              <w:t>Inhalation rate x n</w:t>
            </w:r>
            <w:r>
              <w:rPr>
                <w:rFonts w:ascii="Verdana" w:hAnsi="Verdana"/>
                <w:i w:val="0"/>
              </w:rPr>
              <w:t xml:space="preserve">umber of application/day x spray duration (min.) </w:t>
            </w:r>
            <w:r w:rsidRPr="00624A36">
              <w:rPr>
                <w:rFonts w:ascii="Verdana" w:hAnsi="Verdana"/>
                <w:i w:val="0"/>
              </w:rPr>
              <w:t>/</w:t>
            </w:r>
            <w:r>
              <w:rPr>
                <w:rFonts w:ascii="Verdana" w:hAnsi="Verdana"/>
                <w:i w:val="0"/>
              </w:rPr>
              <w:t xml:space="preserve"> </w:t>
            </w:r>
            <w:r w:rsidRPr="00624A36">
              <w:rPr>
                <w:rFonts w:ascii="Verdana" w:hAnsi="Verdana"/>
                <w:i w:val="0"/>
              </w:rPr>
              <w:t>60 min</w:t>
            </w:r>
            <w:r>
              <w:rPr>
                <w:rFonts w:ascii="Verdana" w:hAnsi="Verdana"/>
                <w:i w:val="0"/>
              </w:rPr>
              <w:t>.</w:t>
            </w:r>
            <w:r w:rsidRPr="00624A36">
              <w:rPr>
                <w:rFonts w:ascii="Verdana" w:hAnsi="Verdana"/>
                <w:i w:val="0"/>
              </w:rPr>
              <w:t xml:space="preserve"> </w:t>
            </w:r>
            <w:r>
              <w:rPr>
                <w:rFonts w:ascii="Verdana" w:hAnsi="Verdana"/>
                <w:i w:val="0"/>
              </w:rPr>
              <w:t xml:space="preserve">x </w:t>
            </w:r>
            <w:r w:rsidRPr="00624A36">
              <w:rPr>
                <w:rFonts w:ascii="Verdana" w:hAnsi="Verdana"/>
                <w:i w:val="0"/>
              </w:rPr>
              <w:t xml:space="preserve"> indicative value for inhalation</w:t>
            </w:r>
          </w:p>
          <w:p w14:paraId="6C3E6F4C" w14:textId="77777777" w:rsidR="00C47639" w:rsidRDefault="00C47639" w:rsidP="00C47639">
            <w:pPr>
              <w:pStyle w:val="Explanatorynotes"/>
              <w:spacing w:before="0" w:after="0"/>
              <w:ind w:left="773" w:hanging="773"/>
              <w:rPr>
                <w:rFonts w:ascii="Verdana" w:hAnsi="Verdana"/>
                <w:i w:val="0"/>
              </w:rPr>
            </w:pPr>
            <w:r>
              <w:rPr>
                <w:rFonts w:ascii="Verdana" w:hAnsi="Verdana"/>
                <w:b/>
                <w:i w:val="0"/>
              </w:rPr>
              <w:t>I</w:t>
            </w:r>
            <w:r w:rsidRPr="00624A36">
              <w:rPr>
                <w:rFonts w:ascii="Verdana" w:hAnsi="Verdana"/>
                <w:b/>
                <w:i w:val="0"/>
              </w:rPr>
              <w:t>nhaled active substance</w:t>
            </w:r>
            <w:r w:rsidRPr="00624A36">
              <w:rPr>
                <w:rFonts w:ascii="Verdana" w:hAnsi="Verdana"/>
                <w:i w:val="0"/>
              </w:rPr>
              <w:t xml:space="preserve"> = </w:t>
            </w:r>
          </w:p>
          <w:p w14:paraId="3240B34B" w14:textId="77777777" w:rsidR="00C47639" w:rsidRDefault="00C47639" w:rsidP="00C47639">
            <w:pPr>
              <w:pStyle w:val="Explanatorynotes"/>
              <w:spacing w:before="0" w:after="0"/>
              <w:ind w:left="348"/>
              <w:rPr>
                <w:rFonts w:ascii="Verdana" w:hAnsi="Verdana"/>
                <w:i w:val="0"/>
              </w:rPr>
            </w:pPr>
            <w:proofErr w:type="gramStart"/>
            <w:r w:rsidRPr="00624A36">
              <w:rPr>
                <w:rFonts w:ascii="Verdana" w:hAnsi="Verdana"/>
                <w:i w:val="0"/>
              </w:rPr>
              <w:t>inhaled</w:t>
            </w:r>
            <w:proofErr w:type="gramEnd"/>
            <w:r w:rsidRPr="00624A36">
              <w:rPr>
                <w:rFonts w:ascii="Verdana" w:hAnsi="Verdana"/>
                <w:i w:val="0"/>
              </w:rPr>
              <w:t xml:space="preserve"> product x percent </w:t>
            </w:r>
            <w:r>
              <w:rPr>
                <w:rFonts w:ascii="Verdana" w:hAnsi="Verdana"/>
                <w:i w:val="0"/>
              </w:rPr>
              <w:t xml:space="preserve">of </w:t>
            </w:r>
            <w:proofErr w:type="spellStart"/>
            <w:r>
              <w:rPr>
                <w:rFonts w:ascii="Verdana" w:hAnsi="Verdana"/>
                <w:i w:val="0"/>
              </w:rPr>
              <w:t>a.s</w:t>
            </w:r>
            <w:proofErr w:type="spellEnd"/>
            <w:r>
              <w:rPr>
                <w:rFonts w:ascii="Verdana" w:hAnsi="Verdana"/>
                <w:i w:val="0"/>
              </w:rPr>
              <w:t xml:space="preserve">. in the </w:t>
            </w:r>
            <w:proofErr w:type="spellStart"/>
            <w:r>
              <w:rPr>
                <w:rFonts w:ascii="Verdana" w:hAnsi="Verdana"/>
                <w:i w:val="0"/>
              </w:rPr>
              <w:t>b.p</w:t>
            </w:r>
            <w:proofErr w:type="spellEnd"/>
            <w:r>
              <w:rPr>
                <w:rFonts w:ascii="Verdana" w:hAnsi="Verdana"/>
                <w:i w:val="0"/>
              </w:rPr>
              <w:t>.</w:t>
            </w:r>
          </w:p>
          <w:p w14:paraId="772B014F" w14:textId="77777777" w:rsidR="00C47639" w:rsidRDefault="00C47639" w:rsidP="00C47639">
            <w:pPr>
              <w:pStyle w:val="Explanatorynotes"/>
              <w:spacing w:before="0" w:after="0"/>
              <w:ind w:left="348"/>
              <w:rPr>
                <w:rFonts w:ascii="Verdana" w:hAnsi="Verdana"/>
                <w:i w:val="0"/>
              </w:rPr>
            </w:pPr>
          </w:p>
          <w:p w14:paraId="47DE3553" w14:textId="77777777" w:rsidR="00C47639" w:rsidRDefault="00C47639" w:rsidP="00C47639">
            <w:pPr>
              <w:pStyle w:val="Explanatorynotes"/>
              <w:spacing w:before="0" w:after="0"/>
              <w:rPr>
                <w:rFonts w:ascii="Verdana" w:hAnsi="Verdana"/>
                <w:i w:val="0"/>
              </w:rPr>
            </w:pPr>
            <w:r w:rsidRPr="00BD5C0C">
              <w:rPr>
                <w:rFonts w:ascii="Verdana" w:hAnsi="Verdana"/>
                <w:i w:val="0"/>
              </w:rPr>
              <w:t xml:space="preserve">Particle size distribution will determine the </w:t>
            </w:r>
            <w:proofErr w:type="spellStart"/>
            <w:r w:rsidRPr="00BD5C0C">
              <w:rPr>
                <w:rFonts w:ascii="Verdana" w:hAnsi="Verdana"/>
                <w:i w:val="0"/>
              </w:rPr>
              <w:t>respirable</w:t>
            </w:r>
            <w:proofErr w:type="spellEnd"/>
            <w:r w:rsidRPr="00BD5C0C">
              <w:rPr>
                <w:rFonts w:ascii="Verdana" w:hAnsi="Verdana"/>
                <w:i w:val="0"/>
              </w:rPr>
              <w:t xml:space="preserve"> fraction of the product released.  Regarding the cut-off value for </w:t>
            </w:r>
            <w:proofErr w:type="spellStart"/>
            <w:r w:rsidRPr="00BD5C0C">
              <w:rPr>
                <w:rFonts w:ascii="Verdana" w:hAnsi="Verdana"/>
                <w:i w:val="0"/>
              </w:rPr>
              <w:t>respirable</w:t>
            </w:r>
            <w:proofErr w:type="spellEnd"/>
            <w:r w:rsidRPr="00BD5C0C">
              <w:rPr>
                <w:rFonts w:ascii="Verdana" w:hAnsi="Verdana"/>
                <w:i w:val="0"/>
              </w:rPr>
              <w:t xml:space="preserve"> droplet size, different sources a</w:t>
            </w:r>
            <w:r>
              <w:rPr>
                <w:rFonts w:ascii="Verdana" w:hAnsi="Verdana"/>
                <w:i w:val="0"/>
              </w:rPr>
              <w:t xml:space="preserve">re available. The BPR guidance </w:t>
            </w:r>
            <w:r w:rsidRPr="00BD5C0C">
              <w:rPr>
                <w:rFonts w:ascii="Verdana" w:hAnsi="Verdana"/>
                <w:i w:val="0"/>
              </w:rPr>
              <w:t xml:space="preserve">III part B states that particles below 15 µm may reach the alveolar region of the respiratory tract.  According to the Biocides Human Health Exposure Methodology, particles larger than 20 </w:t>
            </w:r>
            <w:proofErr w:type="spellStart"/>
            <w:r w:rsidRPr="00BD5C0C">
              <w:rPr>
                <w:rFonts w:ascii="Verdana" w:hAnsi="Verdana"/>
                <w:i w:val="0"/>
              </w:rPr>
              <w:t>μm</w:t>
            </w:r>
            <w:proofErr w:type="spellEnd"/>
            <w:r w:rsidRPr="00BD5C0C">
              <w:rPr>
                <w:rFonts w:ascii="Verdana" w:hAnsi="Verdana"/>
                <w:i w:val="0"/>
              </w:rPr>
              <w:t xml:space="preserve"> are all non-</w:t>
            </w:r>
            <w:proofErr w:type="spellStart"/>
            <w:r w:rsidRPr="00BD5C0C">
              <w:rPr>
                <w:rFonts w:ascii="Verdana" w:hAnsi="Verdana"/>
                <w:i w:val="0"/>
              </w:rPr>
              <w:t>respirable</w:t>
            </w:r>
            <w:proofErr w:type="spellEnd"/>
            <w:r w:rsidRPr="00BD5C0C">
              <w:rPr>
                <w:rFonts w:ascii="Verdana" w:hAnsi="Verdana"/>
                <w:i w:val="0"/>
              </w:rPr>
              <w:t xml:space="preserve"> and particles smaller than 5 </w:t>
            </w:r>
            <w:proofErr w:type="spellStart"/>
            <w:r w:rsidRPr="00BD5C0C">
              <w:rPr>
                <w:rFonts w:ascii="Verdana" w:hAnsi="Verdana"/>
                <w:i w:val="0"/>
              </w:rPr>
              <w:t>μm</w:t>
            </w:r>
            <w:proofErr w:type="spellEnd"/>
            <w:r w:rsidRPr="00BD5C0C">
              <w:rPr>
                <w:rFonts w:ascii="Verdana" w:hAnsi="Verdana"/>
                <w:i w:val="0"/>
              </w:rPr>
              <w:t xml:space="preserve"> are </w:t>
            </w:r>
            <w:proofErr w:type="spellStart"/>
            <w:r w:rsidRPr="00BD5C0C">
              <w:rPr>
                <w:rFonts w:ascii="Verdana" w:hAnsi="Verdana"/>
                <w:i w:val="0"/>
              </w:rPr>
              <w:t>respirable</w:t>
            </w:r>
            <w:proofErr w:type="spellEnd"/>
            <w:r w:rsidRPr="00BD5C0C">
              <w:rPr>
                <w:rFonts w:ascii="Verdana" w:hAnsi="Verdana"/>
                <w:i w:val="0"/>
              </w:rPr>
              <w:t xml:space="preserve"> for about 35</w:t>
            </w:r>
            <w:r>
              <w:rPr>
                <w:rFonts w:ascii="Verdana" w:hAnsi="Verdana"/>
                <w:i w:val="0"/>
              </w:rPr>
              <w:t> </w:t>
            </w:r>
            <w:r w:rsidRPr="00BD5C0C">
              <w:rPr>
                <w:rFonts w:ascii="Verdana" w:hAnsi="Verdana"/>
                <w:i w:val="0"/>
              </w:rPr>
              <w:t xml:space="preserve">%. The draft Proposal for </w:t>
            </w:r>
            <w:proofErr w:type="spellStart"/>
            <w:r w:rsidRPr="00BD5C0C">
              <w:rPr>
                <w:rFonts w:ascii="Verdana" w:hAnsi="Verdana"/>
                <w:i w:val="0"/>
              </w:rPr>
              <w:t>harmonising</w:t>
            </w:r>
            <w:proofErr w:type="spellEnd"/>
            <w:r w:rsidRPr="00BD5C0C">
              <w:rPr>
                <w:rFonts w:ascii="Verdana" w:hAnsi="Verdana"/>
                <w:i w:val="0"/>
              </w:rPr>
              <w:t xml:space="preserve"> the assessment of human exposure to repellents (PT19) states that in general, the cut-off for the </w:t>
            </w:r>
            <w:proofErr w:type="spellStart"/>
            <w:r w:rsidRPr="00BD5C0C">
              <w:rPr>
                <w:rFonts w:ascii="Verdana" w:hAnsi="Verdana"/>
                <w:i w:val="0"/>
              </w:rPr>
              <w:t>respirable</w:t>
            </w:r>
            <w:proofErr w:type="spellEnd"/>
            <w:r w:rsidRPr="00BD5C0C">
              <w:rPr>
                <w:rFonts w:ascii="Verdana" w:hAnsi="Verdana"/>
                <w:i w:val="0"/>
              </w:rPr>
              <w:t xml:space="preserve"> fraction is 10 µm, and refers to </w:t>
            </w:r>
            <w:proofErr w:type="spellStart"/>
            <w:r w:rsidRPr="00BD5C0C">
              <w:rPr>
                <w:rFonts w:ascii="Verdana" w:hAnsi="Verdana"/>
                <w:i w:val="0"/>
              </w:rPr>
              <w:t>ConsExpo</w:t>
            </w:r>
            <w:proofErr w:type="spellEnd"/>
            <w:r w:rsidRPr="00BD5C0C">
              <w:rPr>
                <w:rFonts w:ascii="Verdana" w:hAnsi="Verdana"/>
                <w:i w:val="0"/>
              </w:rPr>
              <w:t xml:space="preserve"> 4.1 for the asse</w:t>
            </w:r>
            <w:r>
              <w:rPr>
                <w:rFonts w:ascii="Verdana" w:hAnsi="Verdana"/>
                <w:i w:val="0"/>
              </w:rPr>
              <w:t xml:space="preserve">ssment of inhalation exposure. </w:t>
            </w:r>
            <w:r w:rsidRPr="00BD5C0C">
              <w:rPr>
                <w:rFonts w:ascii="Verdana" w:hAnsi="Verdana"/>
                <w:i w:val="0"/>
              </w:rPr>
              <w:t xml:space="preserve">In </w:t>
            </w:r>
            <w:proofErr w:type="spellStart"/>
            <w:r w:rsidRPr="00BD5C0C">
              <w:rPr>
                <w:rFonts w:ascii="Verdana" w:hAnsi="Verdana"/>
                <w:i w:val="0"/>
              </w:rPr>
              <w:t>ConsExpo</w:t>
            </w:r>
            <w:proofErr w:type="spellEnd"/>
            <w:r w:rsidRPr="00BD5C0C">
              <w:rPr>
                <w:rFonts w:ascii="Verdana" w:hAnsi="Verdana"/>
                <w:i w:val="0"/>
              </w:rPr>
              <w:t xml:space="preserve"> 4.1, the default cut-off for the </w:t>
            </w:r>
            <w:proofErr w:type="spellStart"/>
            <w:r w:rsidRPr="00BD5C0C">
              <w:rPr>
                <w:rFonts w:ascii="Verdana" w:hAnsi="Verdana"/>
                <w:i w:val="0"/>
              </w:rPr>
              <w:t>respirable</w:t>
            </w:r>
            <w:proofErr w:type="spellEnd"/>
            <w:r w:rsidRPr="00BD5C0C">
              <w:rPr>
                <w:rFonts w:ascii="Verdana" w:hAnsi="Verdana"/>
                <w:i w:val="0"/>
              </w:rPr>
              <w:t xml:space="preserve"> fraction has been set at 15 µm.  For the present assessment, a cut-off value of 15 µm for the </w:t>
            </w:r>
            <w:proofErr w:type="spellStart"/>
            <w:r w:rsidRPr="00BD5C0C">
              <w:rPr>
                <w:rFonts w:ascii="Verdana" w:hAnsi="Verdana"/>
                <w:i w:val="0"/>
              </w:rPr>
              <w:t>respirable</w:t>
            </w:r>
            <w:proofErr w:type="spellEnd"/>
            <w:r w:rsidRPr="00BD5C0C">
              <w:rPr>
                <w:rFonts w:ascii="Verdana" w:hAnsi="Verdana"/>
                <w:i w:val="0"/>
              </w:rPr>
              <w:t xml:space="preserve"> fraction has been chosen.</w:t>
            </w:r>
          </w:p>
          <w:p w14:paraId="32B09449" w14:textId="77777777" w:rsidR="00C47639" w:rsidRDefault="00C47639" w:rsidP="00C47639">
            <w:pPr>
              <w:pStyle w:val="Explanatorynotes"/>
              <w:spacing w:before="0" w:after="0"/>
              <w:rPr>
                <w:rFonts w:ascii="Verdana" w:hAnsi="Verdana"/>
                <w:i w:val="0"/>
              </w:rPr>
            </w:pPr>
          </w:p>
          <w:p w14:paraId="3B3573E9" w14:textId="77777777" w:rsidR="00C47639" w:rsidRDefault="00C47639" w:rsidP="00C47639">
            <w:pPr>
              <w:pStyle w:val="Explanatorynotes"/>
              <w:spacing w:before="0" w:after="0"/>
              <w:rPr>
                <w:rFonts w:ascii="Verdana" w:hAnsi="Verdana"/>
                <w:i w:val="0"/>
              </w:rPr>
            </w:pPr>
            <w:r w:rsidRPr="0043081C">
              <w:rPr>
                <w:rFonts w:ascii="Verdana" w:hAnsi="Verdana"/>
                <w:i w:val="0"/>
              </w:rPr>
              <w:t xml:space="preserve">The </w:t>
            </w:r>
            <w:r>
              <w:rPr>
                <w:rFonts w:ascii="Verdana" w:hAnsi="Verdana"/>
                <w:i w:val="0"/>
              </w:rPr>
              <w:t>applicant</w:t>
            </w:r>
            <w:r w:rsidRPr="0043081C">
              <w:rPr>
                <w:rFonts w:ascii="Verdana" w:hAnsi="Verdana"/>
                <w:i w:val="0"/>
              </w:rPr>
              <w:t xml:space="preserve"> provided a study for the distribution of particles and their size. 11</w:t>
            </w:r>
            <w:r>
              <w:rPr>
                <w:rFonts w:ascii="Verdana" w:hAnsi="Verdana"/>
                <w:i w:val="0"/>
              </w:rPr>
              <w:t>.</w:t>
            </w:r>
            <w:r w:rsidRPr="0043081C">
              <w:rPr>
                <w:rFonts w:ascii="Verdana" w:hAnsi="Verdana"/>
                <w:i w:val="0"/>
              </w:rPr>
              <w:t>21</w:t>
            </w:r>
            <w:r>
              <w:rPr>
                <w:rFonts w:ascii="Verdana" w:hAnsi="Verdana"/>
                <w:i w:val="0"/>
              </w:rPr>
              <w:t> </w:t>
            </w:r>
            <w:r w:rsidRPr="0043081C">
              <w:rPr>
                <w:rFonts w:ascii="Verdana" w:hAnsi="Verdana"/>
                <w:i w:val="0"/>
              </w:rPr>
              <w:t>%</w:t>
            </w:r>
            <w:proofErr w:type="gramStart"/>
            <w:r w:rsidRPr="0043081C">
              <w:rPr>
                <w:rFonts w:ascii="Verdana" w:hAnsi="Verdana"/>
                <w:i w:val="0"/>
              </w:rPr>
              <w:t>(V</w:t>
            </w:r>
            <w:proofErr w:type="gramEnd"/>
            <w:r w:rsidRPr="0043081C">
              <w:rPr>
                <w:rFonts w:ascii="Verdana" w:hAnsi="Verdana"/>
                <w:i w:val="0"/>
              </w:rPr>
              <w:t>) of the released biocidal product has a diameter below 15</w:t>
            </w:r>
            <w:r>
              <w:rPr>
                <w:rFonts w:ascii="Verdana" w:hAnsi="Verdana"/>
                <w:i w:val="0"/>
              </w:rPr>
              <w:t>.</w:t>
            </w:r>
            <w:r w:rsidRPr="0043081C">
              <w:rPr>
                <w:rFonts w:ascii="Verdana" w:hAnsi="Verdana"/>
                <w:i w:val="0"/>
              </w:rPr>
              <w:t>81</w:t>
            </w:r>
            <w:r>
              <w:rPr>
                <w:rFonts w:ascii="Verdana" w:hAnsi="Verdana"/>
                <w:i w:val="0"/>
              </w:rPr>
              <w:t> </w:t>
            </w:r>
            <w:r w:rsidRPr="0043081C">
              <w:rPr>
                <w:rFonts w:ascii="Verdana" w:hAnsi="Verdana"/>
                <w:i w:val="0"/>
              </w:rPr>
              <w:t>µm(V). The rest is regarded as non-</w:t>
            </w:r>
            <w:proofErr w:type="spellStart"/>
            <w:r w:rsidRPr="0043081C">
              <w:rPr>
                <w:rFonts w:ascii="Verdana" w:hAnsi="Verdana"/>
                <w:i w:val="0"/>
              </w:rPr>
              <w:t>respirable</w:t>
            </w:r>
            <w:proofErr w:type="spellEnd"/>
            <w:r w:rsidRPr="0043081C">
              <w:rPr>
                <w:rFonts w:ascii="Verdana" w:hAnsi="Verdana"/>
                <w:i w:val="0"/>
              </w:rPr>
              <w:t xml:space="preserve"> and is assumed to be taken in orally.</w:t>
            </w:r>
          </w:p>
          <w:p w14:paraId="0CAC7EC0" w14:textId="77777777" w:rsidR="00C47639" w:rsidRPr="00624A36" w:rsidRDefault="00C47639" w:rsidP="00C47639">
            <w:pPr>
              <w:pStyle w:val="Explanatorynotes"/>
              <w:spacing w:before="0" w:after="0"/>
              <w:rPr>
                <w:rFonts w:ascii="Verdana" w:hAnsi="Verdana"/>
                <w:i w:val="0"/>
              </w:rPr>
            </w:pPr>
          </w:p>
          <w:p w14:paraId="50873BB4" w14:textId="77777777" w:rsidR="00C47639" w:rsidRPr="00624A36" w:rsidRDefault="00C47639" w:rsidP="00C47639">
            <w:pPr>
              <w:pStyle w:val="Explanatorynotes"/>
              <w:spacing w:before="0" w:after="0"/>
              <w:rPr>
                <w:rFonts w:ascii="Verdana" w:hAnsi="Verdana"/>
                <w:b/>
                <w:i w:val="0"/>
              </w:rPr>
            </w:pPr>
            <w:r w:rsidRPr="00624A36">
              <w:rPr>
                <w:rFonts w:ascii="Verdana" w:hAnsi="Verdana"/>
                <w:b/>
                <w:i w:val="0"/>
              </w:rPr>
              <w:t xml:space="preserve">Inhalation systemic exposure: </w:t>
            </w:r>
          </w:p>
          <w:p w14:paraId="6F0A4BD1" w14:textId="77777777" w:rsidR="00C47639" w:rsidRPr="00055990" w:rsidRDefault="00C47639" w:rsidP="00C47639">
            <w:pPr>
              <w:pStyle w:val="Explanatorynotes"/>
              <w:spacing w:before="0" w:after="0"/>
              <w:ind w:left="348"/>
              <w:rPr>
                <w:rFonts w:ascii="Verdana" w:hAnsi="Verdana"/>
                <w:i w:val="0"/>
              </w:rPr>
            </w:pPr>
            <w:r>
              <w:rPr>
                <w:rFonts w:ascii="Verdana" w:hAnsi="Verdana"/>
                <w:i w:val="0"/>
              </w:rPr>
              <w:t>11.21 </w:t>
            </w:r>
            <w:r w:rsidRPr="00624A36">
              <w:rPr>
                <w:rFonts w:ascii="Verdana" w:hAnsi="Verdana"/>
                <w:i w:val="0"/>
              </w:rPr>
              <w:t>% x</w:t>
            </w:r>
            <w:r w:rsidRPr="00624A36">
              <w:rPr>
                <w:rFonts w:ascii="Verdana" w:hAnsi="Verdana"/>
              </w:rPr>
              <w:t xml:space="preserve"> </w:t>
            </w:r>
            <w:r w:rsidRPr="00624A36">
              <w:rPr>
                <w:rFonts w:ascii="Verdana" w:hAnsi="Verdana"/>
                <w:i w:val="0"/>
              </w:rPr>
              <w:t xml:space="preserve">inhaled </w:t>
            </w:r>
            <w:proofErr w:type="spellStart"/>
            <w:r>
              <w:rPr>
                <w:rFonts w:ascii="Verdana" w:hAnsi="Verdana"/>
                <w:i w:val="0"/>
              </w:rPr>
              <w:t>a.s</w:t>
            </w:r>
            <w:proofErr w:type="spellEnd"/>
            <w:r>
              <w:rPr>
                <w:rFonts w:ascii="Verdana" w:hAnsi="Verdana"/>
                <w:i w:val="0"/>
              </w:rPr>
              <w:t>.</w:t>
            </w:r>
            <w:r w:rsidRPr="00624A36">
              <w:rPr>
                <w:rFonts w:ascii="Verdana" w:hAnsi="Verdana"/>
                <w:i w:val="0"/>
              </w:rPr>
              <w:t xml:space="preserve"> x inhalation absorption</w:t>
            </w:r>
            <w:r>
              <w:rPr>
                <w:rFonts w:ascii="Verdana" w:hAnsi="Verdana"/>
                <w:i w:val="0"/>
              </w:rPr>
              <w:t xml:space="preserve"> / body weight</w:t>
            </w:r>
          </w:p>
          <w:p w14:paraId="790B928C" w14:textId="77777777" w:rsidR="00C47639" w:rsidRDefault="00C47639" w:rsidP="00C47639">
            <w:pPr>
              <w:pStyle w:val="Explanatorynotes"/>
              <w:spacing w:before="0" w:after="0"/>
              <w:rPr>
                <w:rFonts w:ascii="Verdana" w:hAnsi="Verdana"/>
                <w:b/>
                <w:i w:val="0"/>
              </w:rPr>
            </w:pPr>
            <w:r>
              <w:rPr>
                <w:rFonts w:ascii="Verdana" w:hAnsi="Verdana"/>
                <w:b/>
                <w:i w:val="0"/>
              </w:rPr>
              <w:t>Oral systemic exposure:</w:t>
            </w:r>
          </w:p>
          <w:p w14:paraId="4C020E5A" w14:textId="77777777" w:rsidR="00C47639" w:rsidRDefault="00C47639" w:rsidP="00C47639">
            <w:pPr>
              <w:pStyle w:val="Explanatorynotes"/>
              <w:spacing w:before="0" w:after="0"/>
              <w:ind w:left="348"/>
              <w:rPr>
                <w:rFonts w:ascii="Verdana" w:hAnsi="Verdana"/>
                <w:i w:val="0"/>
              </w:rPr>
            </w:pPr>
            <w:r>
              <w:rPr>
                <w:rFonts w:ascii="Verdana" w:hAnsi="Verdana"/>
                <w:i w:val="0"/>
              </w:rPr>
              <w:t>88.79 </w:t>
            </w:r>
            <w:r w:rsidRPr="00624A36">
              <w:rPr>
                <w:rFonts w:ascii="Verdana" w:hAnsi="Verdana"/>
                <w:i w:val="0"/>
              </w:rPr>
              <w:t xml:space="preserve">% x inhaled </w:t>
            </w:r>
            <w:proofErr w:type="spellStart"/>
            <w:r>
              <w:rPr>
                <w:rFonts w:ascii="Verdana" w:hAnsi="Verdana"/>
                <w:i w:val="0"/>
              </w:rPr>
              <w:t>a.s</w:t>
            </w:r>
            <w:proofErr w:type="spellEnd"/>
            <w:r>
              <w:rPr>
                <w:rFonts w:ascii="Verdana" w:hAnsi="Verdana"/>
                <w:i w:val="0"/>
              </w:rPr>
              <w:t>.</w:t>
            </w:r>
            <w:r w:rsidRPr="00624A36">
              <w:rPr>
                <w:rFonts w:ascii="Verdana" w:hAnsi="Verdana"/>
                <w:i w:val="0"/>
              </w:rPr>
              <w:t xml:space="preserve"> x oral absorption  / body weight</w:t>
            </w:r>
          </w:p>
          <w:p w14:paraId="05ED7887" w14:textId="77777777" w:rsidR="00C47639" w:rsidRPr="00992444" w:rsidRDefault="00C47639" w:rsidP="00C47639">
            <w:pPr>
              <w:pStyle w:val="Standaard-Tabellen"/>
            </w:pPr>
          </w:p>
        </w:tc>
      </w:tr>
      <w:tr w:rsidR="00C47639" w:rsidRPr="00FD2055" w14:paraId="0758552B" w14:textId="77777777" w:rsidTr="00C47639">
        <w:trPr>
          <w:tblHeader/>
        </w:trPr>
        <w:tc>
          <w:tcPr>
            <w:tcW w:w="1345" w:type="pct"/>
            <w:shd w:val="clear" w:color="auto" w:fill="BFBFBF" w:themeFill="background1" w:themeFillShade="BF"/>
            <w:tcMar>
              <w:top w:w="57" w:type="dxa"/>
              <w:bottom w:w="57" w:type="dxa"/>
            </w:tcMar>
          </w:tcPr>
          <w:p w14:paraId="599917F2" w14:textId="77777777" w:rsidR="00C47639" w:rsidRPr="00721042" w:rsidRDefault="00C47639" w:rsidP="00C47639">
            <w:pPr>
              <w:pStyle w:val="Standaard-Tabellen"/>
              <w:rPr>
                <w:b/>
              </w:rPr>
            </w:pPr>
          </w:p>
        </w:tc>
        <w:tc>
          <w:tcPr>
            <w:tcW w:w="2645" w:type="pct"/>
            <w:shd w:val="clear" w:color="auto" w:fill="BFBFBF" w:themeFill="background1" w:themeFillShade="BF"/>
            <w:tcMar>
              <w:top w:w="57" w:type="dxa"/>
              <w:bottom w:w="57" w:type="dxa"/>
            </w:tcMar>
          </w:tcPr>
          <w:p w14:paraId="613882B8" w14:textId="77777777" w:rsidR="00C47639" w:rsidRPr="00721042" w:rsidRDefault="00C47639" w:rsidP="00C47639">
            <w:pPr>
              <w:pStyle w:val="Standaard-Tabellen"/>
              <w:rPr>
                <w:b/>
              </w:rPr>
            </w:pPr>
            <w:r w:rsidRPr="00721042">
              <w:rPr>
                <w:b/>
              </w:rPr>
              <w:t>Parameters</w:t>
            </w:r>
          </w:p>
        </w:tc>
        <w:tc>
          <w:tcPr>
            <w:tcW w:w="1010" w:type="pct"/>
            <w:shd w:val="clear" w:color="auto" w:fill="BFBFBF" w:themeFill="background1" w:themeFillShade="BF"/>
            <w:tcMar>
              <w:top w:w="57" w:type="dxa"/>
              <w:bottom w:w="57" w:type="dxa"/>
            </w:tcMar>
          </w:tcPr>
          <w:p w14:paraId="4FFBBB96" w14:textId="77777777" w:rsidR="00C47639" w:rsidRPr="00721042" w:rsidRDefault="00C47639" w:rsidP="00C47639">
            <w:pPr>
              <w:pStyle w:val="Standaard-Tabellen"/>
              <w:rPr>
                <w:b/>
              </w:rPr>
            </w:pPr>
            <w:r w:rsidRPr="00721042">
              <w:rPr>
                <w:b/>
              </w:rPr>
              <w:t>Value</w:t>
            </w:r>
          </w:p>
        </w:tc>
      </w:tr>
      <w:tr w:rsidR="00C47639" w:rsidRPr="00FD2055" w14:paraId="5922B3EA" w14:textId="77777777" w:rsidTr="00C47639">
        <w:trPr>
          <w:tblHeader/>
        </w:trPr>
        <w:tc>
          <w:tcPr>
            <w:tcW w:w="1345" w:type="pct"/>
            <w:vMerge w:val="restart"/>
            <w:tcMar>
              <w:top w:w="57" w:type="dxa"/>
              <w:bottom w:w="57" w:type="dxa"/>
            </w:tcMar>
          </w:tcPr>
          <w:p w14:paraId="62C806C5" w14:textId="77777777" w:rsidR="00C47639" w:rsidRPr="00FD2055" w:rsidRDefault="00C47639" w:rsidP="00C47639">
            <w:pPr>
              <w:pStyle w:val="Standaard-Tabellen"/>
            </w:pPr>
            <w:r>
              <w:t>For All categories</w:t>
            </w:r>
          </w:p>
        </w:tc>
        <w:tc>
          <w:tcPr>
            <w:tcW w:w="2645" w:type="pct"/>
            <w:shd w:val="clear" w:color="auto" w:fill="auto"/>
            <w:tcMar>
              <w:top w:w="57" w:type="dxa"/>
              <w:bottom w:w="57" w:type="dxa"/>
            </w:tcMar>
          </w:tcPr>
          <w:p w14:paraId="2EB89D97" w14:textId="77777777" w:rsidR="00C47639" w:rsidRPr="00FA0BAC" w:rsidRDefault="00C47639" w:rsidP="00C47639">
            <w:pPr>
              <w:pStyle w:val="Standaard-Tabellen"/>
              <w:rPr>
                <w:vertAlign w:val="superscript"/>
              </w:rPr>
            </w:pPr>
            <w:r>
              <w:t>Inhalation absorption</w:t>
            </w:r>
            <w:r>
              <w:rPr>
                <w:vertAlign w:val="superscript"/>
              </w:rPr>
              <w:t>1</w:t>
            </w:r>
          </w:p>
        </w:tc>
        <w:tc>
          <w:tcPr>
            <w:tcW w:w="1010" w:type="pct"/>
            <w:shd w:val="clear" w:color="auto" w:fill="auto"/>
            <w:tcMar>
              <w:top w:w="57" w:type="dxa"/>
              <w:bottom w:w="57" w:type="dxa"/>
            </w:tcMar>
          </w:tcPr>
          <w:p w14:paraId="7B828484" w14:textId="77777777" w:rsidR="00C47639" w:rsidRPr="00FD2055" w:rsidRDefault="00C47639" w:rsidP="00C47639">
            <w:pPr>
              <w:pStyle w:val="Standaard-Tabellen"/>
            </w:pPr>
            <w:r>
              <w:t>100%</w:t>
            </w:r>
          </w:p>
        </w:tc>
      </w:tr>
      <w:tr w:rsidR="00C47639" w:rsidRPr="00FD2055" w14:paraId="6293C8F7" w14:textId="77777777" w:rsidTr="00C47639">
        <w:trPr>
          <w:tblHeader/>
        </w:trPr>
        <w:tc>
          <w:tcPr>
            <w:tcW w:w="1345" w:type="pct"/>
            <w:vMerge/>
            <w:tcMar>
              <w:top w:w="57" w:type="dxa"/>
              <w:bottom w:w="57" w:type="dxa"/>
            </w:tcMar>
          </w:tcPr>
          <w:p w14:paraId="235CEA82" w14:textId="77777777" w:rsidR="00C47639" w:rsidRDefault="00C47639" w:rsidP="00C47639">
            <w:pPr>
              <w:pStyle w:val="Standaard-Tabellen"/>
            </w:pPr>
          </w:p>
        </w:tc>
        <w:tc>
          <w:tcPr>
            <w:tcW w:w="2645" w:type="pct"/>
            <w:shd w:val="clear" w:color="auto" w:fill="auto"/>
            <w:tcMar>
              <w:top w:w="57" w:type="dxa"/>
              <w:bottom w:w="57" w:type="dxa"/>
            </w:tcMar>
          </w:tcPr>
          <w:p w14:paraId="3E9D302E" w14:textId="77777777" w:rsidR="00C47639" w:rsidRDefault="00C47639" w:rsidP="00C47639">
            <w:pPr>
              <w:pStyle w:val="Standaard-Tabellen"/>
            </w:pPr>
            <w:r>
              <w:t>Oral absorption</w:t>
            </w:r>
            <w:r>
              <w:rPr>
                <w:vertAlign w:val="superscript"/>
              </w:rPr>
              <w:t>1</w:t>
            </w:r>
          </w:p>
        </w:tc>
        <w:tc>
          <w:tcPr>
            <w:tcW w:w="1010" w:type="pct"/>
            <w:shd w:val="clear" w:color="auto" w:fill="auto"/>
            <w:tcMar>
              <w:top w:w="57" w:type="dxa"/>
              <w:bottom w:w="57" w:type="dxa"/>
            </w:tcMar>
          </w:tcPr>
          <w:p w14:paraId="2F4E1BF8" w14:textId="77777777" w:rsidR="00C47639" w:rsidRDefault="00C47639" w:rsidP="00C47639">
            <w:pPr>
              <w:pStyle w:val="Standaard-Tabellen"/>
            </w:pPr>
            <w:r>
              <w:t>100%</w:t>
            </w:r>
          </w:p>
        </w:tc>
      </w:tr>
      <w:tr w:rsidR="00C47639" w:rsidRPr="00FD2055" w14:paraId="60B1C8BE" w14:textId="77777777" w:rsidTr="00C47639">
        <w:trPr>
          <w:tblHeader/>
        </w:trPr>
        <w:tc>
          <w:tcPr>
            <w:tcW w:w="1345" w:type="pct"/>
            <w:vMerge/>
            <w:tcMar>
              <w:top w:w="57" w:type="dxa"/>
              <w:bottom w:w="57" w:type="dxa"/>
            </w:tcMar>
          </w:tcPr>
          <w:p w14:paraId="5A919DB2" w14:textId="77777777" w:rsidR="00C47639" w:rsidRDefault="00C47639" w:rsidP="00C47639">
            <w:pPr>
              <w:pStyle w:val="Standaard-Tabellen"/>
            </w:pPr>
          </w:p>
        </w:tc>
        <w:tc>
          <w:tcPr>
            <w:tcW w:w="2645" w:type="pct"/>
            <w:shd w:val="clear" w:color="auto" w:fill="auto"/>
            <w:tcMar>
              <w:top w:w="57" w:type="dxa"/>
              <w:bottom w:w="57" w:type="dxa"/>
            </w:tcMar>
          </w:tcPr>
          <w:p w14:paraId="1F5B9A12" w14:textId="77777777" w:rsidR="00C47639" w:rsidRDefault="00C47639" w:rsidP="00C47639">
            <w:pPr>
              <w:pStyle w:val="Standaard-Tabellen"/>
            </w:pPr>
            <w:r>
              <w:t>% of active substance in biocidal product</w:t>
            </w:r>
            <w:r>
              <w:rPr>
                <w:vertAlign w:val="superscript"/>
              </w:rPr>
              <w:t>1</w:t>
            </w:r>
            <w:r>
              <w:t xml:space="preserve"> </w:t>
            </w:r>
          </w:p>
        </w:tc>
        <w:tc>
          <w:tcPr>
            <w:tcW w:w="1010" w:type="pct"/>
            <w:shd w:val="clear" w:color="auto" w:fill="auto"/>
            <w:tcMar>
              <w:top w:w="57" w:type="dxa"/>
              <w:bottom w:w="57" w:type="dxa"/>
            </w:tcMar>
          </w:tcPr>
          <w:p w14:paraId="1832674E" w14:textId="77777777" w:rsidR="00C47639" w:rsidRDefault="00C47639" w:rsidP="00C47639">
            <w:pPr>
              <w:pStyle w:val="Standaard-Tabellen"/>
            </w:pPr>
            <w:r>
              <w:t>20%</w:t>
            </w:r>
          </w:p>
        </w:tc>
      </w:tr>
      <w:tr w:rsidR="00C47639" w:rsidRPr="00FD2055" w14:paraId="44CFB1A0" w14:textId="77777777" w:rsidTr="00C47639">
        <w:trPr>
          <w:tblHeader/>
        </w:trPr>
        <w:tc>
          <w:tcPr>
            <w:tcW w:w="1345" w:type="pct"/>
            <w:vMerge/>
            <w:tcMar>
              <w:top w:w="57" w:type="dxa"/>
              <w:bottom w:w="57" w:type="dxa"/>
            </w:tcMar>
          </w:tcPr>
          <w:p w14:paraId="1F6EFDB6" w14:textId="77777777" w:rsidR="00C47639" w:rsidRDefault="00C47639" w:rsidP="00C47639">
            <w:pPr>
              <w:pStyle w:val="Standaard-Tabellen"/>
            </w:pPr>
          </w:p>
        </w:tc>
        <w:tc>
          <w:tcPr>
            <w:tcW w:w="2645" w:type="pct"/>
            <w:shd w:val="clear" w:color="auto" w:fill="auto"/>
            <w:tcMar>
              <w:top w:w="57" w:type="dxa"/>
              <w:bottom w:w="57" w:type="dxa"/>
            </w:tcMar>
          </w:tcPr>
          <w:p w14:paraId="0007FD0C" w14:textId="77777777" w:rsidR="00C47639" w:rsidRPr="00A65E12" w:rsidRDefault="00C47639" w:rsidP="00C47639">
            <w:pPr>
              <w:pStyle w:val="Standaard-Tabellen"/>
              <w:rPr>
                <w:vertAlign w:val="superscript"/>
              </w:rPr>
            </w:pPr>
            <w:r w:rsidRPr="00B5240E">
              <w:t>Indicative value for inhalation</w:t>
            </w:r>
            <w:r>
              <w:rPr>
                <w:vertAlign w:val="superscript"/>
              </w:rPr>
              <w:t>2</w:t>
            </w:r>
          </w:p>
        </w:tc>
        <w:tc>
          <w:tcPr>
            <w:tcW w:w="1010" w:type="pct"/>
            <w:shd w:val="clear" w:color="auto" w:fill="auto"/>
            <w:tcMar>
              <w:top w:w="57" w:type="dxa"/>
              <w:bottom w:w="57" w:type="dxa"/>
            </w:tcMar>
          </w:tcPr>
          <w:p w14:paraId="4D83653D" w14:textId="77777777" w:rsidR="00C47639" w:rsidRPr="004C0F06" w:rsidRDefault="00C47639" w:rsidP="00C47639">
            <w:pPr>
              <w:pStyle w:val="Standaard-Tabellen"/>
            </w:pPr>
            <w:r w:rsidRPr="00B5240E">
              <w:t>10</w:t>
            </w:r>
            <w:r>
              <w:t>.</w:t>
            </w:r>
            <w:r w:rsidRPr="00B5240E">
              <w:t>5 mg/m</w:t>
            </w:r>
            <w:r w:rsidRPr="00B5240E">
              <w:rPr>
                <w:vertAlign w:val="superscript"/>
              </w:rPr>
              <w:t>3</w:t>
            </w:r>
            <w:r>
              <w:t xml:space="preserve"> </w:t>
            </w:r>
          </w:p>
        </w:tc>
      </w:tr>
      <w:tr w:rsidR="00C47639" w:rsidRPr="002A4F9D" w14:paraId="7D8F6441" w14:textId="77777777" w:rsidTr="00C47639">
        <w:trPr>
          <w:tblHeader/>
        </w:trPr>
        <w:tc>
          <w:tcPr>
            <w:tcW w:w="1345" w:type="pct"/>
            <w:vMerge/>
            <w:tcMar>
              <w:top w:w="57" w:type="dxa"/>
              <w:bottom w:w="57" w:type="dxa"/>
            </w:tcMar>
          </w:tcPr>
          <w:p w14:paraId="6EDE0DC8" w14:textId="77777777" w:rsidR="00C47639" w:rsidRDefault="00C47639" w:rsidP="00C47639">
            <w:pPr>
              <w:pStyle w:val="Standaard-Tabellen"/>
            </w:pPr>
          </w:p>
        </w:tc>
        <w:tc>
          <w:tcPr>
            <w:tcW w:w="2645" w:type="pct"/>
            <w:shd w:val="clear" w:color="auto" w:fill="auto"/>
            <w:tcMar>
              <w:top w:w="57" w:type="dxa"/>
              <w:bottom w:w="57" w:type="dxa"/>
            </w:tcMar>
          </w:tcPr>
          <w:p w14:paraId="57C39682" w14:textId="77777777" w:rsidR="00C47639" w:rsidRPr="00A65E12" w:rsidRDefault="00C47639" w:rsidP="00C47639">
            <w:pPr>
              <w:pStyle w:val="Standaard-Tabellen"/>
              <w:rPr>
                <w:vertAlign w:val="superscript"/>
              </w:rPr>
            </w:pPr>
            <w:r w:rsidRPr="00B5240E">
              <w:t>Spray duration</w:t>
            </w:r>
            <w:r>
              <w:rPr>
                <w:vertAlign w:val="superscript"/>
              </w:rPr>
              <w:t>3</w:t>
            </w:r>
          </w:p>
        </w:tc>
        <w:tc>
          <w:tcPr>
            <w:tcW w:w="1010" w:type="pct"/>
            <w:shd w:val="clear" w:color="auto" w:fill="auto"/>
            <w:tcMar>
              <w:top w:w="57" w:type="dxa"/>
              <w:bottom w:w="57" w:type="dxa"/>
            </w:tcMar>
          </w:tcPr>
          <w:p w14:paraId="0571E5F4" w14:textId="77777777" w:rsidR="00C47639" w:rsidRPr="004C0F06" w:rsidRDefault="00C47639" w:rsidP="00C47639">
            <w:pPr>
              <w:pStyle w:val="Standaard-Tabellen"/>
              <w:rPr>
                <w:lang w:val="fr-BE"/>
              </w:rPr>
            </w:pPr>
            <w:r w:rsidRPr="00C8507C">
              <w:rPr>
                <w:lang w:val="fr-BE"/>
              </w:rPr>
              <w:t xml:space="preserve">4 minutes </w:t>
            </w:r>
          </w:p>
        </w:tc>
      </w:tr>
      <w:tr w:rsidR="00C47639" w:rsidRPr="00FD2055" w14:paraId="783B2984" w14:textId="77777777" w:rsidTr="00C47639">
        <w:trPr>
          <w:tblHeader/>
        </w:trPr>
        <w:tc>
          <w:tcPr>
            <w:tcW w:w="1345" w:type="pct"/>
            <w:vMerge w:val="restart"/>
            <w:tcMar>
              <w:top w:w="57" w:type="dxa"/>
              <w:bottom w:w="57" w:type="dxa"/>
            </w:tcMar>
          </w:tcPr>
          <w:p w14:paraId="01060EAC" w14:textId="77777777" w:rsidR="00C47639" w:rsidRPr="00FD2055" w:rsidRDefault="00C47639" w:rsidP="00C47639">
            <w:pPr>
              <w:pStyle w:val="Standaard-Tabellen"/>
            </w:pPr>
            <w:r w:rsidRPr="000B65BB">
              <w:t>Tier 1- Adult</w:t>
            </w:r>
          </w:p>
        </w:tc>
        <w:tc>
          <w:tcPr>
            <w:tcW w:w="2645" w:type="pct"/>
            <w:shd w:val="clear" w:color="auto" w:fill="auto"/>
            <w:tcMar>
              <w:top w:w="57" w:type="dxa"/>
              <w:bottom w:w="57" w:type="dxa"/>
            </w:tcMar>
          </w:tcPr>
          <w:p w14:paraId="606D961A" w14:textId="77777777" w:rsidR="00C47639" w:rsidRDefault="00C47639" w:rsidP="00C47639">
            <w:pPr>
              <w:pStyle w:val="Standaard-Tabellen"/>
            </w:pPr>
            <w:r>
              <w:t>Number of application / day</w:t>
            </w:r>
            <w:r>
              <w:rPr>
                <w:vertAlign w:val="superscript"/>
              </w:rPr>
              <w:t>1</w:t>
            </w:r>
          </w:p>
        </w:tc>
        <w:tc>
          <w:tcPr>
            <w:tcW w:w="1010" w:type="pct"/>
            <w:shd w:val="clear" w:color="auto" w:fill="auto"/>
            <w:tcMar>
              <w:top w:w="57" w:type="dxa"/>
              <w:bottom w:w="57" w:type="dxa"/>
            </w:tcMar>
          </w:tcPr>
          <w:p w14:paraId="6724576F" w14:textId="77777777" w:rsidR="00C47639" w:rsidRPr="005E2956" w:rsidRDefault="00C47639" w:rsidP="00C47639">
            <w:pPr>
              <w:pStyle w:val="Standaard-Tabellen"/>
            </w:pPr>
            <w:r w:rsidRPr="005E2956">
              <w:t>3</w:t>
            </w:r>
          </w:p>
        </w:tc>
      </w:tr>
      <w:tr w:rsidR="00C47639" w:rsidRPr="00FD2055" w14:paraId="3F58A549" w14:textId="77777777" w:rsidTr="00C47639">
        <w:trPr>
          <w:tblHeader/>
        </w:trPr>
        <w:tc>
          <w:tcPr>
            <w:tcW w:w="1345" w:type="pct"/>
            <w:vMerge/>
            <w:tcMar>
              <w:top w:w="57" w:type="dxa"/>
              <w:bottom w:w="57" w:type="dxa"/>
            </w:tcMar>
          </w:tcPr>
          <w:p w14:paraId="10B4B83F" w14:textId="77777777" w:rsidR="00C47639" w:rsidRPr="00FD2055" w:rsidRDefault="00C47639" w:rsidP="00C47639">
            <w:pPr>
              <w:pStyle w:val="Standaard-Tabellen"/>
            </w:pPr>
          </w:p>
        </w:tc>
        <w:tc>
          <w:tcPr>
            <w:tcW w:w="2645" w:type="pct"/>
            <w:shd w:val="clear" w:color="auto" w:fill="auto"/>
            <w:tcMar>
              <w:top w:w="57" w:type="dxa"/>
              <w:bottom w:w="57" w:type="dxa"/>
            </w:tcMar>
          </w:tcPr>
          <w:p w14:paraId="000D1624" w14:textId="77777777" w:rsidR="00C47639" w:rsidRDefault="00C47639" w:rsidP="00C47639">
            <w:pPr>
              <w:pStyle w:val="Standaard-Tabellen"/>
            </w:pPr>
            <w:r>
              <w:t>Body weight</w:t>
            </w:r>
            <w:r>
              <w:rPr>
                <w:vertAlign w:val="superscript"/>
              </w:rPr>
              <w:t>1</w:t>
            </w:r>
            <w:r>
              <w:t xml:space="preserve"> </w:t>
            </w:r>
          </w:p>
        </w:tc>
        <w:tc>
          <w:tcPr>
            <w:tcW w:w="1010" w:type="pct"/>
            <w:shd w:val="clear" w:color="auto" w:fill="auto"/>
            <w:tcMar>
              <w:top w:w="57" w:type="dxa"/>
              <w:bottom w:w="57" w:type="dxa"/>
            </w:tcMar>
          </w:tcPr>
          <w:p w14:paraId="111720F9" w14:textId="77777777" w:rsidR="00C47639" w:rsidRPr="005E2956" w:rsidRDefault="00C47639" w:rsidP="00C47639">
            <w:pPr>
              <w:pStyle w:val="Standaard-Tabellen"/>
            </w:pPr>
            <w:r w:rsidRPr="005E2956">
              <w:t>60 kg</w:t>
            </w:r>
          </w:p>
        </w:tc>
      </w:tr>
      <w:tr w:rsidR="00C47639" w:rsidRPr="00FD2055" w14:paraId="33D8F0F2" w14:textId="77777777" w:rsidTr="00C47639">
        <w:trPr>
          <w:tblHeader/>
        </w:trPr>
        <w:tc>
          <w:tcPr>
            <w:tcW w:w="1345" w:type="pct"/>
            <w:vMerge/>
            <w:tcMar>
              <w:top w:w="57" w:type="dxa"/>
              <w:bottom w:w="57" w:type="dxa"/>
            </w:tcMar>
          </w:tcPr>
          <w:p w14:paraId="46C9A4D3" w14:textId="77777777" w:rsidR="00C47639" w:rsidRPr="00FD2055" w:rsidRDefault="00C47639" w:rsidP="00C47639">
            <w:pPr>
              <w:pStyle w:val="Standaard-Tabellen"/>
            </w:pPr>
          </w:p>
        </w:tc>
        <w:tc>
          <w:tcPr>
            <w:tcW w:w="2645" w:type="pct"/>
            <w:shd w:val="clear" w:color="auto" w:fill="auto"/>
            <w:tcMar>
              <w:top w:w="57" w:type="dxa"/>
              <w:bottom w:w="57" w:type="dxa"/>
            </w:tcMar>
          </w:tcPr>
          <w:p w14:paraId="40C508F8" w14:textId="77777777" w:rsidR="00C47639" w:rsidRDefault="00C47639" w:rsidP="00C47639">
            <w:pPr>
              <w:pStyle w:val="Standaard-Tabellen"/>
            </w:pPr>
            <w:r w:rsidRPr="005A44E3">
              <w:t>Respiration rate [m</w:t>
            </w:r>
            <w:r w:rsidRPr="005A44E3">
              <w:rPr>
                <w:vertAlign w:val="superscript"/>
              </w:rPr>
              <w:t>3</w:t>
            </w:r>
            <w:r>
              <w:t>/air/hour]</w:t>
            </w:r>
            <w:r>
              <w:rPr>
                <w:vertAlign w:val="superscript"/>
              </w:rPr>
              <w:t xml:space="preserve"> 1</w:t>
            </w:r>
          </w:p>
        </w:tc>
        <w:tc>
          <w:tcPr>
            <w:tcW w:w="1010" w:type="pct"/>
            <w:shd w:val="clear" w:color="auto" w:fill="auto"/>
            <w:tcMar>
              <w:top w:w="57" w:type="dxa"/>
              <w:bottom w:w="57" w:type="dxa"/>
            </w:tcMar>
          </w:tcPr>
          <w:p w14:paraId="61F5F586" w14:textId="77777777" w:rsidR="00C47639" w:rsidRPr="005E2956" w:rsidRDefault="00C47639" w:rsidP="00C47639">
            <w:pPr>
              <w:pStyle w:val="Standaard-Tabellen"/>
            </w:pPr>
            <w:r>
              <w:t>1.</w:t>
            </w:r>
            <w:r w:rsidRPr="005E2956">
              <w:t>25 m³/h</w:t>
            </w:r>
          </w:p>
        </w:tc>
      </w:tr>
      <w:tr w:rsidR="00C47639" w:rsidRPr="00FD2055" w14:paraId="65DE594A" w14:textId="77777777" w:rsidTr="00C47639">
        <w:trPr>
          <w:tblHeader/>
        </w:trPr>
        <w:tc>
          <w:tcPr>
            <w:tcW w:w="1345" w:type="pct"/>
            <w:vMerge w:val="restart"/>
            <w:tcMar>
              <w:top w:w="57" w:type="dxa"/>
              <w:bottom w:w="57" w:type="dxa"/>
            </w:tcMar>
          </w:tcPr>
          <w:p w14:paraId="24A03088" w14:textId="77777777" w:rsidR="00C47639" w:rsidRPr="00FD2055" w:rsidRDefault="00C47639" w:rsidP="00C47639">
            <w:pPr>
              <w:pStyle w:val="Standaard-Tabellen"/>
            </w:pPr>
            <w:r w:rsidRPr="000B65BB">
              <w:t xml:space="preserve">Tier 1- </w:t>
            </w:r>
            <w:r w:rsidRPr="00994E49">
              <w:t>C</w:t>
            </w:r>
            <w:r>
              <w:t>hild</w:t>
            </w:r>
            <w:r w:rsidRPr="00994E49">
              <w:t xml:space="preserve"> 6 to &lt; 12 years old</w:t>
            </w:r>
          </w:p>
        </w:tc>
        <w:tc>
          <w:tcPr>
            <w:tcW w:w="2645" w:type="pct"/>
            <w:shd w:val="clear" w:color="auto" w:fill="auto"/>
            <w:tcMar>
              <w:top w:w="57" w:type="dxa"/>
              <w:bottom w:w="57" w:type="dxa"/>
            </w:tcMar>
          </w:tcPr>
          <w:p w14:paraId="3072A939" w14:textId="77777777" w:rsidR="00C47639" w:rsidRPr="00FA0BAC" w:rsidRDefault="00C47639" w:rsidP="00C47639">
            <w:pPr>
              <w:pStyle w:val="Standaard-Tabellen"/>
            </w:pPr>
            <w:r w:rsidRPr="00FA0BAC">
              <w:t>Number of application / day</w:t>
            </w:r>
            <w:r>
              <w:rPr>
                <w:vertAlign w:val="superscript"/>
              </w:rPr>
              <w:t>1</w:t>
            </w:r>
          </w:p>
        </w:tc>
        <w:tc>
          <w:tcPr>
            <w:tcW w:w="1010" w:type="pct"/>
            <w:shd w:val="clear" w:color="auto" w:fill="auto"/>
            <w:tcMar>
              <w:top w:w="57" w:type="dxa"/>
              <w:bottom w:w="57" w:type="dxa"/>
            </w:tcMar>
          </w:tcPr>
          <w:p w14:paraId="39D2C50D" w14:textId="77777777" w:rsidR="00C47639" w:rsidRPr="005E2956" w:rsidRDefault="00C47639" w:rsidP="00C47639">
            <w:pPr>
              <w:pStyle w:val="Standaard-Tabellen"/>
            </w:pPr>
            <w:r w:rsidRPr="005E2956">
              <w:t>2</w:t>
            </w:r>
          </w:p>
        </w:tc>
      </w:tr>
      <w:tr w:rsidR="00C47639" w:rsidRPr="00FD2055" w14:paraId="42B3AD3A" w14:textId="77777777" w:rsidTr="00C47639">
        <w:trPr>
          <w:tblHeader/>
        </w:trPr>
        <w:tc>
          <w:tcPr>
            <w:tcW w:w="1345" w:type="pct"/>
            <w:vMerge/>
            <w:tcMar>
              <w:top w:w="57" w:type="dxa"/>
              <w:bottom w:w="57" w:type="dxa"/>
            </w:tcMar>
          </w:tcPr>
          <w:p w14:paraId="1E14565C" w14:textId="77777777" w:rsidR="00C47639" w:rsidRPr="00FD2055" w:rsidRDefault="00C47639" w:rsidP="00C47639">
            <w:pPr>
              <w:pStyle w:val="Standaard-Tabellen"/>
            </w:pPr>
          </w:p>
        </w:tc>
        <w:tc>
          <w:tcPr>
            <w:tcW w:w="2645" w:type="pct"/>
            <w:shd w:val="clear" w:color="auto" w:fill="auto"/>
            <w:tcMar>
              <w:top w:w="57" w:type="dxa"/>
              <w:bottom w:w="57" w:type="dxa"/>
            </w:tcMar>
          </w:tcPr>
          <w:p w14:paraId="0D41BF2C" w14:textId="77777777" w:rsidR="00C47639" w:rsidRPr="00FA0BAC" w:rsidRDefault="00C47639" w:rsidP="00C47639">
            <w:pPr>
              <w:pStyle w:val="Standaard-Tabellen"/>
            </w:pPr>
            <w:r>
              <w:t>Body weight</w:t>
            </w:r>
            <w:r>
              <w:rPr>
                <w:vertAlign w:val="superscript"/>
              </w:rPr>
              <w:t>1</w:t>
            </w:r>
            <w:r>
              <w:t xml:space="preserve"> </w:t>
            </w:r>
          </w:p>
        </w:tc>
        <w:tc>
          <w:tcPr>
            <w:tcW w:w="1010" w:type="pct"/>
            <w:shd w:val="clear" w:color="auto" w:fill="auto"/>
            <w:tcMar>
              <w:top w:w="57" w:type="dxa"/>
              <w:bottom w:w="57" w:type="dxa"/>
            </w:tcMar>
          </w:tcPr>
          <w:p w14:paraId="2E4FB3DB" w14:textId="77777777" w:rsidR="00C47639" w:rsidRPr="00801D6B" w:rsidRDefault="00C47639" w:rsidP="00C47639">
            <w:pPr>
              <w:pStyle w:val="Standaard-Tabellen"/>
            </w:pPr>
            <w:r>
              <w:t>23.9 kg</w:t>
            </w:r>
          </w:p>
        </w:tc>
      </w:tr>
      <w:tr w:rsidR="00C47639" w:rsidRPr="00FD2055" w14:paraId="28360884" w14:textId="77777777" w:rsidTr="00C47639">
        <w:trPr>
          <w:tblHeader/>
        </w:trPr>
        <w:tc>
          <w:tcPr>
            <w:tcW w:w="1345" w:type="pct"/>
            <w:vMerge/>
            <w:tcMar>
              <w:top w:w="57" w:type="dxa"/>
              <w:bottom w:w="57" w:type="dxa"/>
            </w:tcMar>
          </w:tcPr>
          <w:p w14:paraId="02096DA7" w14:textId="77777777" w:rsidR="00C47639" w:rsidRPr="00FD2055" w:rsidRDefault="00C47639" w:rsidP="00C47639">
            <w:pPr>
              <w:pStyle w:val="Standaard-Tabellen"/>
            </w:pPr>
          </w:p>
        </w:tc>
        <w:tc>
          <w:tcPr>
            <w:tcW w:w="2645" w:type="pct"/>
            <w:shd w:val="clear" w:color="auto" w:fill="auto"/>
            <w:tcMar>
              <w:top w:w="57" w:type="dxa"/>
              <w:bottom w:w="57" w:type="dxa"/>
            </w:tcMar>
          </w:tcPr>
          <w:p w14:paraId="3EC06281" w14:textId="77777777" w:rsidR="00C47639" w:rsidRPr="00FA0BAC" w:rsidRDefault="00C47639" w:rsidP="00C47639">
            <w:pPr>
              <w:pStyle w:val="Standaard-Tabellen"/>
            </w:pPr>
            <w:r w:rsidRPr="005A44E3">
              <w:t>Respiration rate [m</w:t>
            </w:r>
            <w:r w:rsidRPr="005A44E3">
              <w:rPr>
                <w:vertAlign w:val="superscript"/>
              </w:rPr>
              <w:t>3</w:t>
            </w:r>
            <w:r>
              <w:t>/air/hour]</w:t>
            </w:r>
            <w:r>
              <w:rPr>
                <w:vertAlign w:val="superscript"/>
              </w:rPr>
              <w:t xml:space="preserve"> 1</w:t>
            </w:r>
          </w:p>
        </w:tc>
        <w:tc>
          <w:tcPr>
            <w:tcW w:w="1010" w:type="pct"/>
            <w:shd w:val="clear" w:color="auto" w:fill="auto"/>
            <w:tcMar>
              <w:top w:w="57" w:type="dxa"/>
              <w:bottom w:w="57" w:type="dxa"/>
            </w:tcMar>
          </w:tcPr>
          <w:p w14:paraId="758FC99A" w14:textId="77777777" w:rsidR="00C47639" w:rsidRPr="00801D6B" w:rsidRDefault="00C47639" w:rsidP="00C47639">
            <w:pPr>
              <w:pStyle w:val="Standaard-Tabellen"/>
            </w:pPr>
            <w:r>
              <w:t>1.32</w:t>
            </w:r>
            <w:r w:rsidRPr="005A44E3">
              <w:t xml:space="preserve"> m³/h</w:t>
            </w:r>
          </w:p>
        </w:tc>
      </w:tr>
      <w:tr w:rsidR="00C47639" w:rsidRPr="00FD2055" w14:paraId="442EAD02" w14:textId="77777777" w:rsidTr="00C47639">
        <w:trPr>
          <w:tblHeader/>
        </w:trPr>
        <w:tc>
          <w:tcPr>
            <w:tcW w:w="1345" w:type="pct"/>
            <w:vMerge w:val="restart"/>
            <w:tcMar>
              <w:top w:w="57" w:type="dxa"/>
              <w:bottom w:w="57" w:type="dxa"/>
            </w:tcMar>
          </w:tcPr>
          <w:p w14:paraId="3BF17543" w14:textId="77777777" w:rsidR="00C47639" w:rsidRPr="00FD2055" w:rsidRDefault="00C47639" w:rsidP="00C47639">
            <w:pPr>
              <w:pStyle w:val="Standaard-Tabellen"/>
            </w:pPr>
            <w:r w:rsidRPr="000B65BB">
              <w:t xml:space="preserve">Tier 1- </w:t>
            </w:r>
            <w:r w:rsidRPr="00994E49">
              <w:t>C</w:t>
            </w:r>
            <w:r>
              <w:t>hild</w:t>
            </w:r>
            <w:r w:rsidRPr="00994E49">
              <w:t xml:space="preserve"> </w:t>
            </w:r>
            <w:r>
              <w:t>2 to &lt; 6</w:t>
            </w:r>
            <w:r w:rsidRPr="00994E49">
              <w:t xml:space="preserve"> years old</w:t>
            </w:r>
          </w:p>
        </w:tc>
        <w:tc>
          <w:tcPr>
            <w:tcW w:w="2645" w:type="pct"/>
            <w:shd w:val="clear" w:color="auto" w:fill="auto"/>
            <w:tcMar>
              <w:top w:w="57" w:type="dxa"/>
              <w:bottom w:w="57" w:type="dxa"/>
            </w:tcMar>
          </w:tcPr>
          <w:p w14:paraId="392C65DB" w14:textId="77777777" w:rsidR="00C47639" w:rsidRPr="005A44E3" w:rsidRDefault="00C47639" w:rsidP="00C47639">
            <w:pPr>
              <w:pStyle w:val="Standaard-Tabellen"/>
            </w:pPr>
            <w:r w:rsidRPr="00FA0BAC">
              <w:t>Number of application / day</w:t>
            </w:r>
            <w:r>
              <w:rPr>
                <w:vertAlign w:val="superscript"/>
              </w:rPr>
              <w:t>1</w:t>
            </w:r>
          </w:p>
        </w:tc>
        <w:tc>
          <w:tcPr>
            <w:tcW w:w="1010" w:type="pct"/>
            <w:shd w:val="clear" w:color="auto" w:fill="auto"/>
            <w:tcMar>
              <w:top w:w="57" w:type="dxa"/>
              <w:bottom w:w="57" w:type="dxa"/>
            </w:tcMar>
          </w:tcPr>
          <w:p w14:paraId="774C4637" w14:textId="77777777" w:rsidR="00C47639" w:rsidRDefault="00C47639" w:rsidP="00C47639">
            <w:pPr>
              <w:pStyle w:val="Standaard-Tabellen"/>
            </w:pPr>
            <w:r w:rsidRPr="005E2956">
              <w:t>2</w:t>
            </w:r>
          </w:p>
        </w:tc>
      </w:tr>
      <w:tr w:rsidR="00C47639" w:rsidRPr="00FD2055" w14:paraId="6697AB9B" w14:textId="77777777" w:rsidTr="00C47639">
        <w:trPr>
          <w:tblHeader/>
        </w:trPr>
        <w:tc>
          <w:tcPr>
            <w:tcW w:w="1345" w:type="pct"/>
            <w:vMerge/>
            <w:tcMar>
              <w:top w:w="57" w:type="dxa"/>
              <w:bottom w:w="57" w:type="dxa"/>
            </w:tcMar>
          </w:tcPr>
          <w:p w14:paraId="4DAFF779" w14:textId="77777777" w:rsidR="00C47639" w:rsidRPr="00FD2055" w:rsidRDefault="00C47639" w:rsidP="00C47639">
            <w:pPr>
              <w:pStyle w:val="Standaard-Tabellen"/>
            </w:pPr>
          </w:p>
        </w:tc>
        <w:tc>
          <w:tcPr>
            <w:tcW w:w="2645" w:type="pct"/>
            <w:shd w:val="clear" w:color="auto" w:fill="auto"/>
            <w:tcMar>
              <w:top w:w="57" w:type="dxa"/>
              <w:bottom w:w="57" w:type="dxa"/>
            </w:tcMar>
          </w:tcPr>
          <w:p w14:paraId="72B5BD50" w14:textId="77777777" w:rsidR="00C47639" w:rsidRPr="005A44E3" w:rsidRDefault="00C47639" w:rsidP="00C47639">
            <w:pPr>
              <w:pStyle w:val="Standaard-Tabellen"/>
            </w:pPr>
            <w:r>
              <w:t>Body weight</w:t>
            </w:r>
            <w:r>
              <w:rPr>
                <w:vertAlign w:val="superscript"/>
              </w:rPr>
              <w:t>1</w:t>
            </w:r>
            <w:r>
              <w:t xml:space="preserve"> </w:t>
            </w:r>
          </w:p>
        </w:tc>
        <w:tc>
          <w:tcPr>
            <w:tcW w:w="1010" w:type="pct"/>
            <w:shd w:val="clear" w:color="auto" w:fill="auto"/>
            <w:tcMar>
              <w:top w:w="57" w:type="dxa"/>
              <w:bottom w:w="57" w:type="dxa"/>
            </w:tcMar>
          </w:tcPr>
          <w:p w14:paraId="412C9688" w14:textId="77777777" w:rsidR="00C47639" w:rsidRDefault="00C47639" w:rsidP="00C47639">
            <w:pPr>
              <w:pStyle w:val="Standaard-Tabellen"/>
            </w:pPr>
            <w:r>
              <w:t>15.6 kg</w:t>
            </w:r>
          </w:p>
        </w:tc>
      </w:tr>
      <w:tr w:rsidR="00C47639" w:rsidRPr="00FD2055" w14:paraId="66C1C71F" w14:textId="77777777" w:rsidTr="00C47639">
        <w:trPr>
          <w:tblHeader/>
        </w:trPr>
        <w:tc>
          <w:tcPr>
            <w:tcW w:w="1345" w:type="pct"/>
            <w:vMerge/>
            <w:tcMar>
              <w:top w:w="57" w:type="dxa"/>
              <w:bottom w:w="57" w:type="dxa"/>
            </w:tcMar>
          </w:tcPr>
          <w:p w14:paraId="639F4F18" w14:textId="77777777" w:rsidR="00C47639" w:rsidRPr="00FD2055" w:rsidRDefault="00C47639" w:rsidP="00C47639">
            <w:pPr>
              <w:pStyle w:val="Standaard-Tabellen"/>
            </w:pPr>
          </w:p>
        </w:tc>
        <w:tc>
          <w:tcPr>
            <w:tcW w:w="2645" w:type="pct"/>
            <w:shd w:val="clear" w:color="auto" w:fill="auto"/>
            <w:tcMar>
              <w:top w:w="57" w:type="dxa"/>
              <w:bottom w:w="57" w:type="dxa"/>
            </w:tcMar>
          </w:tcPr>
          <w:p w14:paraId="71AA3A3C" w14:textId="77777777" w:rsidR="00C47639" w:rsidRPr="005A44E3" w:rsidRDefault="00C47639" w:rsidP="00C47639">
            <w:pPr>
              <w:pStyle w:val="Standaard-Tabellen"/>
            </w:pPr>
            <w:r w:rsidRPr="005A44E3">
              <w:t>Respiration rate [m</w:t>
            </w:r>
            <w:r w:rsidRPr="005A44E3">
              <w:rPr>
                <w:vertAlign w:val="superscript"/>
              </w:rPr>
              <w:t>3</w:t>
            </w:r>
            <w:r>
              <w:t>/air/hour]</w:t>
            </w:r>
            <w:r>
              <w:rPr>
                <w:vertAlign w:val="superscript"/>
              </w:rPr>
              <w:t xml:space="preserve"> 1</w:t>
            </w:r>
          </w:p>
        </w:tc>
        <w:tc>
          <w:tcPr>
            <w:tcW w:w="1010" w:type="pct"/>
            <w:shd w:val="clear" w:color="auto" w:fill="auto"/>
            <w:tcMar>
              <w:top w:w="57" w:type="dxa"/>
              <w:bottom w:w="57" w:type="dxa"/>
            </w:tcMar>
          </w:tcPr>
          <w:p w14:paraId="2A890CEE" w14:textId="77777777" w:rsidR="00C47639" w:rsidRDefault="00C47639" w:rsidP="00C47639">
            <w:pPr>
              <w:pStyle w:val="Standaard-Tabellen"/>
            </w:pPr>
            <w:r>
              <w:t>1.26</w:t>
            </w:r>
            <w:r w:rsidRPr="005A44E3">
              <w:t xml:space="preserve"> m³/h</w:t>
            </w:r>
          </w:p>
        </w:tc>
      </w:tr>
      <w:tr w:rsidR="00C47639" w:rsidRPr="00FD2055" w14:paraId="3AE0BC94" w14:textId="77777777" w:rsidTr="00C47639">
        <w:trPr>
          <w:tblHeader/>
        </w:trPr>
        <w:tc>
          <w:tcPr>
            <w:tcW w:w="1345" w:type="pct"/>
            <w:vMerge w:val="restart"/>
            <w:tcMar>
              <w:top w:w="57" w:type="dxa"/>
              <w:bottom w:w="57" w:type="dxa"/>
            </w:tcMar>
          </w:tcPr>
          <w:p w14:paraId="3300E719" w14:textId="77777777" w:rsidR="00C47639" w:rsidRPr="00FD2055" w:rsidRDefault="00C47639" w:rsidP="00C47639">
            <w:pPr>
              <w:pStyle w:val="Standaard-Tabellen"/>
            </w:pPr>
            <w:r w:rsidRPr="000B65BB">
              <w:t>Tier 1- Toddler</w:t>
            </w:r>
          </w:p>
        </w:tc>
        <w:tc>
          <w:tcPr>
            <w:tcW w:w="2645" w:type="pct"/>
            <w:shd w:val="clear" w:color="auto" w:fill="auto"/>
            <w:tcMar>
              <w:top w:w="57" w:type="dxa"/>
              <w:bottom w:w="57" w:type="dxa"/>
            </w:tcMar>
          </w:tcPr>
          <w:p w14:paraId="44AE8711" w14:textId="77777777" w:rsidR="00C47639" w:rsidRDefault="00C47639" w:rsidP="00C47639">
            <w:pPr>
              <w:pStyle w:val="Standaard-Tabellen"/>
            </w:pPr>
            <w:r w:rsidRPr="00FA0BAC">
              <w:t>Number of application / day</w:t>
            </w:r>
            <w:r>
              <w:rPr>
                <w:vertAlign w:val="superscript"/>
              </w:rPr>
              <w:t>1</w:t>
            </w:r>
          </w:p>
        </w:tc>
        <w:tc>
          <w:tcPr>
            <w:tcW w:w="1010" w:type="pct"/>
            <w:shd w:val="clear" w:color="auto" w:fill="auto"/>
            <w:tcMar>
              <w:top w:w="57" w:type="dxa"/>
              <w:bottom w:w="57" w:type="dxa"/>
            </w:tcMar>
          </w:tcPr>
          <w:p w14:paraId="768080F9" w14:textId="77777777" w:rsidR="00C47639" w:rsidRDefault="00C47639" w:rsidP="00C47639">
            <w:pPr>
              <w:pStyle w:val="Standaard-Tabellen"/>
            </w:pPr>
            <w:r>
              <w:t>1</w:t>
            </w:r>
          </w:p>
        </w:tc>
      </w:tr>
      <w:tr w:rsidR="00C47639" w:rsidRPr="00FD2055" w14:paraId="7A5D80FB" w14:textId="77777777" w:rsidTr="00C47639">
        <w:trPr>
          <w:tblHeader/>
        </w:trPr>
        <w:tc>
          <w:tcPr>
            <w:tcW w:w="1345" w:type="pct"/>
            <w:vMerge/>
            <w:tcMar>
              <w:top w:w="57" w:type="dxa"/>
              <w:bottom w:w="57" w:type="dxa"/>
            </w:tcMar>
          </w:tcPr>
          <w:p w14:paraId="5AAF57CD" w14:textId="77777777" w:rsidR="00C47639" w:rsidRPr="00FD2055" w:rsidRDefault="00C47639" w:rsidP="00C47639">
            <w:pPr>
              <w:pStyle w:val="Standaard-Tabellen"/>
            </w:pPr>
          </w:p>
        </w:tc>
        <w:tc>
          <w:tcPr>
            <w:tcW w:w="2645" w:type="pct"/>
            <w:shd w:val="clear" w:color="auto" w:fill="auto"/>
            <w:tcMar>
              <w:top w:w="57" w:type="dxa"/>
              <w:bottom w:w="57" w:type="dxa"/>
            </w:tcMar>
          </w:tcPr>
          <w:p w14:paraId="13C82BBE" w14:textId="77777777" w:rsidR="00C47639" w:rsidRPr="00FD2055" w:rsidRDefault="00C47639" w:rsidP="00C47639">
            <w:pPr>
              <w:pStyle w:val="Standaard-Tabellen"/>
            </w:pPr>
            <w:r>
              <w:t>Body weight</w:t>
            </w:r>
            <w:r>
              <w:rPr>
                <w:vertAlign w:val="superscript"/>
              </w:rPr>
              <w:t>1</w:t>
            </w:r>
            <w:r>
              <w:t xml:space="preserve"> </w:t>
            </w:r>
          </w:p>
        </w:tc>
        <w:tc>
          <w:tcPr>
            <w:tcW w:w="1010" w:type="pct"/>
            <w:shd w:val="clear" w:color="auto" w:fill="auto"/>
            <w:tcMar>
              <w:top w:w="57" w:type="dxa"/>
              <w:bottom w:w="57" w:type="dxa"/>
            </w:tcMar>
          </w:tcPr>
          <w:p w14:paraId="0142CA74" w14:textId="77777777" w:rsidR="00C47639" w:rsidRPr="00FD2055" w:rsidRDefault="00C47639" w:rsidP="00C47639">
            <w:pPr>
              <w:pStyle w:val="Standaard-Tabellen"/>
            </w:pPr>
            <w:r>
              <w:t>10 kg</w:t>
            </w:r>
          </w:p>
        </w:tc>
      </w:tr>
      <w:tr w:rsidR="00C47639" w:rsidRPr="00FD2055" w14:paraId="35B1AEBD" w14:textId="77777777" w:rsidTr="00C47639">
        <w:trPr>
          <w:tblHeader/>
        </w:trPr>
        <w:tc>
          <w:tcPr>
            <w:tcW w:w="1345" w:type="pct"/>
            <w:vMerge/>
            <w:tcMar>
              <w:top w:w="57" w:type="dxa"/>
              <w:bottom w:w="57" w:type="dxa"/>
            </w:tcMar>
          </w:tcPr>
          <w:p w14:paraId="702A09E7" w14:textId="77777777" w:rsidR="00C47639" w:rsidRPr="00FD2055" w:rsidRDefault="00C47639" w:rsidP="00C47639">
            <w:pPr>
              <w:pStyle w:val="Standaard-Tabellen"/>
            </w:pPr>
          </w:p>
        </w:tc>
        <w:tc>
          <w:tcPr>
            <w:tcW w:w="2645" w:type="pct"/>
            <w:shd w:val="clear" w:color="auto" w:fill="auto"/>
            <w:tcMar>
              <w:top w:w="57" w:type="dxa"/>
              <w:bottom w:w="57" w:type="dxa"/>
            </w:tcMar>
          </w:tcPr>
          <w:p w14:paraId="17CADDE1" w14:textId="77777777" w:rsidR="00C47639" w:rsidRPr="00FD2055" w:rsidRDefault="00C47639" w:rsidP="00C47639">
            <w:pPr>
              <w:pStyle w:val="Standaard-Tabellen"/>
            </w:pPr>
            <w:r w:rsidRPr="005A44E3">
              <w:t>Respiration rate [m</w:t>
            </w:r>
            <w:r w:rsidRPr="005A44E3">
              <w:rPr>
                <w:vertAlign w:val="superscript"/>
              </w:rPr>
              <w:t>3</w:t>
            </w:r>
            <w:r>
              <w:t>/air/hour]</w:t>
            </w:r>
            <w:r>
              <w:rPr>
                <w:vertAlign w:val="superscript"/>
              </w:rPr>
              <w:t xml:space="preserve"> 1</w:t>
            </w:r>
          </w:p>
        </w:tc>
        <w:tc>
          <w:tcPr>
            <w:tcW w:w="1010" w:type="pct"/>
            <w:shd w:val="clear" w:color="auto" w:fill="auto"/>
            <w:tcMar>
              <w:top w:w="57" w:type="dxa"/>
              <w:bottom w:w="57" w:type="dxa"/>
            </w:tcMar>
          </w:tcPr>
          <w:p w14:paraId="5CAEB70F" w14:textId="77777777" w:rsidR="00C47639" w:rsidRPr="00FD2055" w:rsidRDefault="00C47639" w:rsidP="00C47639">
            <w:pPr>
              <w:pStyle w:val="Standaard-Tabellen"/>
            </w:pPr>
            <w:r>
              <w:t>1.26</w:t>
            </w:r>
            <w:r w:rsidRPr="005A44E3">
              <w:t xml:space="preserve"> m³/h</w:t>
            </w:r>
          </w:p>
        </w:tc>
      </w:tr>
      <w:tr w:rsidR="00C47639" w:rsidRPr="00FD2055" w14:paraId="2B06DE1C" w14:textId="77777777" w:rsidTr="00C47639">
        <w:trPr>
          <w:tblHeader/>
        </w:trPr>
        <w:tc>
          <w:tcPr>
            <w:tcW w:w="1345" w:type="pct"/>
            <w:vMerge w:val="restart"/>
            <w:tcMar>
              <w:top w:w="57" w:type="dxa"/>
              <w:bottom w:w="57" w:type="dxa"/>
            </w:tcMar>
          </w:tcPr>
          <w:p w14:paraId="7C895EE6" w14:textId="77777777" w:rsidR="00C47639" w:rsidRPr="00FD2055" w:rsidRDefault="00C47639" w:rsidP="00C47639">
            <w:pPr>
              <w:pStyle w:val="Standaard-Tabellen"/>
            </w:pPr>
            <w:r w:rsidRPr="000B65BB">
              <w:t>Tier 1- Infant</w:t>
            </w:r>
          </w:p>
        </w:tc>
        <w:tc>
          <w:tcPr>
            <w:tcW w:w="2645" w:type="pct"/>
            <w:shd w:val="clear" w:color="auto" w:fill="auto"/>
            <w:tcMar>
              <w:top w:w="57" w:type="dxa"/>
              <w:bottom w:w="57" w:type="dxa"/>
            </w:tcMar>
          </w:tcPr>
          <w:p w14:paraId="3D0AA061" w14:textId="77777777" w:rsidR="00C47639" w:rsidRDefault="00C47639" w:rsidP="00C47639">
            <w:pPr>
              <w:pStyle w:val="Standaard-Tabellen"/>
            </w:pPr>
            <w:r w:rsidRPr="00FA0BAC">
              <w:t>Number of application / day</w:t>
            </w:r>
            <w:r>
              <w:rPr>
                <w:vertAlign w:val="superscript"/>
              </w:rPr>
              <w:t>1</w:t>
            </w:r>
          </w:p>
        </w:tc>
        <w:tc>
          <w:tcPr>
            <w:tcW w:w="1010" w:type="pct"/>
            <w:shd w:val="clear" w:color="auto" w:fill="auto"/>
            <w:tcMar>
              <w:top w:w="57" w:type="dxa"/>
              <w:bottom w:w="57" w:type="dxa"/>
            </w:tcMar>
          </w:tcPr>
          <w:p w14:paraId="5BB788C5" w14:textId="77777777" w:rsidR="00C47639" w:rsidRDefault="00C47639" w:rsidP="00C47639">
            <w:pPr>
              <w:pStyle w:val="Standaard-Tabellen"/>
            </w:pPr>
            <w:r>
              <w:t>1</w:t>
            </w:r>
          </w:p>
        </w:tc>
      </w:tr>
      <w:tr w:rsidR="00C47639" w:rsidRPr="00FD2055" w14:paraId="3476DB7C" w14:textId="77777777" w:rsidTr="00C47639">
        <w:trPr>
          <w:tblHeader/>
        </w:trPr>
        <w:tc>
          <w:tcPr>
            <w:tcW w:w="1345" w:type="pct"/>
            <w:vMerge/>
            <w:tcMar>
              <w:top w:w="57" w:type="dxa"/>
              <w:bottom w:w="57" w:type="dxa"/>
            </w:tcMar>
          </w:tcPr>
          <w:p w14:paraId="4183AB45" w14:textId="77777777" w:rsidR="00C47639" w:rsidRPr="00FD2055" w:rsidRDefault="00C47639" w:rsidP="00C47639">
            <w:pPr>
              <w:pStyle w:val="Standaard-Tabellen"/>
            </w:pPr>
          </w:p>
        </w:tc>
        <w:tc>
          <w:tcPr>
            <w:tcW w:w="2645" w:type="pct"/>
            <w:shd w:val="clear" w:color="auto" w:fill="auto"/>
            <w:tcMar>
              <w:top w:w="57" w:type="dxa"/>
              <w:bottom w:w="57" w:type="dxa"/>
            </w:tcMar>
          </w:tcPr>
          <w:p w14:paraId="734E3A66" w14:textId="77777777" w:rsidR="00C47639" w:rsidRPr="00FD2055" w:rsidRDefault="00C47639" w:rsidP="00C47639">
            <w:pPr>
              <w:pStyle w:val="Standaard-Tabellen"/>
            </w:pPr>
            <w:r>
              <w:t>Body weight</w:t>
            </w:r>
            <w:r>
              <w:rPr>
                <w:vertAlign w:val="superscript"/>
              </w:rPr>
              <w:t>1</w:t>
            </w:r>
            <w:r>
              <w:t xml:space="preserve"> </w:t>
            </w:r>
          </w:p>
        </w:tc>
        <w:tc>
          <w:tcPr>
            <w:tcW w:w="1010" w:type="pct"/>
            <w:shd w:val="clear" w:color="auto" w:fill="auto"/>
            <w:tcMar>
              <w:top w:w="57" w:type="dxa"/>
              <w:bottom w:w="57" w:type="dxa"/>
            </w:tcMar>
          </w:tcPr>
          <w:p w14:paraId="1B234E12" w14:textId="77777777" w:rsidR="00C47639" w:rsidRPr="00FD2055" w:rsidRDefault="00C47639" w:rsidP="00C47639">
            <w:pPr>
              <w:pStyle w:val="Standaard-Tabellen"/>
            </w:pPr>
            <w:r>
              <w:t>8 kg</w:t>
            </w:r>
          </w:p>
        </w:tc>
      </w:tr>
      <w:tr w:rsidR="00C47639" w:rsidRPr="00FD2055" w14:paraId="7D4AC0F0" w14:textId="77777777" w:rsidTr="00C47639">
        <w:trPr>
          <w:tblHeader/>
        </w:trPr>
        <w:tc>
          <w:tcPr>
            <w:tcW w:w="1345" w:type="pct"/>
            <w:vMerge/>
            <w:tcMar>
              <w:top w:w="57" w:type="dxa"/>
              <w:bottom w:w="57" w:type="dxa"/>
            </w:tcMar>
          </w:tcPr>
          <w:p w14:paraId="4ECF00CF" w14:textId="77777777" w:rsidR="00C47639" w:rsidRPr="00FD2055" w:rsidRDefault="00C47639" w:rsidP="00C47639">
            <w:pPr>
              <w:pStyle w:val="Standaard-Tabellen"/>
            </w:pPr>
          </w:p>
        </w:tc>
        <w:tc>
          <w:tcPr>
            <w:tcW w:w="2645" w:type="pct"/>
            <w:shd w:val="clear" w:color="auto" w:fill="auto"/>
            <w:tcMar>
              <w:top w:w="57" w:type="dxa"/>
              <w:bottom w:w="57" w:type="dxa"/>
            </w:tcMar>
          </w:tcPr>
          <w:p w14:paraId="765EDA17" w14:textId="77777777" w:rsidR="00C47639" w:rsidRPr="00FD2055" w:rsidRDefault="00C47639" w:rsidP="00C47639">
            <w:pPr>
              <w:pStyle w:val="Standaard-Tabellen"/>
            </w:pPr>
            <w:r w:rsidRPr="005A44E3">
              <w:t>Respiration rate [m</w:t>
            </w:r>
            <w:r w:rsidRPr="005A44E3">
              <w:rPr>
                <w:vertAlign w:val="superscript"/>
              </w:rPr>
              <w:t>3</w:t>
            </w:r>
            <w:r>
              <w:t>/air/hour]</w:t>
            </w:r>
            <w:r>
              <w:rPr>
                <w:vertAlign w:val="superscript"/>
              </w:rPr>
              <w:t xml:space="preserve"> 1</w:t>
            </w:r>
          </w:p>
        </w:tc>
        <w:tc>
          <w:tcPr>
            <w:tcW w:w="1010" w:type="pct"/>
            <w:shd w:val="clear" w:color="auto" w:fill="auto"/>
            <w:tcMar>
              <w:top w:w="57" w:type="dxa"/>
              <w:bottom w:w="57" w:type="dxa"/>
            </w:tcMar>
          </w:tcPr>
          <w:p w14:paraId="2FE19CD7" w14:textId="77777777" w:rsidR="00C47639" w:rsidRPr="00FD2055" w:rsidRDefault="00C47639" w:rsidP="00C47639">
            <w:pPr>
              <w:pStyle w:val="Standaard-Tabellen"/>
            </w:pPr>
            <w:r>
              <w:t>0.84</w:t>
            </w:r>
            <w:r w:rsidRPr="005A44E3">
              <w:t xml:space="preserve"> m³/h</w:t>
            </w:r>
          </w:p>
        </w:tc>
      </w:tr>
      <w:tr w:rsidR="00C47639" w:rsidRPr="00FD2055" w14:paraId="49B439CF" w14:textId="77777777" w:rsidTr="00C47639">
        <w:trPr>
          <w:tblHeader/>
        </w:trPr>
        <w:tc>
          <w:tcPr>
            <w:tcW w:w="1345" w:type="pct"/>
            <w:tcMar>
              <w:top w:w="57" w:type="dxa"/>
              <w:bottom w:w="57" w:type="dxa"/>
            </w:tcMar>
          </w:tcPr>
          <w:p w14:paraId="37D8B96A" w14:textId="77777777" w:rsidR="00C47639" w:rsidRPr="00FD2055" w:rsidRDefault="00C47639" w:rsidP="00C47639">
            <w:pPr>
              <w:pStyle w:val="Standaard-Tabellen"/>
            </w:pPr>
            <w:r w:rsidRPr="000B65BB">
              <w:t xml:space="preserve">Tier </w:t>
            </w:r>
            <w:r>
              <w:t>2</w:t>
            </w:r>
            <w:r w:rsidRPr="000B65BB">
              <w:t>- Adult</w:t>
            </w:r>
          </w:p>
        </w:tc>
        <w:tc>
          <w:tcPr>
            <w:tcW w:w="2645" w:type="pct"/>
            <w:shd w:val="clear" w:color="auto" w:fill="auto"/>
            <w:tcMar>
              <w:top w:w="57" w:type="dxa"/>
              <w:bottom w:w="57" w:type="dxa"/>
            </w:tcMar>
          </w:tcPr>
          <w:p w14:paraId="104DE5A9" w14:textId="77777777" w:rsidR="00C47639" w:rsidRPr="005A44E3" w:rsidRDefault="00C47639" w:rsidP="00C47639">
            <w:pPr>
              <w:pStyle w:val="Standaard-Tabellen"/>
            </w:pPr>
            <w:r w:rsidRPr="000B65BB">
              <w:t>Number of application / day</w:t>
            </w:r>
            <w:r>
              <w:rPr>
                <w:vertAlign w:val="superscript"/>
              </w:rPr>
              <w:t>4</w:t>
            </w:r>
          </w:p>
        </w:tc>
        <w:tc>
          <w:tcPr>
            <w:tcW w:w="1010" w:type="pct"/>
            <w:shd w:val="clear" w:color="auto" w:fill="auto"/>
            <w:tcMar>
              <w:top w:w="57" w:type="dxa"/>
              <w:bottom w:w="57" w:type="dxa"/>
            </w:tcMar>
          </w:tcPr>
          <w:p w14:paraId="1770492E" w14:textId="77777777" w:rsidR="00C47639" w:rsidRDefault="00C47639" w:rsidP="00C47639">
            <w:pPr>
              <w:pStyle w:val="Standaard-Tabellen"/>
            </w:pPr>
            <w:r w:rsidRPr="000B65BB">
              <w:t>2</w:t>
            </w:r>
          </w:p>
        </w:tc>
      </w:tr>
      <w:tr w:rsidR="00C47639" w:rsidRPr="00FD2055" w14:paraId="661FD1FD" w14:textId="77777777" w:rsidTr="00C47639">
        <w:trPr>
          <w:tblHeader/>
        </w:trPr>
        <w:tc>
          <w:tcPr>
            <w:tcW w:w="1345" w:type="pct"/>
            <w:tcMar>
              <w:top w:w="57" w:type="dxa"/>
              <w:bottom w:w="57" w:type="dxa"/>
            </w:tcMar>
          </w:tcPr>
          <w:p w14:paraId="221A9AB6" w14:textId="77777777" w:rsidR="00C47639" w:rsidRPr="00FD2055" w:rsidRDefault="00C47639" w:rsidP="00C47639">
            <w:pPr>
              <w:pStyle w:val="Standaard-Tabellen"/>
            </w:pPr>
            <w:r w:rsidRPr="00A22424">
              <w:t xml:space="preserve">Tier </w:t>
            </w:r>
            <w:r>
              <w:t>2</w:t>
            </w:r>
            <w:r w:rsidRPr="00A22424">
              <w:t>- Child 6 to &lt; 12 years old</w:t>
            </w:r>
          </w:p>
        </w:tc>
        <w:tc>
          <w:tcPr>
            <w:tcW w:w="2645" w:type="pct"/>
            <w:shd w:val="clear" w:color="auto" w:fill="auto"/>
            <w:tcMar>
              <w:top w:w="57" w:type="dxa"/>
              <w:bottom w:w="57" w:type="dxa"/>
            </w:tcMar>
          </w:tcPr>
          <w:p w14:paraId="71ADE9CB" w14:textId="77777777" w:rsidR="00C47639" w:rsidRPr="005A44E3" w:rsidRDefault="00C47639" w:rsidP="00C47639">
            <w:pPr>
              <w:pStyle w:val="Standaard-Tabellen"/>
            </w:pPr>
            <w:r w:rsidRPr="000B65BB">
              <w:t>Number of application / day</w:t>
            </w:r>
            <w:r>
              <w:rPr>
                <w:vertAlign w:val="superscript"/>
              </w:rPr>
              <w:t>4</w:t>
            </w:r>
          </w:p>
        </w:tc>
        <w:tc>
          <w:tcPr>
            <w:tcW w:w="1010" w:type="pct"/>
            <w:shd w:val="clear" w:color="auto" w:fill="auto"/>
            <w:tcMar>
              <w:top w:w="57" w:type="dxa"/>
              <w:bottom w:w="57" w:type="dxa"/>
            </w:tcMar>
          </w:tcPr>
          <w:p w14:paraId="37EEFAFF" w14:textId="77777777" w:rsidR="00C47639" w:rsidRDefault="00C47639" w:rsidP="00C47639">
            <w:pPr>
              <w:pStyle w:val="Standaard-Tabellen"/>
            </w:pPr>
            <w:r>
              <w:t>1</w:t>
            </w:r>
          </w:p>
        </w:tc>
      </w:tr>
      <w:tr w:rsidR="00C47639" w:rsidRPr="00FD2055" w14:paraId="1E8514FE" w14:textId="77777777" w:rsidTr="00C47639">
        <w:trPr>
          <w:tblHeader/>
        </w:trPr>
        <w:tc>
          <w:tcPr>
            <w:tcW w:w="1345" w:type="pct"/>
            <w:tcMar>
              <w:top w:w="57" w:type="dxa"/>
              <w:bottom w:w="57" w:type="dxa"/>
            </w:tcMar>
          </w:tcPr>
          <w:p w14:paraId="6DC7D071" w14:textId="77777777" w:rsidR="00C47639" w:rsidRPr="00FD2055" w:rsidRDefault="00C47639" w:rsidP="00C47639">
            <w:pPr>
              <w:pStyle w:val="Standaard-Tabellen"/>
            </w:pPr>
            <w:r w:rsidRPr="00A22424">
              <w:t xml:space="preserve">Tier </w:t>
            </w:r>
            <w:r>
              <w:t>2</w:t>
            </w:r>
            <w:r w:rsidRPr="00A22424">
              <w:t>- Child 2 to &lt; 6 years old</w:t>
            </w:r>
          </w:p>
        </w:tc>
        <w:tc>
          <w:tcPr>
            <w:tcW w:w="2645" w:type="pct"/>
            <w:shd w:val="clear" w:color="auto" w:fill="auto"/>
            <w:tcMar>
              <w:top w:w="57" w:type="dxa"/>
              <w:bottom w:w="57" w:type="dxa"/>
            </w:tcMar>
          </w:tcPr>
          <w:p w14:paraId="259470B8" w14:textId="77777777" w:rsidR="00C47639" w:rsidRPr="005A44E3" w:rsidRDefault="00C47639" w:rsidP="00C47639">
            <w:pPr>
              <w:pStyle w:val="Standaard-Tabellen"/>
            </w:pPr>
            <w:r w:rsidRPr="000B65BB">
              <w:t>Number of application / day</w:t>
            </w:r>
            <w:r>
              <w:rPr>
                <w:vertAlign w:val="superscript"/>
              </w:rPr>
              <w:t>4</w:t>
            </w:r>
          </w:p>
        </w:tc>
        <w:tc>
          <w:tcPr>
            <w:tcW w:w="1010" w:type="pct"/>
            <w:shd w:val="clear" w:color="auto" w:fill="auto"/>
            <w:tcMar>
              <w:top w:w="57" w:type="dxa"/>
              <w:bottom w:w="57" w:type="dxa"/>
            </w:tcMar>
          </w:tcPr>
          <w:p w14:paraId="4AB50B73" w14:textId="77777777" w:rsidR="00C47639" w:rsidRDefault="00C47639" w:rsidP="00C47639">
            <w:pPr>
              <w:pStyle w:val="Standaard-Tabellen"/>
            </w:pPr>
            <w:r>
              <w:t>1</w:t>
            </w:r>
          </w:p>
        </w:tc>
      </w:tr>
      <w:tr w:rsidR="00C47639" w:rsidRPr="00FD2055" w14:paraId="6A2FAA46" w14:textId="77777777" w:rsidTr="00C47639">
        <w:trPr>
          <w:tblHeader/>
        </w:trPr>
        <w:tc>
          <w:tcPr>
            <w:tcW w:w="1345" w:type="pct"/>
            <w:tcMar>
              <w:top w:w="57" w:type="dxa"/>
              <w:bottom w:w="57" w:type="dxa"/>
            </w:tcMar>
          </w:tcPr>
          <w:p w14:paraId="7283226C" w14:textId="77777777" w:rsidR="00C47639" w:rsidRPr="00FD2055" w:rsidRDefault="00C47639" w:rsidP="00C47639">
            <w:pPr>
              <w:pStyle w:val="Standaard-Tabellen"/>
            </w:pPr>
            <w:r w:rsidRPr="000B65BB">
              <w:t xml:space="preserve">Tier </w:t>
            </w:r>
            <w:r>
              <w:t>3</w:t>
            </w:r>
            <w:r w:rsidRPr="000B65BB">
              <w:t>- Adult</w:t>
            </w:r>
          </w:p>
        </w:tc>
        <w:tc>
          <w:tcPr>
            <w:tcW w:w="2645" w:type="pct"/>
            <w:shd w:val="clear" w:color="auto" w:fill="auto"/>
            <w:tcMar>
              <w:top w:w="57" w:type="dxa"/>
              <w:bottom w:w="57" w:type="dxa"/>
            </w:tcMar>
          </w:tcPr>
          <w:p w14:paraId="2BCC7462" w14:textId="77777777" w:rsidR="00C47639" w:rsidRPr="005A44E3" w:rsidRDefault="00C47639" w:rsidP="00C47639">
            <w:pPr>
              <w:pStyle w:val="Standaard-Tabellen"/>
            </w:pPr>
            <w:r w:rsidRPr="000B65BB">
              <w:t>Number of application / day</w:t>
            </w:r>
            <w:r>
              <w:rPr>
                <w:vertAlign w:val="superscript"/>
              </w:rPr>
              <w:t>4</w:t>
            </w:r>
          </w:p>
        </w:tc>
        <w:tc>
          <w:tcPr>
            <w:tcW w:w="1010" w:type="pct"/>
            <w:shd w:val="clear" w:color="auto" w:fill="auto"/>
            <w:tcMar>
              <w:top w:w="57" w:type="dxa"/>
              <w:bottom w:w="57" w:type="dxa"/>
            </w:tcMar>
          </w:tcPr>
          <w:p w14:paraId="5D99A3D9" w14:textId="77777777" w:rsidR="00C47639" w:rsidRDefault="00C47639" w:rsidP="00C47639">
            <w:pPr>
              <w:pStyle w:val="Standaard-Tabellen"/>
            </w:pPr>
            <w:r>
              <w:t>1</w:t>
            </w:r>
          </w:p>
        </w:tc>
      </w:tr>
    </w:tbl>
    <w:p w14:paraId="41A43598" w14:textId="77777777" w:rsidR="00C47639" w:rsidRPr="00721042" w:rsidRDefault="00C47639" w:rsidP="00C47639">
      <w:pPr>
        <w:pStyle w:val="Voetnoot"/>
      </w:pPr>
      <w:r w:rsidRPr="00721042">
        <w:rPr>
          <w:rStyle w:val="Appelnotedebasdep"/>
          <w:position w:val="4"/>
          <w:vertAlign w:val="superscript"/>
        </w:rPr>
        <w:t>1</w:t>
      </w:r>
      <w:r w:rsidRPr="00721042">
        <w:rPr>
          <w:rStyle w:val="Appelnotedebasdep"/>
          <w:position w:val="4"/>
        </w:rPr>
        <w:t xml:space="preserve"> General information, see justification above</w:t>
      </w:r>
    </w:p>
    <w:p w14:paraId="53A8CCDA" w14:textId="77777777" w:rsidR="00C47639" w:rsidRPr="00721042" w:rsidRDefault="00C47639" w:rsidP="00C47639">
      <w:pPr>
        <w:pStyle w:val="Voetnoot"/>
      </w:pPr>
      <w:r w:rsidRPr="00721042">
        <w:rPr>
          <w:vertAlign w:val="superscript"/>
        </w:rPr>
        <w:t>2</w:t>
      </w:r>
      <w:r w:rsidRPr="00721042">
        <w:t xml:space="preserve"> Model used: “Consumer spraying and dusting model 2 - Hand-held trigger spray” Biocide Human Health Exposure Methodology, p. 220</w:t>
      </w:r>
    </w:p>
    <w:p w14:paraId="0DC7AFB9" w14:textId="77777777" w:rsidR="00C47639" w:rsidRDefault="00C47639" w:rsidP="00C47639">
      <w:pPr>
        <w:pStyle w:val="Voetnoot"/>
      </w:pPr>
      <w:r w:rsidRPr="00721042">
        <w:rPr>
          <w:vertAlign w:val="superscript"/>
        </w:rPr>
        <w:t>3</w:t>
      </w:r>
      <w:r w:rsidRPr="00721042">
        <w:t xml:space="preserve"> CAR of IR3535</w:t>
      </w:r>
      <w:r w:rsidRPr="00721042">
        <w:rPr>
          <w:vertAlign w:val="superscript"/>
        </w:rPr>
        <w:t>®</w:t>
      </w:r>
      <w:r w:rsidRPr="00721042">
        <w:t xml:space="preserve"> (expert judgement) </w:t>
      </w:r>
    </w:p>
    <w:p w14:paraId="40AD0E98" w14:textId="77777777" w:rsidR="00C47639" w:rsidRPr="00C63A1A" w:rsidRDefault="00C47639" w:rsidP="00C47639">
      <w:pPr>
        <w:pStyle w:val="Voetnoot"/>
      </w:pPr>
      <w:r>
        <w:rPr>
          <w:vertAlign w:val="superscript"/>
        </w:rPr>
        <w:t>4</w:t>
      </w:r>
      <w:r w:rsidRPr="00C63A1A">
        <w:t xml:space="preserve"> Limitation of the exposure</w:t>
      </w:r>
    </w:p>
    <w:p w14:paraId="4A15B483" w14:textId="77777777" w:rsidR="00C47639" w:rsidRPr="00721042" w:rsidRDefault="00C47639" w:rsidP="00C47639">
      <w:pPr>
        <w:pStyle w:val="Voetnoot"/>
      </w:pPr>
    </w:p>
    <w:p w14:paraId="3DBAD085" w14:textId="77777777" w:rsidR="00C47639" w:rsidRDefault="00C47639" w:rsidP="00C47639">
      <w:pPr>
        <w:pStyle w:val="Voetnoot"/>
      </w:pPr>
    </w:p>
    <w:p w14:paraId="42DE4A5E" w14:textId="77777777" w:rsidR="00C47639" w:rsidRPr="0027501E" w:rsidRDefault="00C47639" w:rsidP="00C47639">
      <w:pPr>
        <w:pStyle w:val="Titre7"/>
        <w:rPr>
          <w:lang w:val="en-US"/>
        </w:rPr>
      </w:pPr>
      <w:r w:rsidRPr="0027501E">
        <w:rPr>
          <w:lang w:val="en-US"/>
        </w:rPr>
        <w:t>Calculations for scenario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3"/>
        <w:gridCol w:w="1141"/>
        <w:gridCol w:w="3260"/>
        <w:gridCol w:w="2582"/>
      </w:tblGrid>
      <w:tr w:rsidR="00C47639" w:rsidRPr="00721042" w14:paraId="48B93066" w14:textId="77777777" w:rsidTr="00C47639">
        <w:trPr>
          <w:cantSplit/>
          <w:trHeight w:val="293"/>
          <w:tblHeader/>
        </w:trPr>
        <w:tc>
          <w:tcPr>
            <w:tcW w:w="5000" w:type="pct"/>
            <w:gridSpan w:val="4"/>
            <w:shd w:val="clear" w:color="auto" w:fill="FFFFCC"/>
          </w:tcPr>
          <w:p w14:paraId="64D7DFFF" w14:textId="77777777" w:rsidR="00C47639" w:rsidRPr="00721042" w:rsidRDefault="00C47639" w:rsidP="00C47639">
            <w:pPr>
              <w:pStyle w:val="Standaard-Tabellen"/>
              <w:jc w:val="center"/>
              <w:rPr>
                <w:b/>
              </w:rPr>
            </w:pPr>
            <w:r w:rsidRPr="00721042">
              <w:rPr>
                <w:b/>
              </w:rPr>
              <w:t>Summary table: estimated exposure for Inhalation Primary exposure</w:t>
            </w:r>
          </w:p>
        </w:tc>
      </w:tr>
      <w:tr w:rsidR="00C47639" w:rsidRPr="00721042" w14:paraId="7C1D76D5" w14:textId="77777777" w:rsidTr="00C47639">
        <w:trPr>
          <w:cantSplit/>
          <w:trHeight w:val="444"/>
          <w:tblHeader/>
        </w:trPr>
        <w:tc>
          <w:tcPr>
            <w:tcW w:w="1284" w:type="pct"/>
            <w:shd w:val="clear" w:color="auto" w:fill="BFBFBF" w:themeFill="background1" w:themeFillShade="BF"/>
          </w:tcPr>
          <w:p w14:paraId="03828F14" w14:textId="77777777" w:rsidR="00C47639" w:rsidRPr="00721042" w:rsidRDefault="00C47639" w:rsidP="00C47639">
            <w:pPr>
              <w:pStyle w:val="Standaard-Tabellen"/>
              <w:rPr>
                <w:b/>
              </w:rPr>
            </w:pPr>
            <w:r w:rsidRPr="00721042">
              <w:rPr>
                <w:b/>
              </w:rPr>
              <w:t>Exposure scenario</w:t>
            </w:r>
          </w:p>
        </w:tc>
        <w:tc>
          <w:tcPr>
            <w:tcW w:w="607" w:type="pct"/>
            <w:shd w:val="clear" w:color="auto" w:fill="BFBFBF" w:themeFill="background1" w:themeFillShade="BF"/>
          </w:tcPr>
          <w:p w14:paraId="42B79376" w14:textId="77777777" w:rsidR="00C47639" w:rsidRPr="00721042" w:rsidRDefault="00C47639" w:rsidP="00C47639">
            <w:pPr>
              <w:pStyle w:val="Standaard-Tabellen"/>
              <w:rPr>
                <w:b/>
              </w:rPr>
            </w:pPr>
            <w:r w:rsidRPr="00721042">
              <w:rPr>
                <w:b/>
              </w:rPr>
              <w:t>Tier/PPE</w:t>
            </w:r>
          </w:p>
        </w:tc>
        <w:tc>
          <w:tcPr>
            <w:tcW w:w="1735" w:type="pct"/>
            <w:shd w:val="clear" w:color="auto" w:fill="BFBFBF" w:themeFill="background1" w:themeFillShade="BF"/>
          </w:tcPr>
          <w:p w14:paraId="17A0DB41" w14:textId="77777777" w:rsidR="00C47639" w:rsidRPr="00721042" w:rsidRDefault="00C47639" w:rsidP="00C47639">
            <w:pPr>
              <w:pStyle w:val="Standaard-Tabellen"/>
              <w:rPr>
                <w:b/>
              </w:rPr>
            </w:pPr>
            <w:r w:rsidRPr="00721042">
              <w:rPr>
                <w:b/>
              </w:rPr>
              <w:t>Estimated inhalation uptake</w:t>
            </w:r>
          </w:p>
        </w:tc>
        <w:tc>
          <w:tcPr>
            <w:tcW w:w="1374" w:type="pct"/>
            <w:shd w:val="clear" w:color="auto" w:fill="BFBFBF" w:themeFill="background1" w:themeFillShade="BF"/>
          </w:tcPr>
          <w:p w14:paraId="110807BC" w14:textId="77777777" w:rsidR="00C47639" w:rsidRPr="00721042" w:rsidRDefault="00C47639" w:rsidP="00C47639">
            <w:pPr>
              <w:pStyle w:val="Standaard-Tabellen"/>
              <w:rPr>
                <w:b/>
              </w:rPr>
            </w:pPr>
            <w:r w:rsidRPr="00721042">
              <w:rPr>
                <w:b/>
              </w:rPr>
              <w:t>Estimated oral uptake</w:t>
            </w:r>
          </w:p>
        </w:tc>
      </w:tr>
      <w:tr w:rsidR="00C47639" w:rsidRPr="00023B29" w14:paraId="328F0D2D" w14:textId="77777777" w:rsidTr="00C47639">
        <w:trPr>
          <w:cantSplit/>
          <w:trHeight w:val="587"/>
          <w:tblHeader/>
        </w:trPr>
        <w:tc>
          <w:tcPr>
            <w:tcW w:w="1284" w:type="pct"/>
            <w:shd w:val="clear" w:color="auto" w:fill="auto"/>
            <w:vAlign w:val="center"/>
          </w:tcPr>
          <w:p w14:paraId="1164CAC9" w14:textId="77777777" w:rsidR="00C47639" w:rsidRPr="00CF46C5" w:rsidRDefault="00C47639" w:rsidP="00C47639">
            <w:pPr>
              <w:pStyle w:val="Standaard-Tabellen"/>
            </w:pPr>
            <w:r w:rsidRPr="00CF46C5">
              <w:t xml:space="preserve">Scenario </w:t>
            </w:r>
            <w:r>
              <w:t>2</w:t>
            </w:r>
            <w:r w:rsidRPr="00CF46C5">
              <w:t xml:space="preserve"> – ADULT</w:t>
            </w:r>
          </w:p>
          <w:p w14:paraId="62C428CE" w14:textId="77777777" w:rsidR="00C47639" w:rsidRPr="00FD2055" w:rsidRDefault="00C47639" w:rsidP="00C47639">
            <w:pPr>
              <w:pStyle w:val="Standaard-Tabellen"/>
            </w:pPr>
            <w:r w:rsidRPr="00CF46C5">
              <w:t>3 applications/day</w:t>
            </w:r>
          </w:p>
        </w:tc>
        <w:tc>
          <w:tcPr>
            <w:tcW w:w="607" w:type="pct"/>
            <w:vAlign w:val="center"/>
          </w:tcPr>
          <w:p w14:paraId="1A5E51FC" w14:textId="77777777" w:rsidR="00C47639" w:rsidRPr="00CF46C5" w:rsidRDefault="00C47639" w:rsidP="00C47639">
            <w:pPr>
              <w:pStyle w:val="Standaard-Tabellen"/>
            </w:pPr>
            <w:r w:rsidRPr="00CF46C5">
              <w:t>Tier 1 /</w:t>
            </w:r>
          </w:p>
          <w:p w14:paraId="2F7C00A6" w14:textId="77777777" w:rsidR="00C47639" w:rsidRDefault="00C47639" w:rsidP="00C47639">
            <w:pPr>
              <w:pStyle w:val="Standaard-Tabellen"/>
            </w:pPr>
            <w:r w:rsidRPr="00CF46C5">
              <w:t>no PPE</w:t>
            </w:r>
          </w:p>
        </w:tc>
        <w:tc>
          <w:tcPr>
            <w:tcW w:w="1735" w:type="pct"/>
            <w:vAlign w:val="center"/>
          </w:tcPr>
          <w:p w14:paraId="43319A73" w14:textId="77777777" w:rsidR="00C47639" w:rsidRDefault="00C47639" w:rsidP="00C47639">
            <w:pPr>
              <w:pStyle w:val="Standaard-Tabellen"/>
              <w:rPr>
                <w:rFonts w:cs="Arial"/>
              </w:rPr>
            </w:pPr>
            <w:r w:rsidRPr="008B7948">
              <w:rPr>
                <w:rFonts w:cs="Arial"/>
              </w:rPr>
              <w:t>0</w:t>
            </w:r>
            <w:r>
              <w:rPr>
                <w:rFonts w:cs="Arial"/>
              </w:rPr>
              <w:t>.</w:t>
            </w:r>
            <w:r w:rsidRPr="008B7948">
              <w:rPr>
                <w:rFonts w:cs="Arial"/>
              </w:rPr>
              <w:t xml:space="preserve">000981 mg/kg </w:t>
            </w:r>
            <w:proofErr w:type="spellStart"/>
            <w:r w:rsidRPr="008B7948">
              <w:rPr>
                <w:rFonts w:cs="Arial"/>
              </w:rPr>
              <w:t>bw</w:t>
            </w:r>
            <w:proofErr w:type="spellEnd"/>
          </w:p>
        </w:tc>
        <w:tc>
          <w:tcPr>
            <w:tcW w:w="1374" w:type="pct"/>
            <w:vAlign w:val="center"/>
          </w:tcPr>
          <w:p w14:paraId="60FF05D1" w14:textId="77777777" w:rsidR="00C47639" w:rsidRDefault="00C47639" w:rsidP="00C47639">
            <w:pPr>
              <w:pStyle w:val="Standaard-Tabellen"/>
              <w:rPr>
                <w:rFonts w:cs="Arial"/>
              </w:rPr>
            </w:pPr>
            <w:r w:rsidRPr="008B7948">
              <w:rPr>
                <w:rFonts w:cs="Arial"/>
              </w:rPr>
              <w:t xml:space="preserve">0.00777 mg/kg </w:t>
            </w:r>
            <w:proofErr w:type="spellStart"/>
            <w:r w:rsidRPr="008B7948">
              <w:rPr>
                <w:rFonts w:cs="Arial"/>
              </w:rPr>
              <w:t>bw</w:t>
            </w:r>
            <w:proofErr w:type="spellEnd"/>
          </w:p>
        </w:tc>
      </w:tr>
      <w:tr w:rsidR="00C47639" w:rsidRPr="00023B29" w14:paraId="1C173384" w14:textId="77777777" w:rsidTr="00C47639">
        <w:trPr>
          <w:cantSplit/>
          <w:trHeight w:val="587"/>
          <w:tblHeader/>
        </w:trPr>
        <w:tc>
          <w:tcPr>
            <w:tcW w:w="1284" w:type="pct"/>
            <w:shd w:val="clear" w:color="auto" w:fill="auto"/>
            <w:vAlign w:val="center"/>
          </w:tcPr>
          <w:p w14:paraId="34F9408E" w14:textId="77777777" w:rsidR="00C47639" w:rsidRPr="00CF46C5" w:rsidRDefault="00C47639" w:rsidP="00C47639">
            <w:pPr>
              <w:pStyle w:val="Standaard-Tabellen"/>
            </w:pPr>
            <w:r>
              <w:t>Scenario 2</w:t>
            </w:r>
            <w:r w:rsidRPr="00CF46C5">
              <w:t xml:space="preserve"> – CHILD</w:t>
            </w:r>
            <w:r>
              <w:t xml:space="preserve"> (6-12)</w:t>
            </w:r>
          </w:p>
          <w:p w14:paraId="592E4CD2" w14:textId="77777777" w:rsidR="00C47639" w:rsidRPr="00D024CB" w:rsidRDefault="00C47639" w:rsidP="00C47639">
            <w:pPr>
              <w:pStyle w:val="Standaard-Tabellen"/>
            </w:pPr>
            <w:r w:rsidRPr="00CF46C5">
              <w:t>2 applications/day</w:t>
            </w:r>
          </w:p>
        </w:tc>
        <w:tc>
          <w:tcPr>
            <w:tcW w:w="607" w:type="pct"/>
            <w:vAlign w:val="center"/>
          </w:tcPr>
          <w:p w14:paraId="6045E7D5" w14:textId="77777777" w:rsidR="00C47639" w:rsidRPr="00CF46C5" w:rsidRDefault="00C47639" w:rsidP="00C47639">
            <w:pPr>
              <w:pStyle w:val="Standaard-Tabellen"/>
            </w:pPr>
            <w:r w:rsidRPr="00CF46C5">
              <w:t>Tier 1 /</w:t>
            </w:r>
          </w:p>
          <w:p w14:paraId="74DBC485" w14:textId="77777777" w:rsidR="00C47639" w:rsidRDefault="00C47639" w:rsidP="00C47639">
            <w:pPr>
              <w:pStyle w:val="Standaard-Tabellen"/>
            </w:pPr>
            <w:r w:rsidRPr="00CF46C5">
              <w:t>no PPE</w:t>
            </w:r>
          </w:p>
        </w:tc>
        <w:tc>
          <w:tcPr>
            <w:tcW w:w="1735" w:type="pct"/>
            <w:vAlign w:val="center"/>
          </w:tcPr>
          <w:p w14:paraId="2E0F22F8" w14:textId="77777777" w:rsidR="00C47639" w:rsidRPr="008B7948" w:rsidRDefault="00C47639" w:rsidP="00C47639">
            <w:pPr>
              <w:pStyle w:val="Standaard-Tabellen"/>
              <w:rPr>
                <w:rFonts w:cs="Arial"/>
              </w:rPr>
            </w:pPr>
            <w:r>
              <w:rPr>
                <w:rFonts w:cs="Arial"/>
              </w:rPr>
              <w:t>0.</w:t>
            </w:r>
            <w:r w:rsidRPr="008B7948">
              <w:rPr>
                <w:rFonts w:cs="Arial"/>
              </w:rPr>
              <w:t xml:space="preserve">00173 mg/kg </w:t>
            </w:r>
            <w:proofErr w:type="spellStart"/>
            <w:r w:rsidRPr="008B7948">
              <w:rPr>
                <w:rFonts w:cs="Arial"/>
              </w:rPr>
              <w:t>bw</w:t>
            </w:r>
            <w:proofErr w:type="spellEnd"/>
          </w:p>
        </w:tc>
        <w:tc>
          <w:tcPr>
            <w:tcW w:w="1374" w:type="pct"/>
            <w:vAlign w:val="center"/>
          </w:tcPr>
          <w:p w14:paraId="15BD594A" w14:textId="77777777" w:rsidR="00C47639" w:rsidRPr="008B7948" w:rsidRDefault="00C47639" w:rsidP="00C47639">
            <w:pPr>
              <w:pStyle w:val="Standaard-Tabellen"/>
              <w:rPr>
                <w:rFonts w:cs="Arial"/>
              </w:rPr>
            </w:pPr>
            <w:r w:rsidRPr="008B7948">
              <w:rPr>
                <w:rFonts w:cs="Arial"/>
              </w:rPr>
              <w:t>0</w:t>
            </w:r>
            <w:r>
              <w:rPr>
                <w:rFonts w:cs="Arial"/>
              </w:rPr>
              <w:t>.</w:t>
            </w:r>
            <w:r w:rsidRPr="008B7948">
              <w:rPr>
                <w:rFonts w:cs="Arial"/>
              </w:rPr>
              <w:t>0137</w:t>
            </w:r>
            <w:r>
              <w:rPr>
                <w:rFonts w:cs="Arial"/>
              </w:rPr>
              <w:t xml:space="preserve"> </w:t>
            </w:r>
            <w:r w:rsidRPr="008B7948">
              <w:rPr>
                <w:rFonts w:cs="Arial"/>
              </w:rPr>
              <w:t xml:space="preserve">mg/kg </w:t>
            </w:r>
            <w:proofErr w:type="spellStart"/>
            <w:r w:rsidRPr="008B7948">
              <w:rPr>
                <w:rFonts w:cs="Arial"/>
              </w:rPr>
              <w:t>bw</w:t>
            </w:r>
            <w:proofErr w:type="spellEnd"/>
          </w:p>
        </w:tc>
      </w:tr>
      <w:tr w:rsidR="00C47639" w:rsidRPr="009A0E6F" w14:paraId="13FBD845" w14:textId="77777777" w:rsidTr="00C47639">
        <w:trPr>
          <w:cantSplit/>
          <w:trHeight w:val="435"/>
          <w:tblHeader/>
        </w:trPr>
        <w:tc>
          <w:tcPr>
            <w:tcW w:w="1284" w:type="pct"/>
            <w:shd w:val="clear" w:color="auto" w:fill="auto"/>
            <w:vAlign w:val="center"/>
          </w:tcPr>
          <w:p w14:paraId="41201B4E" w14:textId="77777777" w:rsidR="00C47639" w:rsidRPr="00CF46C5" w:rsidRDefault="00C47639" w:rsidP="00C47639">
            <w:pPr>
              <w:pStyle w:val="Standaard-Tabellen"/>
            </w:pPr>
            <w:r>
              <w:t>Scenario 2</w:t>
            </w:r>
            <w:r w:rsidRPr="00CF46C5">
              <w:t xml:space="preserve"> – CHILD</w:t>
            </w:r>
            <w:r>
              <w:t xml:space="preserve"> (2-6)</w:t>
            </w:r>
          </w:p>
          <w:p w14:paraId="07C45CB3" w14:textId="77777777" w:rsidR="00C47639" w:rsidRPr="00FD2055" w:rsidRDefault="00C47639" w:rsidP="00C47639">
            <w:pPr>
              <w:pStyle w:val="Standaard-Tabellen"/>
            </w:pPr>
            <w:r w:rsidRPr="00CF46C5">
              <w:t>2 applications/day</w:t>
            </w:r>
          </w:p>
        </w:tc>
        <w:tc>
          <w:tcPr>
            <w:tcW w:w="607" w:type="pct"/>
            <w:vAlign w:val="center"/>
          </w:tcPr>
          <w:p w14:paraId="1324FEF2" w14:textId="77777777" w:rsidR="00C47639" w:rsidRPr="00CF46C5" w:rsidRDefault="00C47639" w:rsidP="00C47639">
            <w:pPr>
              <w:pStyle w:val="Standaard-Tabellen"/>
            </w:pPr>
            <w:r w:rsidRPr="00CF46C5">
              <w:t>Tier 1 /</w:t>
            </w:r>
          </w:p>
          <w:p w14:paraId="0D553B12" w14:textId="77777777" w:rsidR="00C47639" w:rsidRPr="00B41694" w:rsidRDefault="00C47639" w:rsidP="00C47639">
            <w:pPr>
              <w:pStyle w:val="Standaard-Tabellen"/>
            </w:pPr>
            <w:r w:rsidRPr="00CF46C5">
              <w:t>no PPE</w:t>
            </w:r>
          </w:p>
        </w:tc>
        <w:tc>
          <w:tcPr>
            <w:tcW w:w="1735" w:type="pct"/>
            <w:vAlign w:val="center"/>
          </w:tcPr>
          <w:p w14:paraId="19C7DB03" w14:textId="77777777" w:rsidR="00C47639" w:rsidRPr="00AA53B3" w:rsidRDefault="00C47639" w:rsidP="00C47639">
            <w:pPr>
              <w:pStyle w:val="Standaard-Tabellen"/>
              <w:rPr>
                <w:rFonts w:cs="Arial"/>
              </w:rPr>
            </w:pPr>
            <w:r>
              <w:rPr>
                <w:rFonts w:cs="Arial"/>
              </w:rPr>
              <w:t xml:space="preserve">0.00253 </w:t>
            </w:r>
            <w:r w:rsidRPr="00372132">
              <w:rPr>
                <w:rFonts w:cs="Arial"/>
              </w:rPr>
              <w:t xml:space="preserve">mg/kg </w:t>
            </w:r>
            <w:proofErr w:type="spellStart"/>
            <w:r w:rsidRPr="00372132">
              <w:rPr>
                <w:rFonts w:cs="Arial"/>
              </w:rPr>
              <w:t>bw</w:t>
            </w:r>
            <w:proofErr w:type="spellEnd"/>
            <w:r w:rsidRPr="00372132" w:rsidDel="00372132">
              <w:rPr>
                <w:rFonts w:cs="Arial"/>
              </w:rPr>
              <w:t xml:space="preserve"> </w:t>
            </w:r>
          </w:p>
        </w:tc>
        <w:tc>
          <w:tcPr>
            <w:tcW w:w="1374" w:type="pct"/>
            <w:vAlign w:val="center"/>
          </w:tcPr>
          <w:p w14:paraId="2329C1C8" w14:textId="77777777" w:rsidR="00C47639" w:rsidRPr="00AA53B3" w:rsidRDefault="00C47639" w:rsidP="00C47639">
            <w:pPr>
              <w:pStyle w:val="Standaard-Tabellen"/>
              <w:rPr>
                <w:rFonts w:cs="Arial"/>
              </w:rPr>
            </w:pPr>
            <w:r>
              <w:rPr>
                <w:rFonts w:cs="Arial"/>
              </w:rPr>
              <w:t xml:space="preserve">0.0201 </w:t>
            </w:r>
            <w:r w:rsidRPr="00372132">
              <w:rPr>
                <w:rFonts w:cs="Arial"/>
              </w:rPr>
              <w:t xml:space="preserve">mg/kg </w:t>
            </w:r>
            <w:proofErr w:type="spellStart"/>
            <w:r w:rsidRPr="00372132">
              <w:rPr>
                <w:rFonts w:cs="Arial"/>
              </w:rPr>
              <w:t>bw</w:t>
            </w:r>
            <w:proofErr w:type="spellEnd"/>
            <w:r w:rsidRPr="00372132" w:rsidDel="00372132">
              <w:rPr>
                <w:rFonts w:cs="Arial"/>
              </w:rPr>
              <w:t xml:space="preserve"> </w:t>
            </w:r>
          </w:p>
        </w:tc>
      </w:tr>
      <w:tr w:rsidR="00C47639" w:rsidRPr="00023B29" w14:paraId="6E079DA9" w14:textId="77777777" w:rsidTr="00C47639">
        <w:trPr>
          <w:cantSplit/>
          <w:trHeight w:val="595"/>
          <w:tblHeader/>
        </w:trPr>
        <w:tc>
          <w:tcPr>
            <w:tcW w:w="1284" w:type="pct"/>
            <w:shd w:val="clear" w:color="auto" w:fill="auto"/>
            <w:vAlign w:val="center"/>
          </w:tcPr>
          <w:p w14:paraId="3FA494E6" w14:textId="77777777" w:rsidR="00C47639" w:rsidRPr="00CF46C5" w:rsidRDefault="00C47639" w:rsidP="00C47639">
            <w:pPr>
              <w:pStyle w:val="Standaard-Tabellen"/>
            </w:pPr>
            <w:r>
              <w:t>Scenario 2</w:t>
            </w:r>
            <w:r w:rsidRPr="00CF46C5">
              <w:t xml:space="preserve"> – TODDLER</w:t>
            </w:r>
          </w:p>
          <w:p w14:paraId="27F1207C" w14:textId="77777777" w:rsidR="00C47639" w:rsidRPr="00FD2055" w:rsidRDefault="00C47639" w:rsidP="00C47639">
            <w:pPr>
              <w:pStyle w:val="Standaard-Tabellen"/>
            </w:pPr>
            <w:r w:rsidRPr="00CF46C5">
              <w:t>1 application/day</w:t>
            </w:r>
          </w:p>
        </w:tc>
        <w:tc>
          <w:tcPr>
            <w:tcW w:w="607" w:type="pct"/>
            <w:vAlign w:val="center"/>
          </w:tcPr>
          <w:p w14:paraId="68780239" w14:textId="77777777" w:rsidR="00C47639" w:rsidRPr="00CF46C5" w:rsidRDefault="00C47639" w:rsidP="00C47639">
            <w:pPr>
              <w:pStyle w:val="Standaard-Tabellen"/>
            </w:pPr>
            <w:r w:rsidRPr="00CF46C5">
              <w:t>Tier 1 /</w:t>
            </w:r>
          </w:p>
          <w:p w14:paraId="5EFA21FE" w14:textId="77777777" w:rsidR="00C47639" w:rsidRPr="00FD2055" w:rsidRDefault="00C47639" w:rsidP="00C47639">
            <w:pPr>
              <w:pStyle w:val="Standaard-Tabellen"/>
            </w:pPr>
            <w:r w:rsidRPr="00CF46C5">
              <w:t>no PPE</w:t>
            </w:r>
          </w:p>
        </w:tc>
        <w:tc>
          <w:tcPr>
            <w:tcW w:w="1735" w:type="pct"/>
            <w:vAlign w:val="center"/>
          </w:tcPr>
          <w:p w14:paraId="3CF6EC95" w14:textId="77777777" w:rsidR="00C47639" w:rsidRPr="00AA53B3" w:rsidRDefault="00C47639" w:rsidP="00C47639">
            <w:pPr>
              <w:pStyle w:val="Standaard-Tabellen"/>
              <w:rPr>
                <w:rFonts w:cs="Arial"/>
              </w:rPr>
            </w:pPr>
            <w:r>
              <w:rPr>
                <w:rFonts w:cs="Arial"/>
              </w:rPr>
              <w:t>0.</w:t>
            </w:r>
            <w:r w:rsidRPr="00755918">
              <w:rPr>
                <w:rFonts w:cs="Arial"/>
              </w:rPr>
              <w:t xml:space="preserve">00198 mg/kg </w:t>
            </w:r>
            <w:proofErr w:type="spellStart"/>
            <w:r w:rsidRPr="00755918">
              <w:rPr>
                <w:rFonts w:cs="Arial"/>
              </w:rPr>
              <w:t>bw</w:t>
            </w:r>
            <w:proofErr w:type="spellEnd"/>
          </w:p>
        </w:tc>
        <w:tc>
          <w:tcPr>
            <w:tcW w:w="1374" w:type="pct"/>
            <w:vAlign w:val="center"/>
          </w:tcPr>
          <w:p w14:paraId="67DEEBC4" w14:textId="77777777" w:rsidR="00C47639" w:rsidRPr="00AA53B3" w:rsidRDefault="00C47639" w:rsidP="00C47639">
            <w:pPr>
              <w:pStyle w:val="Standaard-Tabellen"/>
              <w:rPr>
                <w:rFonts w:cs="Arial"/>
              </w:rPr>
            </w:pPr>
            <w:r>
              <w:rPr>
                <w:rFonts w:cs="Arial"/>
              </w:rPr>
              <w:t>0.</w:t>
            </w:r>
            <w:r w:rsidRPr="00755918">
              <w:rPr>
                <w:rFonts w:cs="Arial"/>
              </w:rPr>
              <w:t xml:space="preserve">0157 mg/kg </w:t>
            </w:r>
            <w:proofErr w:type="spellStart"/>
            <w:r w:rsidRPr="00755918">
              <w:rPr>
                <w:rFonts w:cs="Arial"/>
              </w:rPr>
              <w:t>bw</w:t>
            </w:r>
            <w:proofErr w:type="spellEnd"/>
          </w:p>
        </w:tc>
      </w:tr>
      <w:tr w:rsidR="00C47639" w:rsidRPr="00023B29" w14:paraId="46FEB730" w14:textId="77777777" w:rsidTr="00C47639">
        <w:trPr>
          <w:cantSplit/>
          <w:trHeight w:val="587"/>
          <w:tblHeader/>
        </w:trPr>
        <w:tc>
          <w:tcPr>
            <w:tcW w:w="1284" w:type="pct"/>
            <w:shd w:val="clear" w:color="auto" w:fill="auto"/>
            <w:vAlign w:val="center"/>
          </w:tcPr>
          <w:p w14:paraId="353845F8" w14:textId="77777777" w:rsidR="00C47639" w:rsidRPr="00CF46C5" w:rsidRDefault="00C47639" w:rsidP="00C47639">
            <w:pPr>
              <w:pStyle w:val="Standaard-Tabellen"/>
            </w:pPr>
            <w:r>
              <w:t>Scenario 2</w:t>
            </w:r>
            <w:r w:rsidRPr="00CF46C5">
              <w:t xml:space="preserve"> – INFANT</w:t>
            </w:r>
          </w:p>
          <w:p w14:paraId="4AE11263" w14:textId="77777777" w:rsidR="00C47639" w:rsidRPr="00FD2055" w:rsidRDefault="00C47639" w:rsidP="00C47639">
            <w:pPr>
              <w:pStyle w:val="Standaard-Tabellen"/>
            </w:pPr>
            <w:r w:rsidRPr="00CF46C5">
              <w:t>1 application/day</w:t>
            </w:r>
          </w:p>
        </w:tc>
        <w:tc>
          <w:tcPr>
            <w:tcW w:w="607" w:type="pct"/>
            <w:vAlign w:val="center"/>
          </w:tcPr>
          <w:p w14:paraId="378B2AE5" w14:textId="77777777" w:rsidR="00C47639" w:rsidRPr="00CF46C5" w:rsidRDefault="00C47639" w:rsidP="00C47639">
            <w:pPr>
              <w:pStyle w:val="Standaard-Tabellen"/>
            </w:pPr>
            <w:r w:rsidRPr="00CF46C5">
              <w:t>Tier 1 /</w:t>
            </w:r>
          </w:p>
          <w:p w14:paraId="70F95F3E" w14:textId="77777777" w:rsidR="00C47639" w:rsidRPr="00FD2055" w:rsidRDefault="00C47639" w:rsidP="00C47639">
            <w:pPr>
              <w:pStyle w:val="Standaard-Tabellen"/>
            </w:pPr>
            <w:r w:rsidRPr="00CF46C5">
              <w:t>no PPE</w:t>
            </w:r>
          </w:p>
        </w:tc>
        <w:tc>
          <w:tcPr>
            <w:tcW w:w="1735" w:type="pct"/>
            <w:vAlign w:val="center"/>
          </w:tcPr>
          <w:p w14:paraId="29C7B560" w14:textId="77777777" w:rsidR="00C47639" w:rsidRPr="00AA53B3" w:rsidRDefault="00C47639" w:rsidP="00C47639">
            <w:pPr>
              <w:pStyle w:val="Standaard-Tabellen"/>
              <w:rPr>
                <w:rFonts w:cs="Arial"/>
              </w:rPr>
            </w:pPr>
            <w:r>
              <w:rPr>
                <w:rFonts w:cs="Arial"/>
              </w:rPr>
              <w:t>0.</w:t>
            </w:r>
            <w:r w:rsidRPr="00755918">
              <w:rPr>
                <w:rFonts w:cs="Arial"/>
              </w:rPr>
              <w:t xml:space="preserve">00165 mg/kg </w:t>
            </w:r>
            <w:proofErr w:type="spellStart"/>
            <w:r w:rsidRPr="00755918">
              <w:rPr>
                <w:rFonts w:cs="Arial"/>
              </w:rPr>
              <w:t>bw</w:t>
            </w:r>
            <w:proofErr w:type="spellEnd"/>
          </w:p>
        </w:tc>
        <w:tc>
          <w:tcPr>
            <w:tcW w:w="1374" w:type="pct"/>
            <w:vAlign w:val="center"/>
          </w:tcPr>
          <w:p w14:paraId="6D85F46C" w14:textId="77777777" w:rsidR="00C47639" w:rsidRPr="00AA53B3" w:rsidRDefault="00C47639" w:rsidP="00C47639">
            <w:pPr>
              <w:pStyle w:val="Standaard-Tabellen"/>
              <w:rPr>
                <w:rFonts w:cs="Arial"/>
              </w:rPr>
            </w:pPr>
            <w:r>
              <w:rPr>
                <w:rFonts w:cs="Arial"/>
              </w:rPr>
              <w:t>0.</w:t>
            </w:r>
            <w:r w:rsidRPr="00755918">
              <w:rPr>
                <w:rFonts w:cs="Arial"/>
              </w:rPr>
              <w:t xml:space="preserve">0131 mg/kg </w:t>
            </w:r>
            <w:proofErr w:type="spellStart"/>
            <w:r w:rsidRPr="00755918">
              <w:rPr>
                <w:rFonts w:cs="Arial"/>
              </w:rPr>
              <w:t>bw</w:t>
            </w:r>
            <w:proofErr w:type="spellEnd"/>
          </w:p>
        </w:tc>
      </w:tr>
      <w:tr w:rsidR="00C47639" w:rsidRPr="00023B29" w14:paraId="642AEDE4" w14:textId="77777777" w:rsidTr="00C47639">
        <w:trPr>
          <w:cantSplit/>
          <w:trHeight w:val="587"/>
          <w:tblHeader/>
        </w:trPr>
        <w:tc>
          <w:tcPr>
            <w:tcW w:w="1284" w:type="pct"/>
            <w:shd w:val="clear" w:color="auto" w:fill="auto"/>
            <w:vAlign w:val="center"/>
          </w:tcPr>
          <w:p w14:paraId="34C69244" w14:textId="77777777" w:rsidR="00C47639" w:rsidRPr="00CF46C5" w:rsidRDefault="00C47639" w:rsidP="00C47639">
            <w:pPr>
              <w:pStyle w:val="Standaard-Tabellen"/>
            </w:pPr>
            <w:r>
              <w:t>Scenario 2</w:t>
            </w:r>
            <w:r w:rsidRPr="00CF46C5">
              <w:t xml:space="preserve"> – ADULT</w:t>
            </w:r>
          </w:p>
          <w:p w14:paraId="40E60EC6" w14:textId="77777777" w:rsidR="00C47639" w:rsidRDefault="00C47639" w:rsidP="00C47639">
            <w:pPr>
              <w:pStyle w:val="Standaard-Tabellen"/>
            </w:pPr>
            <w:r>
              <w:t>2</w:t>
            </w:r>
            <w:r w:rsidRPr="00CF46C5">
              <w:t xml:space="preserve"> applications/day</w:t>
            </w:r>
          </w:p>
        </w:tc>
        <w:tc>
          <w:tcPr>
            <w:tcW w:w="607" w:type="pct"/>
            <w:vAlign w:val="center"/>
          </w:tcPr>
          <w:p w14:paraId="54D19420" w14:textId="77777777" w:rsidR="00C47639" w:rsidRPr="00CF46C5" w:rsidRDefault="00C47639" w:rsidP="00C47639">
            <w:pPr>
              <w:pStyle w:val="Standaard-Tabellen"/>
            </w:pPr>
            <w:r w:rsidRPr="00CF46C5">
              <w:t xml:space="preserve">Tier </w:t>
            </w:r>
            <w:r>
              <w:t>2</w:t>
            </w:r>
            <w:r w:rsidRPr="00CF46C5">
              <w:t xml:space="preserve"> /</w:t>
            </w:r>
          </w:p>
          <w:p w14:paraId="072C736F" w14:textId="77777777" w:rsidR="00C47639" w:rsidRPr="00B41694" w:rsidRDefault="00C47639" w:rsidP="00C47639">
            <w:pPr>
              <w:pStyle w:val="Standaard-Tabellen"/>
            </w:pPr>
            <w:r w:rsidRPr="00CF46C5">
              <w:t>no PPE</w:t>
            </w:r>
          </w:p>
        </w:tc>
        <w:tc>
          <w:tcPr>
            <w:tcW w:w="1735" w:type="pct"/>
            <w:vAlign w:val="center"/>
          </w:tcPr>
          <w:p w14:paraId="4F551AB4" w14:textId="77777777" w:rsidR="00C47639" w:rsidRPr="00412894" w:rsidRDefault="00C47639" w:rsidP="00C47639">
            <w:pPr>
              <w:pStyle w:val="Standaard-Tabellen"/>
              <w:rPr>
                <w:rFonts w:cs="Arial"/>
              </w:rPr>
            </w:pPr>
            <w:r w:rsidRPr="00412894">
              <w:rPr>
                <w:rFonts w:cs="Arial"/>
              </w:rPr>
              <w:t>0.00</w:t>
            </w:r>
            <w:r w:rsidRPr="00B42FAC">
              <w:rPr>
                <w:rFonts w:cs="Arial"/>
              </w:rPr>
              <w:t>0654</w:t>
            </w:r>
            <w:r w:rsidRPr="00412894">
              <w:rPr>
                <w:rFonts w:cs="Arial"/>
              </w:rPr>
              <w:t xml:space="preserve"> mg/kg </w:t>
            </w:r>
            <w:proofErr w:type="spellStart"/>
            <w:r w:rsidRPr="00412894">
              <w:rPr>
                <w:rFonts w:cs="Arial"/>
              </w:rPr>
              <w:t>bw</w:t>
            </w:r>
            <w:proofErr w:type="spellEnd"/>
          </w:p>
        </w:tc>
        <w:tc>
          <w:tcPr>
            <w:tcW w:w="1374" w:type="pct"/>
            <w:vAlign w:val="center"/>
          </w:tcPr>
          <w:p w14:paraId="0EEE39C5" w14:textId="77777777" w:rsidR="00C47639" w:rsidRPr="00412894" w:rsidRDefault="00C47639" w:rsidP="00C47639">
            <w:pPr>
              <w:pStyle w:val="Standaard-Tabellen"/>
              <w:rPr>
                <w:rFonts w:cs="Arial"/>
              </w:rPr>
            </w:pPr>
            <w:r w:rsidRPr="00412894">
              <w:rPr>
                <w:rFonts w:cs="Arial"/>
              </w:rPr>
              <w:t>0.0</w:t>
            </w:r>
            <w:r w:rsidRPr="00B42FAC">
              <w:rPr>
                <w:rFonts w:cs="Arial"/>
              </w:rPr>
              <w:t>052</w:t>
            </w:r>
            <w:r w:rsidRPr="00412894">
              <w:rPr>
                <w:rFonts w:cs="Arial"/>
              </w:rPr>
              <w:t xml:space="preserve"> mg/kg </w:t>
            </w:r>
            <w:proofErr w:type="spellStart"/>
            <w:r w:rsidRPr="00412894">
              <w:rPr>
                <w:rFonts w:cs="Arial"/>
              </w:rPr>
              <w:t>bw</w:t>
            </w:r>
            <w:proofErr w:type="spellEnd"/>
          </w:p>
        </w:tc>
      </w:tr>
      <w:tr w:rsidR="00C47639" w:rsidRPr="00023B29" w14:paraId="034BBF77" w14:textId="77777777" w:rsidTr="00C47639">
        <w:trPr>
          <w:cantSplit/>
          <w:trHeight w:val="587"/>
          <w:tblHeader/>
        </w:trPr>
        <w:tc>
          <w:tcPr>
            <w:tcW w:w="1284" w:type="pct"/>
            <w:shd w:val="clear" w:color="auto" w:fill="auto"/>
            <w:vAlign w:val="center"/>
          </w:tcPr>
          <w:p w14:paraId="5DF52DED" w14:textId="77777777" w:rsidR="00C47639" w:rsidRPr="00CF46C5" w:rsidRDefault="00C47639" w:rsidP="00C47639">
            <w:pPr>
              <w:pStyle w:val="Standaard-Tabellen"/>
            </w:pPr>
            <w:r>
              <w:t>Scenario 2</w:t>
            </w:r>
            <w:r w:rsidRPr="00CF46C5">
              <w:t xml:space="preserve"> – CHILD</w:t>
            </w:r>
            <w:r>
              <w:t xml:space="preserve"> (6-12)</w:t>
            </w:r>
          </w:p>
          <w:p w14:paraId="21EFBEBB" w14:textId="77777777" w:rsidR="00C47639" w:rsidRDefault="00C47639" w:rsidP="00C47639">
            <w:pPr>
              <w:pStyle w:val="Standaard-Tabellen"/>
            </w:pPr>
            <w:r>
              <w:t>1 application</w:t>
            </w:r>
            <w:r w:rsidRPr="00CF46C5">
              <w:t>/day</w:t>
            </w:r>
          </w:p>
        </w:tc>
        <w:tc>
          <w:tcPr>
            <w:tcW w:w="607" w:type="pct"/>
            <w:vAlign w:val="center"/>
          </w:tcPr>
          <w:p w14:paraId="0574D96A" w14:textId="77777777" w:rsidR="00C47639" w:rsidRPr="00CF46C5" w:rsidRDefault="00C47639" w:rsidP="00C47639">
            <w:pPr>
              <w:pStyle w:val="Standaard-Tabellen"/>
            </w:pPr>
            <w:r>
              <w:t>Tier 2</w:t>
            </w:r>
            <w:r w:rsidRPr="00CF46C5">
              <w:t xml:space="preserve"> /</w:t>
            </w:r>
          </w:p>
          <w:p w14:paraId="6EC563F0" w14:textId="77777777" w:rsidR="00C47639" w:rsidRPr="00B41694" w:rsidRDefault="00C47639" w:rsidP="00C47639">
            <w:pPr>
              <w:pStyle w:val="Standaard-Tabellen"/>
            </w:pPr>
            <w:r w:rsidRPr="00CF46C5">
              <w:t>no PPE</w:t>
            </w:r>
          </w:p>
        </w:tc>
        <w:tc>
          <w:tcPr>
            <w:tcW w:w="1735" w:type="pct"/>
            <w:vAlign w:val="center"/>
          </w:tcPr>
          <w:p w14:paraId="2597E361" w14:textId="77777777" w:rsidR="00C47639" w:rsidRPr="00412894" w:rsidRDefault="00C47639" w:rsidP="00C47639">
            <w:pPr>
              <w:pStyle w:val="Standaard-Tabellen"/>
              <w:rPr>
                <w:rFonts w:cs="Arial"/>
              </w:rPr>
            </w:pPr>
            <w:r w:rsidRPr="00412894">
              <w:rPr>
                <w:rFonts w:cs="Arial"/>
              </w:rPr>
              <w:t>0.00</w:t>
            </w:r>
            <w:r w:rsidRPr="00B42FAC">
              <w:rPr>
                <w:rFonts w:cs="Arial"/>
              </w:rPr>
              <w:t>0867</w:t>
            </w:r>
            <w:r w:rsidRPr="00412894">
              <w:rPr>
                <w:rFonts w:cs="Arial"/>
              </w:rPr>
              <w:t xml:space="preserve"> mg/kg </w:t>
            </w:r>
            <w:proofErr w:type="spellStart"/>
            <w:r w:rsidRPr="00412894">
              <w:rPr>
                <w:rFonts w:cs="Arial"/>
              </w:rPr>
              <w:t>bw</w:t>
            </w:r>
            <w:proofErr w:type="spellEnd"/>
            <w:r w:rsidRPr="00412894" w:rsidDel="00372132">
              <w:rPr>
                <w:rFonts w:cs="Arial"/>
              </w:rPr>
              <w:t xml:space="preserve"> </w:t>
            </w:r>
          </w:p>
        </w:tc>
        <w:tc>
          <w:tcPr>
            <w:tcW w:w="1374" w:type="pct"/>
            <w:vAlign w:val="center"/>
          </w:tcPr>
          <w:p w14:paraId="4EFAB703" w14:textId="77777777" w:rsidR="00C47639" w:rsidRPr="00412894" w:rsidRDefault="00C47639" w:rsidP="00C47639">
            <w:pPr>
              <w:pStyle w:val="Standaard-Tabellen"/>
              <w:rPr>
                <w:rFonts w:cs="Arial"/>
              </w:rPr>
            </w:pPr>
            <w:r w:rsidRPr="00412894">
              <w:rPr>
                <w:rFonts w:cs="Arial"/>
              </w:rPr>
              <w:t>0.</w:t>
            </w:r>
            <w:r w:rsidRPr="00B42FAC">
              <w:rPr>
                <w:rFonts w:cs="Arial"/>
              </w:rPr>
              <w:t>0069</w:t>
            </w:r>
            <w:r w:rsidRPr="00412894">
              <w:rPr>
                <w:rFonts w:cs="Arial"/>
              </w:rPr>
              <w:t xml:space="preserve"> mg/kg </w:t>
            </w:r>
            <w:proofErr w:type="spellStart"/>
            <w:r w:rsidRPr="00412894">
              <w:rPr>
                <w:rFonts w:cs="Arial"/>
              </w:rPr>
              <w:t>bw</w:t>
            </w:r>
            <w:proofErr w:type="spellEnd"/>
            <w:r w:rsidRPr="00412894" w:rsidDel="00372132">
              <w:rPr>
                <w:rFonts w:cs="Arial"/>
              </w:rPr>
              <w:t xml:space="preserve"> </w:t>
            </w:r>
          </w:p>
        </w:tc>
      </w:tr>
      <w:tr w:rsidR="00C47639" w:rsidRPr="00023B29" w14:paraId="37A5C425" w14:textId="77777777" w:rsidTr="00C47639">
        <w:trPr>
          <w:cantSplit/>
          <w:trHeight w:val="587"/>
          <w:tblHeader/>
        </w:trPr>
        <w:tc>
          <w:tcPr>
            <w:tcW w:w="1284" w:type="pct"/>
            <w:shd w:val="clear" w:color="auto" w:fill="auto"/>
            <w:vAlign w:val="center"/>
          </w:tcPr>
          <w:p w14:paraId="0BFCF5C0" w14:textId="77777777" w:rsidR="00C47639" w:rsidRPr="00CF46C5" w:rsidRDefault="00C47639" w:rsidP="00C47639">
            <w:pPr>
              <w:pStyle w:val="Standaard-Tabellen"/>
            </w:pPr>
            <w:r>
              <w:t>Scenario 2</w:t>
            </w:r>
            <w:r w:rsidRPr="00CF46C5">
              <w:t xml:space="preserve"> – CHILD</w:t>
            </w:r>
            <w:r>
              <w:t xml:space="preserve"> (2-6)</w:t>
            </w:r>
          </w:p>
          <w:p w14:paraId="026C7F1A" w14:textId="77777777" w:rsidR="00C47639" w:rsidRDefault="00C47639" w:rsidP="00C47639">
            <w:pPr>
              <w:pStyle w:val="Standaard-Tabellen"/>
            </w:pPr>
            <w:r>
              <w:t>1 application</w:t>
            </w:r>
            <w:r w:rsidRPr="00CF46C5">
              <w:t>/day</w:t>
            </w:r>
          </w:p>
        </w:tc>
        <w:tc>
          <w:tcPr>
            <w:tcW w:w="607" w:type="pct"/>
            <w:vAlign w:val="center"/>
          </w:tcPr>
          <w:p w14:paraId="1754C355" w14:textId="77777777" w:rsidR="00C47639" w:rsidRPr="00CF46C5" w:rsidRDefault="00C47639" w:rsidP="00C47639">
            <w:pPr>
              <w:pStyle w:val="Standaard-Tabellen"/>
            </w:pPr>
            <w:r>
              <w:t>Tier 2</w:t>
            </w:r>
            <w:r w:rsidRPr="00CF46C5">
              <w:t xml:space="preserve"> /</w:t>
            </w:r>
          </w:p>
          <w:p w14:paraId="29D655A0" w14:textId="77777777" w:rsidR="00C47639" w:rsidRPr="00B41694" w:rsidRDefault="00C47639" w:rsidP="00C47639">
            <w:pPr>
              <w:pStyle w:val="Standaard-Tabellen"/>
            </w:pPr>
            <w:r w:rsidRPr="00CF46C5">
              <w:t>no PPE</w:t>
            </w:r>
          </w:p>
        </w:tc>
        <w:tc>
          <w:tcPr>
            <w:tcW w:w="1735" w:type="pct"/>
            <w:vAlign w:val="center"/>
          </w:tcPr>
          <w:p w14:paraId="1E9F921B" w14:textId="77777777" w:rsidR="00C47639" w:rsidRPr="00412894" w:rsidRDefault="00C47639" w:rsidP="00C47639">
            <w:pPr>
              <w:pStyle w:val="Standaard-Tabellen"/>
              <w:rPr>
                <w:rFonts w:cs="Arial"/>
              </w:rPr>
            </w:pPr>
            <w:r w:rsidRPr="00412894">
              <w:rPr>
                <w:rFonts w:cs="Arial"/>
              </w:rPr>
              <w:t>0.00</w:t>
            </w:r>
            <w:r w:rsidRPr="00B42FAC">
              <w:rPr>
                <w:rFonts w:cs="Arial"/>
              </w:rPr>
              <w:t>0127</w:t>
            </w:r>
            <w:r w:rsidRPr="00412894">
              <w:rPr>
                <w:rFonts w:cs="Arial"/>
              </w:rPr>
              <w:t xml:space="preserve"> mg/kg </w:t>
            </w:r>
            <w:proofErr w:type="spellStart"/>
            <w:r w:rsidRPr="00412894">
              <w:rPr>
                <w:rFonts w:cs="Arial"/>
              </w:rPr>
              <w:t>bw</w:t>
            </w:r>
            <w:proofErr w:type="spellEnd"/>
          </w:p>
        </w:tc>
        <w:tc>
          <w:tcPr>
            <w:tcW w:w="1374" w:type="pct"/>
            <w:vAlign w:val="center"/>
          </w:tcPr>
          <w:p w14:paraId="6AB4DD96" w14:textId="77777777" w:rsidR="00C47639" w:rsidRPr="00412894" w:rsidRDefault="00C47639" w:rsidP="00C47639">
            <w:pPr>
              <w:pStyle w:val="Standaard-Tabellen"/>
              <w:rPr>
                <w:rFonts w:cs="Arial"/>
              </w:rPr>
            </w:pPr>
            <w:r w:rsidRPr="00412894">
              <w:rPr>
                <w:rFonts w:cs="Arial"/>
              </w:rPr>
              <w:t>0.</w:t>
            </w:r>
            <w:r w:rsidRPr="00B42FAC">
              <w:rPr>
                <w:rFonts w:cs="Arial"/>
              </w:rPr>
              <w:t>010</w:t>
            </w:r>
            <w:r>
              <w:rPr>
                <w:rFonts w:cs="Arial"/>
              </w:rPr>
              <w:t>0</w:t>
            </w:r>
            <w:r w:rsidRPr="00412894">
              <w:rPr>
                <w:rFonts w:cs="Arial"/>
              </w:rPr>
              <w:t xml:space="preserve"> mg/kg </w:t>
            </w:r>
            <w:proofErr w:type="spellStart"/>
            <w:r w:rsidRPr="00412894">
              <w:rPr>
                <w:rFonts w:cs="Arial"/>
              </w:rPr>
              <w:t>bw</w:t>
            </w:r>
            <w:proofErr w:type="spellEnd"/>
          </w:p>
        </w:tc>
      </w:tr>
      <w:tr w:rsidR="00C47639" w:rsidRPr="00023B29" w14:paraId="39385E32" w14:textId="77777777" w:rsidTr="00C47639">
        <w:trPr>
          <w:cantSplit/>
          <w:trHeight w:val="587"/>
          <w:tblHeader/>
        </w:trPr>
        <w:tc>
          <w:tcPr>
            <w:tcW w:w="1284" w:type="pct"/>
            <w:shd w:val="clear" w:color="auto" w:fill="auto"/>
            <w:vAlign w:val="center"/>
          </w:tcPr>
          <w:p w14:paraId="6D62948F" w14:textId="77777777" w:rsidR="00C47639" w:rsidRPr="00CF46C5" w:rsidRDefault="00C47639" w:rsidP="00C47639">
            <w:pPr>
              <w:pStyle w:val="Standaard-Tabellen"/>
            </w:pPr>
            <w:r>
              <w:t>Scenario 2</w:t>
            </w:r>
            <w:r w:rsidRPr="00CF46C5">
              <w:t xml:space="preserve"> – ADULT</w:t>
            </w:r>
          </w:p>
          <w:p w14:paraId="79EA18F9" w14:textId="77777777" w:rsidR="00C47639" w:rsidRDefault="00C47639" w:rsidP="00C47639">
            <w:pPr>
              <w:pStyle w:val="Standaard-Tabellen"/>
            </w:pPr>
            <w:r>
              <w:t>1 application</w:t>
            </w:r>
            <w:r w:rsidRPr="00CF46C5">
              <w:t>/day</w:t>
            </w:r>
          </w:p>
        </w:tc>
        <w:tc>
          <w:tcPr>
            <w:tcW w:w="607" w:type="pct"/>
            <w:vAlign w:val="center"/>
          </w:tcPr>
          <w:p w14:paraId="24CCFF5F" w14:textId="77777777" w:rsidR="00C47639" w:rsidRPr="00CF46C5" w:rsidRDefault="00C47639" w:rsidP="00C47639">
            <w:pPr>
              <w:pStyle w:val="Standaard-Tabellen"/>
            </w:pPr>
            <w:r>
              <w:t>Tier 3</w:t>
            </w:r>
            <w:r w:rsidRPr="00CF46C5">
              <w:t xml:space="preserve"> /</w:t>
            </w:r>
          </w:p>
          <w:p w14:paraId="676D9D2D" w14:textId="77777777" w:rsidR="00C47639" w:rsidRPr="00B41694" w:rsidRDefault="00C47639" w:rsidP="00C47639">
            <w:pPr>
              <w:pStyle w:val="Standaard-Tabellen"/>
            </w:pPr>
            <w:r w:rsidRPr="00CF46C5">
              <w:t>no PPE</w:t>
            </w:r>
          </w:p>
        </w:tc>
        <w:tc>
          <w:tcPr>
            <w:tcW w:w="1735" w:type="pct"/>
            <w:vAlign w:val="center"/>
          </w:tcPr>
          <w:p w14:paraId="7333B3FE" w14:textId="77777777" w:rsidR="00C47639" w:rsidRPr="00412894" w:rsidRDefault="00C47639" w:rsidP="00C47639">
            <w:pPr>
              <w:pStyle w:val="Standaard-Tabellen"/>
              <w:rPr>
                <w:rFonts w:cs="Arial"/>
              </w:rPr>
            </w:pPr>
            <w:r w:rsidRPr="00412894">
              <w:rPr>
                <w:rFonts w:cs="Arial"/>
              </w:rPr>
              <w:t>0.00</w:t>
            </w:r>
            <w:r w:rsidRPr="00B42FAC">
              <w:rPr>
                <w:rFonts w:cs="Arial"/>
              </w:rPr>
              <w:t>0327</w:t>
            </w:r>
            <w:r w:rsidRPr="00412894">
              <w:rPr>
                <w:rFonts w:cs="Arial"/>
              </w:rPr>
              <w:t xml:space="preserve"> mg/kg </w:t>
            </w:r>
            <w:proofErr w:type="spellStart"/>
            <w:r w:rsidRPr="00412894">
              <w:rPr>
                <w:rFonts w:cs="Arial"/>
              </w:rPr>
              <w:t>bw</w:t>
            </w:r>
            <w:proofErr w:type="spellEnd"/>
          </w:p>
        </w:tc>
        <w:tc>
          <w:tcPr>
            <w:tcW w:w="1374" w:type="pct"/>
            <w:vAlign w:val="center"/>
          </w:tcPr>
          <w:p w14:paraId="218CFFA7" w14:textId="77777777" w:rsidR="00C47639" w:rsidRPr="00412894" w:rsidRDefault="00C47639" w:rsidP="00C47639">
            <w:pPr>
              <w:pStyle w:val="Standaard-Tabellen"/>
              <w:rPr>
                <w:rFonts w:cs="Arial"/>
              </w:rPr>
            </w:pPr>
            <w:r w:rsidRPr="00412894">
              <w:rPr>
                <w:rFonts w:cs="Arial"/>
              </w:rPr>
              <w:t>0.0</w:t>
            </w:r>
            <w:r w:rsidRPr="00B42FAC">
              <w:rPr>
                <w:rFonts w:cs="Arial"/>
              </w:rPr>
              <w:t>026</w:t>
            </w:r>
            <w:r w:rsidRPr="00412894">
              <w:rPr>
                <w:rFonts w:cs="Arial"/>
              </w:rPr>
              <w:t xml:space="preserve"> mg/kg </w:t>
            </w:r>
            <w:proofErr w:type="spellStart"/>
            <w:r w:rsidRPr="00412894">
              <w:rPr>
                <w:rFonts w:cs="Arial"/>
              </w:rPr>
              <w:t>bw</w:t>
            </w:r>
            <w:proofErr w:type="spellEnd"/>
          </w:p>
        </w:tc>
      </w:tr>
    </w:tbl>
    <w:p w14:paraId="4282644E" w14:textId="77777777" w:rsidR="00C47639" w:rsidRDefault="00C47639" w:rsidP="00C47639"/>
    <w:p w14:paraId="1F4ECA65" w14:textId="77777777" w:rsidR="00C47639" w:rsidRDefault="00C47639" w:rsidP="00C47639">
      <w:pPr>
        <w:spacing w:before="0" w:after="160" w:line="259" w:lineRule="auto"/>
      </w:pPr>
      <w:r>
        <w:br w:type="page"/>
      </w:r>
    </w:p>
    <w:p w14:paraId="2CB7582A" w14:textId="77777777" w:rsidR="00C47639" w:rsidRPr="00532A83" w:rsidRDefault="00C47639" w:rsidP="00C47639">
      <w:pPr>
        <w:pStyle w:val="Titre6"/>
        <w:rPr>
          <w:lang w:val="en-US"/>
        </w:rPr>
      </w:pPr>
      <w:r w:rsidRPr="00532A83">
        <w:rPr>
          <w:lang w:val="en-US"/>
        </w:rPr>
        <w:lastRenderedPageBreak/>
        <w:t xml:space="preserve">Scenario </w:t>
      </w:r>
      <w:r>
        <w:rPr>
          <w:lang w:val="en-US"/>
        </w:rPr>
        <w:t xml:space="preserve">3: </w:t>
      </w:r>
      <w:r w:rsidRPr="007F63D0">
        <w:rPr>
          <w:lang w:val="en-US"/>
        </w:rPr>
        <w:t xml:space="preserve">Secondary exposure (indirect exposure as a result of use): Hand-mouth transfer reverse reference scenario (oral exposure)  </w:t>
      </w:r>
    </w:p>
    <w:p w14:paraId="10BE0413" w14:textId="77777777" w:rsidR="00C47639" w:rsidRPr="00721042" w:rsidRDefault="00C47639" w:rsidP="00C47639"/>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3"/>
        <w:gridCol w:w="4389"/>
        <w:gridCol w:w="3134"/>
      </w:tblGrid>
      <w:tr w:rsidR="00C47639" w:rsidRPr="00332AD5" w14:paraId="295DB306" w14:textId="77777777" w:rsidTr="00C47639">
        <w:trPr>
          <w:tblHeader/>
        </w:trPr>
        <w:tc>
          <w:tcPr>
            <w:tcW w:w="5000" w:type="pct"/>
            <w:gridSpan w:val="3"/>
            <w:shd w:val="clear" w:color="auto" w:fill="FFFFCC"/>
            <w:tcMar>
              <w:top w:w="57" w:type="dxa"/>
              <w:bottom w:w="57" w:type="dxa"/>
            </w:tcMar>
          </w:tcPr>
          <w:p w14:paraId="64AF04F2" w14:textId="77777777" w:rsidR="00C47639" w:rsidRPr="00332AD5" w:rsidRDefault="00C47639" w:rsidP="00C47639">
            <w:pPr>
              <w:pStyle w:val="Standaard-Tabellen"/>
              <w:jc w:val="center"/>
              <w:rPr>
                <w:b/>
              </w:rPr>
            </w:pPr>
            <w:r w:rsidRPr="00332AD5">
              <w:rPr>
                <w:b/>
              </w:rPr>
              <w:t xml:space="preserve">Description of Scenario </w:t>
            </w:r>
            <w:r w:rsidRPr="002049A6">
              <w:rPr>
                <w:b/>
              </w:rPr>
              <w:t>3</w:t>
            </w:r>
          </w:p>
        </w:tc>
      </w:tr>
      <w:tr w:rsidR="00C47639" w:rsidRPr="004936D9" w14:paraId="2B0621DD" w14:textId="77777777" w:rsidTr="00C47639">
        <w:trPr>
          <w:tblHeader/>
        </w:trPr>
        <w:tc>
          <w:tcPr>
            <w:tcW w:w="5000" w:type="pct"/>
            <w:gridSpan w:val="3"/>
            <w:shd w:val="clear" w:color="auto" w:fill="auto"/>
            <w:tcMar>
              <w:top w:w="57" w:type="dxa"/>
              <w:bottom w:w="57" w:type="dxa"/>
            </w:tcMar>
          </w:tcPr>
          <w:p w14:paraId="0AA9B15E" w14:textId="77777777" w:rsidR="00C47639" w:rsidRPr="004F6031" w:rsidRDefault="00C47639" w:rsidP="00C47639">
            <w:pPr>
              <w:spacing w:before="0" w:after="0"/>
            </w:pPr>
            <w:r w:rsidRPr="004F6031">
              <w:t xml:space="preserve">This scenario is based on the one available in the </w:t>
            </w:r>
            <w:r w:rsidRPr="00F94E15">
              <w:t>CAR of IR3535</w:t>
            </w:r>
            <w:r w:rsidRPr="00F94E15">
              <w:rPr>
                <w:vertAlign w:val="superscript"/>
              </w:rPr>
              <w:t>®</w:t>
            </w:r>
            <w:r w:rsidRPr="00F94E15">
              <w:t>.</w:t>
            </w:r>
            <w:r w:rsidRPr="004F6031">
              <w:t xml:space="preserve"> It has been updated with the </w:t>
            </w:r>
            <w:proofErr w:type="gramStart"/>
            <w:r w:rsidRPr="004F6031">
              <w:t>document :</w:t>
            </w:r>
            <w:proofErr w:type="gramEnd"/>
            <w:r w:rsidRPr="004F6031">
              <w:t xml:space="preserve"> Biocide Huma</w:t>
            </w:r>
            <w:r>
              <w:t>n Health Exposure Methodology (O</w:t>
            </w:r>
            <w:r w:rsidRPr="004F6031">
              <w:t>ct 2015).</w:t>
            </w:r>
          </w:p>
        </w:tc>
      </w:tr>
      <w:tr w:rsidR="00C47639" w:rsidRPr="004936D9" w14:paraId="021A8ACC" w14:textId="77777777" w:rsidTr="00C47639">
        <w:trPr>
          <w:tblHeader/>
        </w:trPr>
        <w:tc>
          <w:tcPr>
            <w:tcW w:w="5000" w:type="pct"/>
            <w:gridSpan w:val="3"/>
            <w:shd w:val="clear" w:color="auto" w:fill="auto"/>
            <w:tcMar>
              <w:top w:w="57" w:type="dxa"/>
              <w:bottom w:w="57" w:type="dxa"/>
            </w:tcMar>
          </w:tcPr>
          <w:p w14:paraId="254DF666" w14:textId="77777777" w:rsidR="00C47639" w:rsidRPr="000504BE" w:rsidRDefault="00C47639" w:rsidP="00C47639">
            <w:pPr>
              <w:spacing w:before="0" w:after="0"/>
            </w:pPr>
            <w:r w:rsidRPr="000504BE">
              <w:t>Hand to mouth transfer might be possible for small children. However this scenario is not considered to be a significant route of exposure because of bad palatability (bitterness) preventing repeated mouthing by small children and you may not apply to children’s hand.</w:t>
            </w:r>
          </w:p>
          <w:p w14:paraId="3AF27C19" w14:textId="77777777" w:rsidR="00C47639" w:rsidRPr="000504BE" w:rsidRDefault="00C47639" w:rsidP="00C47639">
            <w:pPr>
              <w:spacing w:before="0" w:after="0"/>
            </w:pPr>
            <w:r w:rsidRPr="000504BE">
              <w:t xml:space="preserve">At TM IV 2010, it was agreed to develop the scenario “hand-mouth </w:t>
            </w:r>
            <w:r>
              <w:t xml:space="preserve">transfer” consistently with the </w:t>
            </w:r>
            <w:r w:rsidRPr="000504BE">
              <w:t>DEET dossier evaluated by SE and to be discus</w:t>
            </w:r>
            <w:r>
              <w:t>sed with HEEG a</w:t>
            </w:r>
            <w:r w:rsidRPr="002049A6">
              <w:t>nd TM agreed not to sum up the two routes</w:t>
            </w:r>
            <w:r w:rsidRPr="000504BE">
              <w:t xml:space="preserve"> (oral and dermal) in small children.</w:t>
            </w:r>
          </w:p>
          <w:p w14:paraId="038FAB25" w14:textId="77777777" w:rsidR="00C47639" w:rsidRDefault="00C47639" w:rsidP="00C47639">
            <w:pPr>
              <w:spacing w:before="0" w:after="0"/>
            </w:pPr>
            <w:r w:rsidRPr="000504BE">
              <w:t xml:space="preserve">Reverse reference </w:t>
            </w:r>
            <w:proofErr w:type="gramStart"/>
            <w:r w:rsidRPr="000504BE">
              <w:t>scenario  is</w:t>
            </w:r>
            <w:proofErr w:type="gramEnd"/>
            <w:r w:rsidRPr="000504BE">
              <w:t xml:space="preserve"> included to show how much IR3535</w:t>
            </w:r>
            <w:r w:rsidRPr="00A068DB">
              <w:rPr>
                <w:vertAlign w:val="superscript"/>
              </w:rPr>
              <w:t>®</w:t>
            </w:r>
            <w:r w:rsidRPr="000504BE">
              <w:t xml:space="preserve"> anyone can be exposed to, after oral exposure w</w:t>
            </w:r>
            <w:r>
              <w:t>ithout exceeding reference dose (</w:t>
            </w:r>
            <w:r w:rsidRPr="000504BE">
              <w:t>AEL for IR3535</w:t>
            </w:r>
            <w:r w:rsidRPr="00A068DB">
              <w:rPr>
                <w:vertAlign w:val="superscript"/>
              </w:rPr>
              <w:t>®</w:t>
            </w:r>
            <w:r w:rsidRPr="000504BE">
              <w:t xml:space="preserve"> is 5</w:t>
            </w:r>
            <w:r>
              <w:t> </w:t>
            </w:r>
            <w:r w:rsidRPr="000504BE">
              <w:t xml:space="preserve">mg/kg </w:t>
            </w:r>
            <w:proofErr w:type="spellStart"/>
            <w:r w:rsidRPr="000504BE">
              <w:t>bw</w:t>
            </w:r>
            <w:proofErr w:type="spellEnd"/>
            <w:r w:rsidRPr="000504BE">
              <w:t>/d</w:t>
            </w:r>
            <w:r>
              <w:t>)</w:t>
            </w:r>
            <w:r w:rsidRPr="000504BE">
              <w:t>.</w:t>
            </w:r>
          </w:p>
          <w:p w14:paraId="39A558AC" w14:textId="77777777" w:rsidR="00C47639" w:rsidRPr="00F94E15" w:rsidRDefault="00C47639" w:rsidP="00C47639">
            <w:pPr>
              <w:spacing w:before="0" w:after="0"/>
            </w:pPr>
          </w:p>
          <w:p w14:paraId="17479B19" w14:textId="77777777" w:rsidR="00C47639" w:rsidRPr="00F94E15" w:rsidRDefault="00C47639" w:rsidP="00C47639">
            <w:pPr>
              <w:spacing w:before="0" w:after="0"/>
            </w:pPr>
            <w:r w:rsidRPr="00F94E15">
              <w:rPr>
                <w:b/>
              </w:rPr>
              <w:t xml:space="preserve">External dermal amount of </w:t>
            </w:r>
            <w:proofErr w:type="spellStart"/>
            <w:r w:rsidRPr="00F94E15">
              <w:rPr>
                <w:b/>
              </w:rPr>
              <w:t>a.s</w:t>
            </w:r>
            <w:proofErr w:type="spellEnd"/>
            <w:r w:rsidRPr="00F94E15">
              <w:rPr>
                <w:b/>
              </w:rPr>
              <w:t>. per application</w:t>
            </w:r>
            <w:r w:rsidRPr="00F94E15">
              <w:t xml:space="preserve">: </w:t>
            </w:r>
          </w:p>
          <w:p w14:paraId="3115D50A" w14:textId="77777777" w:rsidR="00C47639" w:rsidRDefault="00C47639" w:rsidP="00C47639">
            <w:pPr>
              <w:spacing w:before="0" w:after="0"/>
              <w:ind w:left="708"/>
            </w:pPr>
            <w:r w:rsidRPr="00F94E15">
              <w:t xml:space="preserve">Amount of </w:t>
            </w:r>
            <w:proofErr w:type="spellStart"/>
            <w:r w:rsidRPr="00F94E15">
              <w:t>b</w:t>
            </w:r>
            <w:r>
              <w:t>.</w:t>
            </w:r>
            <w:r w:rsidRPr="00F94E15">
              <w:t>p</w:t>
            </w:r>
            <w:proofErr w:type="spellEnd"/>
            <w:r>
              <w:t>./</w:t>
            </w:r>
            <w:r w:rsidRPr="00F94E15">
              <w:t>application</w:t>
            </w:r>
            <w:r>
              <w:t xml:space="preserve"> x</w:t>
            </w:r>
            <w:r w:rsidRPr="00F94E15">
              <w:t xml:space="preserve"> percent of </w:t>
            </w:r>
            <w:proofErr w:type="spellStart"/>
            <w:r w:rsidRPr="00F94E15">
              <w:t>a.s</w:t>
            </w:r>
            <w:proofErr w:type="spellEnd"/>
            <w:r w:rsidRPr="00F94E15">
              <w:t xml:space="preserve">. in </w:t>
            </w:r>
            <w:proofErr w:type="spellStart"/>
            <w:r w:rsidRPr="00F94E15">
              <w:t>b.p</w:t>
            </w:r>
            <w:proofErr w:type="spellEnd"/>
            <w:r w:rsidRPr="00F94E15">
              <w:t>.</w:t>
            </w:r>
            <w:r>
              <w:t xml:space="preserve"> / body weight</w:t>
            </w:r>
            <w:r w:rsidRPr="00F94E15">
              <w:t xml:space="preserve"> </w:t>
            </w:r>
          </w:p>
          <w:p w14:paraId="2D9ABAFF" w14:textId="77777777" w:rsidR="00C47639" w:rsidRPr="00F94E15" w:rsidRDefault="00C47639" w:rsidP="00C47639">
            <w:pPr>
              <w:spacing w:before="0" w:after="0"/>
            </w:pPr>
          </w:p>
          <w:p w14:paraId="2404A4BA" w14:textId="77777777" w:rsidR="00C47639" w:rsidRPr="00F94E15" w:rsidRDefault="00C47639" w:rsidP="00C47639">
            <w:pPr>
              <w:spacing w:before="0" w:after="0"/>
              <w:rPr>
                <w:b/>
              </w:rPr>
            </w:pPr>
            <w:r w:rsidRPr="00F94E15">
              <w:rPr>
                <w:b/>
              </w:rPr>
              <w:t>Oral systemic exposure via hand-mouth transfer is:</w:t>
            </w:r>
          </w:p>
          <w:p w14:paraId="6130301C" w14:textId="77777777" w:rsidR="00C47639" w:rsidRDefault="00C47639" w:rsidP="00C47639">
            <w:pPr>
              <w:spacing w:before="0" w:after="0"/>
              <w:ind w:left="708"/>
            </w:pPr>
            <w:r w:rsidRPr="00F94E15">
              <w:t xml:space="preserve">External dermal amount of </w:t>
            </w:r>
            <w:proofErr w:type="spellStart"/>
            <w:r w:rsidRPr="00F94E15">
              <w:t>a.s</w:t>
            </w:r>
            <w:proofErr w:type="spellEnd"/>
            <w:r w:rsidRPr="00F94E15">
              <w:t>. per application x Factor for oral intake by hand-mouth transfer</w:t>
            </w:r>
            <w:r>
              <w:t xml:space="preserve"> x oral absorption</w:t>
            </w:r>
          </w:p>
          <w:p w14:paraId="10B29963" w14:textId="77777777" w:rsidR="00C47639" w:rsidRDefault="00C47639" w:rsidP="00C47639">
            <w:pPr>
              <w:spacing w:before="0" w:after="0"/>
            </w:pPr>
          </w:p>
          <w:p w14:paraId="2EB31E11" w14:textId="77777777" w:rsidR="00C47639" w:rsidRPr="00A52D7A" w:rsidRDefault="00C47639" w:rsidP="00C47639">
            <w:pPr>
              <w:spacing w:before="0" w:after="0"/>
              <w:rPr>
                <w:b/>
              </w:rPr>
            </w:pPr>
            <w:r w:rsidRPr="00A52D7A">
              <w:rPr>
                <w:b/>
              </w:rPr>
              <w:t>Numb</w:t>
            </w:r>
            <w:r>
              <w:rPr>
                <w:b/>
              </w:rPr>
              <w:t>er of time</w:t>
            </w:r>
            <w:r w:rsidRPr="00A52D7A">
              <w:rPr>
                <w:b/>
              </w:rPr>
              <w:t xml:space="preserve"> of appli</w:t>
            </w:r>
            <w:r>
              <w:rPr>
                <w:b/>
              </w:rPr>
              <w:t>cation</w:t>
            </w:r>
            <w:r w:rsidRPr="00A52D7A">
              <w:rPr>
                <w:b/>
              </w:rPr>
              <w:t xml:space="preserve"> </w:t>
            </w:r>
            <w:proofErr w:type="spellStart"/>
            <w:r w:rsidRPr="00A52D7A">
              <w:rPr>
                <w:b/>
              </w:rPr>
              <w:t>b.p</w:t>
            </w:r>
            <w:proofErr w:type="spellEnd"/>
            <w:r w:rsidRPr="00A52D7A">
              <w:rPr>
                <w:b/>
              </w:rPr>
              <w:t xml:space="preserve">. before exceeding the AEL via hand-mouth transfer : </w:t>
            </w:r>
          </w:p>
          <w:p w14:paraId="2895475F" w14:textId="77777777" w:rsidR="00C47639" w:rsidRDefault="00C47639" w:rsidP="00C47639">
            <w:pPr>
              <w:spacing w:before="0" w:after="0"/>
              <w:ind w:left="708"/>
            </w:pPr>
            <w:r>
              <w:t xml:space="preserve">AEL / </w:t>
            </w:r>
            <w:r w:rsidRPr="00A52D7A">
              <w:t>Oral systemic exposure via hand-mouth transfer</w:t>
            </w:r>
          </w:p>
          <w:p w14:paraId="01DFCF26" w14:textId="77777777" w:rsidR="00C47639" w:rsidRPr="004936D9" w:rsidRDefault="00C47639" w:rsidP="00C47639">
            <w:pPr>
              <w:pStyle w:val="Standaard-Tabellen"/>
            </w:pPr>
          </w:p>
        </w:tc>
      </w:tr>
      <w:tr w:rsidR="00C47639" w:rsidRPr="00FD2055" w14:paraId="06C436E7" w14:textId="77777777" w:rsidTr="00C47639">
        <w:trPr>
          <w:tblHeader/>
        </w:trPr>
        <w:tc>
          <w:tcPr>
            <w:tcW w:w="967" w:type="pct"/>
            <w:shd w:val="clear" w:color="auto" w:fill="BFBFBF" w:themeFill="background1" w:themeFillShade="BF"/>
            <w:tcMar>
              <w:top w:w="57" w:type="dxa"/>
              <w:bottom w:w="57" w:type="dxa"/>
            </w:tcMar>
          </w:tcPr>
          <w:p w14:paraId="4F4B6B1C" w14:textId="77777777" w:rsidR="00C47639" w:rsidRPr="00721042" w:rsidRDefault="00C47639" w:rsidP="00C47639">
            <w:pPr>
              <w:pStyle w:val="Standaard-Tabellen"/>
              <w:rPr>
                <w:b/>
              </w:rPr>
            </w:pPr>
          </w:p>
        </w:tc>
        <w:tc>
          <w:tcPr>
            <w:tcW w:w="2353" w:type="pct"/>
            <w:shd w:val="clear" w:color="auto" w:fill="BFBFBF" w:themeFill="background1" w:themeFillShade="BF"/>
            <w:tcMar>
              <w:top w:w="57" w:type="dxa"/>
              <w:bottom w:w="57" w:type="dxa"/>
            </w:tcMar>
          </w:tcPr>
          <w:p w14:paraId="1B58E816" w14:textId="77777777" w:rsidR="00C47639" w:rsidRPr="00721042" w:rsidRDefault="00C47639" w:rsidP="00C47639">
            <w:pPr>
              <w:pStyle w:val="Standaard-Tabellen"/>
              <w:rPr>
                <w:b/>
              </w:rPr>
            </w:pPr>
            <w:r w:rsidRPr="00721042">
              <w:rPr>
                <w:b/>
              </w:rPr>
              <w:t>Parameters</w:t>
            </w:r>
          </w:p>
        </w:tc>
        <w:tc>
          <w:tcPr>
            <w:tcW w:w="1680" w:type="pct"/>
            <w:shd w:val="clear" w:color="auto" w:fill="BFBFBF" w:themeFill="background1" w:themeFillShade="BF"/>
            <w:tcMar>
              <w:top w:w="57" w:type="dxa"/>
              <w:bottom w:w="57" w:type="dxa"/>
            </w:tcMar>
          </w:tcPr>
          <w:p w14:paraId="3CCC5ACD" w14:textId="77777777" w:rsidR="00C47639" w:rsidRPr="00721042" w:rsidRDefault="00C47639" w:rsidP="00C47639">
            <w:pPr>
              <w:pStyle w:val="Standaard-Tabellen"/>
              <w:rPr>
                <w:b/>
              </w:rPr>
            </w:pPr>
            <w:r w:rsidRPr="00721042">
              <w:rPr>
                <w:b/>
              </w:rPr>
              <w:t>Value</w:t>
            </w:r>
          </w:p>
        </w:tc>
      </w:tr>
      <w:tr w:rsidR="00C47639" w:rsidRPr="00FD2055" w14:paraId="2D95AD09" w14:textId="77777777" w:rsidTr="00C47639">
        <w:trPr>
          <w:tblHeader/>
        </w:trPr>
        <w:tc>
          <w:tcPr>
            <w:tcW w:w="967" w:type="pct"/>
            <w:vMerge w:val="restart"/>
            <w:tcMar>
              <w:top w:w="57" w:type="dxa"/>
              <w:bottom w:w="57" w:type="dxa"/>
            </w:tcMar>
          </w:tcPr>
          <w:p w14:paraId="307AF9E3" w14:textId="77777777" w:rsidR="00C47639" w:rsidRPr="00721042" w:rsidRDefault="00C47639" w:rsidP="00C47639">
            <w:pPr>
              <w:pStyle w:val="Standaard-Tabellen"/>
            </w:pPr>
            <w:r w:rsidRPr="00721042">
              <w:t>For All categories</w:t>
            </w:r>
          </w:p>
        </w:tc>
        <w:tc>
          <w:tcPr>
            <w:tcW w:w="2353" w:type="pct"/>
            <w:shd w:val="clear" w:color="auto" w:fill="auto"/>
            <w:tcMar>
              <w:top w:w="57" w:type="dxa"/>
              <w:bottom w:w="57" w:type="dxa"/>
            </w:tcMar>
          </w:tcPr>
          <w:p w14:paraId="78D13541" w14:textId="77777777" w:rsidR="00C47639" w:rsidRPr="00721042" w:rsidRDefault="00C47639" w:rsidP="00C47639">
            <w:pPr>
              <w:pStyle w:val="Standaard-Tabellen"/>
            </w:pPr>
            <w:r w:rsidRPr="00721042">
              <w:t>Oral absorption</w:t>
            </w:r>
            <w:r w:rsidRPr="00721042">
              <w:rPr>
                <w:vertAlign w:val="superscript"/>
              </w:rPr>
              <w:t>1</w:t>
            </w:r>
          </w:p>
        </w:tc>
        <w:tc>
          <w:tcPr>
            <w:tcW w:w="1680" w:type="pct"/>
            <w:shd w:val="clear" w:color="auto" w:fill="auto"/>
            <w:tcMar>
              <w:top w:w="57" w:type="dxa"/>
              <w:bottom w:w="57" w:type="dxa"/>
            </w:tcMar>
          </w:tcPr>
          <w:p w14:paraId="0CF4FCDF" w14:textId="77777777" w:rsidR="00C47639" w:rsidRPr="00721042" w:rsidRDefault="00C47639" w:rsidP="00C47639">
            <w:pPr>
              <w:pStyle w:val="Standaard-Tabellen"/>
            </w:pPr>
            <w:r w:rsidRPr="00721042">
              <w:t>100</w:t>
            </w:r>
            <w:r>
              <w:t> </w:t>
            </w:r>
            <w:r w:rsidRPr="00721042">
              <w:t>%</w:t>
            </w:r>
          </w:p>
        </w:tc>
      </w:tr>
      <w:tr w:rsidR="00C47639" w:rsidRPr="00FD2055" w14:paraId="3699644C" w14:textId="77777777" w:rsidTr="00C47639">
        <w:trPr>
          <w:tblHeader/>
        </w:trPr>
        <w:tc>
          <w:tcPr>
            <w:tcW w:w="967" w:type="pct"/>
            <w:vMerge/>
            <w:tcMar>
              <w:top w:w="57" w:type="dxa"/>
              <w:bottom w:w="57" w:type="dxa"/>
            </w:tcMar>
          </w:tcPr>
          <w:p w14:paraId="621C0AAF" w14:textId="77777777" w:rsidR="00C47639" w:rsidRPr="00721042" w:rsidRDefault="00C47639" w:rsidP="00C47639">
            <w:pPr>
              <w:pStyle w:val="Standaard-Tabellen"/>
            </w:pPr>
          </w:p>
        </w:tc>
        <w:tc>
          <w:tcPr>
            <w:tcW w:w="2353" w:type="pct"/>
            <w:shd w:val="clear" w:color="auto" w:fill="auto"/>
            <w:tcMar>
              <w:top w:w="57" w:type="dxa"/>
              <w:bottom w:w="57" w:type="dxa"/>
            </w:tcMar>
          </w:tcPr>
          <w:p w14:paraId="68D2C24C" w14:textId="77777777" w:rsidR="00C47639" w:rsidRPr="00721042" w:rsidRDefault="00C47639" w:rsidP="00C47639">
            <w:pPr>
              <w:pStyle w:val="Standaard-Tabellen"/>
            </w:pPr>
            <w:r w:rsidRPr="00721042">
              <w:t>% of active substance in biocidal product</w:t>
            </w:r>
            <w:r w:rsidRPr="00721042">
              <w:rPr>
                <w:vertAlign w:val="superscript"/>
              </w:rPr>
              <w:t>1</w:t>
            </w:r>
            <w:r w:rsidRPr="00721042">
              <w:t xml:space="preserve"> </w:t>
            </w:r>
          </w:p>
        </w:tc>
        <w:tc>
          <w:tcPr>
            <w:tcW w:w="1680" w:type="pct"/>
            <w:shd w:val="clear" w:color="auto" w:fill="auto"/>
            <w:tcMar>
              <w:top w:w="57" w:type="dxa"/>
              <w:bottom w:w="57" w:type="dxa"/>
            </w:tcMar>
          </w:tcPr>
          <w:p w14:paraId="7874DEEF" w14:textId="77777777" w:rsidR="00C47639" w:rsidRPr="000B61FA" w:rsidRDefault="00C47639" w:rsidP="00C47639">
            <w:pPr>
              <w:pStyle w:val="Standaard-Tabellen"/>
            </w:pPr>
            <w:r w:rsidRPr="000B61FA">
              <w:t>20 %</w:t>
            </w:r>
          </w:p>
        </w:tc>
      </w:tr>
      <w:tr w:rsidR="00C47639" w:rsidRPr="00FD2055" w14:paraId="091C4A5F" w14:textId="77777777" w:rsidTr="00C47639">
        <w:trPr>
          <w:tblHeader/>
        </w:trPr>
        <w:tc>
          <w:tcPr>
            <w:tcW w:w="967" w:type="pct"/>
            <w:vMerge w:val="restart"/>
            <w:tcMar>
              <w:top w:w="57" w:type="dxa"/>
              <w:bottom w:w="57" w:type="dxa"/>
            </w:tcMar>
          </w:tcPr>
          <w:p w14:paraId="35A9799F" w14:textId="77777777" w:rsidR="00C47639" w:rsidRPr="00721042" w:rsidRDefault="00C47639" w:rsidP="00C47639">
            <w:pPr>
              <w:pStyle w:val="Standaard-Tabellen"/>
            </w:pPr>
            <w:r w:rsidRPr="000B65BB">
              <w:t>Tier 1- Adult</w:t>
            </w:r>
          </w:p>
        </w:tc>
        <w:tc>
          <w:tcPr>
            <w:tcW w:w="2353" w:type="pct"/>
            <w:shd w:val="clear" w:color="auto" w:fill="auto"/>
            <w:tcMar>
              <w:top w:w="57" w:type="dxa"/>
              <w:bottom w:w="57" w:type="dxa"/>
            </w:tcMar>
          </w:tcPr>
          <w:p w14:paraId="41ABA393" w14:textId="77777777" w:rsidR="00C47639" w:rsidRPr="00721042" w:rsidRDefault="00C47639" w:rsidP="00C47639">
            <w:pPr>
              <w:pStyle w:val="Standaard-Tabellen"/>
            </w:pPr>
            <w:r w:rsidRPr="00721042">
              <w:t>Factor for oral intake by hand-mouth transfer</w:t>
            </w:r>
            <w:r w:rsidRPr="00721042">
              <w:rPr>
                <w:vertAlign w:val="superscript"/>
              </w:rPr>
              <w:t>2</w:t>
            </w:r>
          </w:p>
        </w:tc>
        <w:tc>
          <w:tcPr>
            <w:tcW w:w="1680" w:type="pct"/>
            <w:shd w:val="clear" w:color="auto" w:fill="auto"/>
            <w:tcMar>
              <w:top w:w="57" w:type="dxa"/>
              <w:bottom w:w="57" w:type="dxa"/>
            </w:tcMar>
          </w:tcPr>
          <w:p w14:paraId="70AF1DEF" w14:textId="77777777" w:rsidR="00C47639" w:rsidRPr="00412894" w:rsidRDefault="00C47639" w:rsidP="00C47639">
            <w:pPr>
              <w:pStyle w:val="Standaard-Tabellen"/>
            </w:pPr>
            <w:r w:rsidRPr="00412894">
              <w:t xml:space="preserve">4 % </w:t>
            </w:r>
          </w:p>
        </w:tc>
      </w:tr>
      <w:tr w:rsidR="00C47639" w:rsidRPr="00FD2055" w14:paraId="025B6BB4" w14:textId="77777777" w:rsidTr="00C47639">
        <w:trPr>
          <w:tblHeader/>
        </w:trPr>
        <w:tc>
          <w:tcPr>
            <w:tcW w:w="967" w:type="pct"/>
            <w:vMerge/>
            <w:tcMar>
              <w:top w:w="57" w:type="dxa"/>
              <w:bottom w:w="57" w:type="dxa"/>
            </w:tcMar>
          </w:tcPr>
          <w:p w14:paraId="1D5DCB65" w14:textId="77777777" w:rsidR="00C47639" w:rsidRPr="00721042" w:rsidRDefault="00C47639" w:rsidP="00C47639">
            <w:pPr>
              <w:pStyle w:val="Standaard-Tabellen"/>
            </w:pPr>
          </w:p>
        </w:tc>
        <w:tc>
          <w:tcPr>
            <w:tcW w:w="2353" w:type="pct"/>
            <w:shd w:val="clear" w:color="auto" w:fill="auto"/>
            <w:tcMar>
              <w:top w:w="57" w:type="dxa"/>
              <w:bottom w:w="57" w:type="dxa"/>
            </w:tcMar>
          </w:tcPr>
          <w:p w14:paraId="3250B3F7" w14:textId="77777777" w:rsidR="00C47639" w:rsidRPr="00721042" w:rsidRDefault="00C47639" w:rsidP="00C47639">
            <w:pPr>
              <w:pStyle w:val="Standaard-Tabellen"/>
            </w:pPr>
            <w:r w:rsidRPr="00721042">
              <w:t>Body weight</w:t>
            </w:r>
            <w:r w:rsidRPr="00721042">
              <w:rPr>
                <w:vertAlign w:val="superscript"/>
              </w:rPr>
              <w:t>1</w:t>
            </w:r>
            <w:r w:rsidRPr="00721042">
              <w:t xml:space="preserve"> </w:t>
            </w:r>
          </w:p>
        </w:tc>
        <w:tc>
          <w:tcPr>
            <w:tcW w:w="1680" w:type="pct"/>
            <w:shd w:val="clear" w:color="auto" w:fill="auto"/>
            <w:tcMar>
              <w:top w:w="57" w:type="dxa"/>
              <w:bottom w:w="57" w:type="dxa"/>
            </w:tcMar>
          </w:tcPr>
          <w:p w14:paraId="5D14CF23" w14:textId="77777777" w:rsidR="00C47639" w:rsidRPr="00412894" w:rsidRDefault="00C47639" w:rsidP="00C47639">
            <w:pPr>
              <w:pStyle w:val="Standaard-Tabellen"/>
            </w:pPr>
            <w:r w:rsidRPr="00412894">
              <w:t>60 kg</w:t>
            </w:r>
          </w:p>
        </w:tc>
      </w:tr>
      <w:tr w:rsidR="00C47639" w:rsidRPr="00FD2055" w14:paraId="6FFE253D" w14:textId="77777777" w:rsidTr="00C47639">
        <w:trPr>
          <w:tblHeader/>
        </w:trPr>
        <w:tc>
          <w:tcPr>
            <w:tcW w:w="967" w:type="pct"/>
            <w:vMerge/>
            <w:tcMar>
              <w:top w:w="57" w:type="dxa"/>
              <w:bottom w:w="57" w:type="dxa"/>
            </w:tcMar>
          </w:tcPr>
          <w:p w14:paraId="083F80C8" w14:textId="77777777" w:rsidR="00C47639" w:rsidRPr="00721042" w:rsidRDefault="00C47639" w:rsidP="00C47639">
            <w:pPr>
              <w:pStyle w:val="Standaard-Tabellen"/>
            </w:pPr>
          </w:p>
        </w:tc>
        <w:tc>
          <w:tcPr>
            <w:tcW w:w="2353" w:type="pct"/>
            <w:shd w:val="clear" w:color="auto" w:fill="auto"/>
            <w:tcMar>
              <w:top w:w="57" w:type="dxa"/>
              <w:bottom w:w="57" w:type="dxa"/>
            </w:tcMar>
          </w:tcPr>
          <w:p w14:paraId="073C2877" w14:textId="77777777" w:rsidR="00C47639" w:rsidRPr="00721042" w:rsidRDefault="00C47639" w:rsidP="00C47639">
            <w:pPr>
              <w:pStyle w:val="Standaard-Tabellen"/>
            </w:pPr>
            <w:r w:rsidRPr="00721042">
              <w:t>Amount of biocidal product/ application</w:t>
            </w:r>
            <w:r w:rsidRPr="00721042">
              <w:rPr>
                <w:vertAlign w:val="superscript"/>
              </w:rPr>
              <w:t>1</w:t>
            </w:r>
            <w:r w:rsidRPr="00721042">
              <w:t xml:space="preserve"> </w:t>
            </w:r>
          </w:p>
        </w:tc>
        <w:tc>
          <w:tcPr>
            <w:tcW w:w="1680" w:type="pct"/>
            <w:shd w:val="clear" w:color="auto" w:fill="auto"/>
            <w:tcMar>
              <w:top w:w="57" w:type="dxa"/>
              <w:bottom w:w="57" w:type="dxa"/>
            </w:tcMar>
          </w:tcPr>
          <w:p w14:paraId="29E9235B" w14:textId="77777777" w:rsidR="00C47639" w:rsidRPr="00412894" w:rsidRDefault="00C47639" w:rsidP="00C47639">
            <w:pPr>
              <w:pStyle w:val="Standaard-Tabellen"/>
            </w:pPr>
            <w:r w:rsidRPr="00B42FAC">
              <w:t>6.1</w:t>
            </w:r>
            <w:r>
              <w:t>2</w:t>
            </w:r>
            <w:r w:rsidRPr="00412894">
              <w:t> g</w:t>
            </w:r>
          </w:p>
        </w:tc>
      </w:tr>
      <w:tr w:rsidR="00C47639" w:rsidRPr="00FD2055" w14:paraId="238597D4" w14:textId="77777777" w:rsidTr="00C47639">
        <w:trPr>
          <w:tblHeader/>
        </w:trPr>
        <w:tc>
          <w:tcPr>
            <w:tcW w:w="967" w:type="pct"/>
            <w:vMerge w:val="restart"/>
            <w:tcMar>
              <w:top w:w="57" w:type="dxa"/>
              <w:bottom w:w="57" w:type="dxa"/>
            </w:tcMar>
          </w:tcPr>
          <w:p w14:paraId="03E77D8A" w14:textId="77777777" w:rsidR="00C47639" w:rsidRPr="00721042" w:rsidRDefault="00C47639" w:rsidP="00C47639">
            <w:pPr>
              <w:pStyle w:val="Standaard-Tabellen"/>
            </w:pPr>
            <w:r w:rsidRPr="000B65BB">
              <w:t xml:space="preserve">Tier 1- </w:t>
            </w:r>
            <w:r w:rsidRPr="00994E49">
              <w:t>C</w:t>
            </w:r>
            <w:r>
              <w:t>hild</w:t>
            </w:r>
            <w:r w:rsidRPr="00994E49">
              <w:t xml:space="preserve"> 6 to &lt; 12 years old</w:t>
            </w:r>
          </w:p>
        </w:tc>
        <w:tc>
          <w:tcPr>
            <w:tcW w:w="2353" w:type="pct"/>
            <w:shd w:val="clear" w:color="auto" w:fill="auto"/>
            <w:tcMar>
              <w:top w:w="57" w:type="dxa"/>
              <w:bottom w:w="57" w:type="dxa"/>
            </w:tcMar>
          </w:tcPr>
          <w:p w14:paraId="62C7CBA8" w14:textId="77777777" w:rsidR="00C47639" w:rsidRPr="00721042" w:rsidRDefault="00C47639" w:rsidP="00C47639">
            <w:pPr>
              <w:pStyle w:val="Standaard-Tabellen"/>
            </w:pPr>
            <w:r w:rsidRPr="00721042">
              <w:t>Factor for oral intake by hand-mouth transfer</w:t>
            </w:r>
            <w:r w:rsidRPr="00721042">
              <w:rPr>
                <w:vertAlign w:val="superscript"/>
              </w:rPr>
              <w:t>2</w:t>
            </w:r>
            <w:r w:rsidRPr="00721042">
              <w:t xml:space="preserve"> </w:t>
            </w:r>
          </w:p>
        </w:tc>
        <w:tc>
          <w:tcPr>
            <w:tcW w:w="1680" w:type="pct"/>
            <w:shd w:val="clear" w:color="auto" w:fill="auto"/>
            <w:tcMar>
              <w:top w:w="57" w:type="dxa"/>
              <w:bottom w:w="57" w:type="dxa"/>
            </w:tcMar>
          </w:tcPr>
          <w:p w14:paraId="25DCD289" w14:textId="77777777" w:rsidR="00C47639" w:rsidRPr="000B61FA" w:rsidRDefault="00C47639" w:rsidP="00C47639">
            <w:pPr>
              <w:pStyle w:val="Standaard-Tabellen"/>
            </w:pPr>
            <w:r w:rsidRPr="000B61FA">
              <w:t>8 %</w:t>
            </w:r>
          </w:p>
        </w:tc>
      </w:tr>
      <w:tr w:rsidR="00C47639" w:rsidRPr="00FD2055" w14:paraId="742313A4" w14:textId="77777777" w:rsidTr="00C47639">
        <w:trPr>
          <w:tblHeader/>
        </w:trPr>
        <w:tc>
          <w:tcPr>
            <w:tcW w:w="967" w:type="pct"/>
            <w:vMerge/>
            <w:tcMar>
              <w:top w:w="57" w:type="dxa"/>
              <w:bottom w:w="57" w:type="dxa"/>
            </w:tcMar>
          </w:tcPr>
          <w:p w14:paraId="571E737C" w14:textId="77777777" w:rsidR="00C47639" w:rsidRPr="00721042" w:rsidRDefault="00C47639" w:rsidP="00C47639">
            <w:pPr>
              <w:pStyle w:val="Standaard-Tabellen"/>
            </w:pPr>
          </w:p>
        </w:tc>
        <w:tc>
          <w:tcPr>
            <w:tcW w:w="2353" w:type="pct"/>
            <w:shd w:val="clear" w:color="auto" w:fill="auto"/>
            <w:tcMar>
              <w:top w:w="57" w:type="dxa"/>
              <w:bottom w:w="57" w:type="dxa"/>
            </w:tcMar>
          </w:tcPr>
          <w:p w14:paraId="46414339" w14:textId="77777777" w:rsidR="00C47639" w:rsidRPr="00721042" w:rsidRDefault="00C47639" w:rsidP="00C47639">
            <w:pPr>
              <w:pStyle w:val="Standaard-Tabellen"/>
            </w:pPr>
            <w:r w:rsidRPr="00721042">
              <w:t>Body weight</w:t>
            </w:r>
            <w:r w:rsidRPr="00721042">
              <w:rPr>
                <w:vertAlign w:val="superscript"/>
              </w:rPr>
              <w:t>1</w:t>
            </w:r>
            <w:r w:rsidRPr="00721042">
              <w:t xml:space="preserve"> </w:t>
            </w:r>
          </w:p>
        </w:tc>
        <w:tc>
          <w:tcPr>
            <w:tcW w:w="1680" w:type="pct"/>
            <w:shd w:val="clear" w:color="auto" w:fill="auto"/>
            <w:tcMar>
              <w:top w:w="57" w:type="dxa"/>
              <w:bottom w:w="57" w:type="dxa"/>
            </w:tcMar>
          </w:tcPr>
          <w:p w14:paraId="50BCC01E" w14:textId="77777777" w:rsidR="00C47639" w:rsidRPr="00412894" w:rsidRDefault="00C47639" w:rsidP="00C47639">
            <w:pPr>
              <w:pStyle w:val="Standaard-Tabellen"/>
            </w:pPr>
            <w:r w:rsidRPr="00412894">
              <w:t>23.9 kg</w:t>
            </w:r>
          </w:p>
        </w:tc>
      </w:tr>
      <w:tr w:rsidR="00C47639" w:rsidRPr="00FD2055" w14:paraId="57E33627" w14:textId="77777777" w:rsidTr="00C47639">
        <w:trPr>
          <w:tblHeader/>
        </w:trPr>
        <w:tc>
          <w:tcPr>
            <w:tcW w:w="967" w:type="pct"/>
            <w:vMerge/>
            <w:tcMar>
              <w:top w:w="57" w:type="dxa"/>
              <w:bottom w:w="57" w:type="dxa"/>
            </w:tcMar>
          </w:tcPr>
          <w:p w14:paraId="00B56521" w14:textId="77777777" w:rsidR="00C47639" w:rsidRPr="00721042" w:rsidRDefault="00C47639" w:rsidP="00C47639">
            <w:pPr>
              <w:pStyle w:val="Standaard-Tabellen"/>
            </w:pPr>
          </w:p>
        </w:tc>
        <w:tc>
          <w:tcPr>
            <w:tcW w:w="2353" w:type="pct"/>
            <w:shd w:val="clear" w:color="auto" w:fill="auto"/>
            <w:tcMar>
              <w:top w:w="57" w:type="dxa"/>
              <w:bottom w:w="57" w:type="dxa"/>
            </w:tcMar>
          </w:tcPr>
          <w:p w14:paraId="49F561DA" w14:textId="77777777" w:rsidR="00C47639" w:rsidRPr="00721042" w:rsidRDefault="00C47639" w:rsidP="00C47639">
            <w:pPr>
              <w:pStyle w:val="Standaard-Tabellen"/>
            </w:pPr>
            <w:r w:rsidRPr="00721042">
              <w:t>Amount of biocidal product/ application</w:t>
            </w:r>
            <w:r w:rsidRPr="00721042">
              <w:rPr>
                <w:vertAlign w:val="superscript"/>
              </w:rPr>
              <w:t>1</w:t>
            </w:r>
          </w:p>
        </w:tc>
        <w:tc>
          <w:tcPr>
            <w:tcW w:w="1680" w:type="pct"/>
            <w:shd w:val="clear" w:color="auto" w:fill="auto"/>
            <w:tcMar>
              <w:top w:w="57" w:type="dxa"/>
              <w:bottom w:w="57" w:type="dxa"/>
            </w:tcMar>
          </w:tcPr>
          <w:p w14:paraId="65B7D13E" w14:textId="77777777" w:rsidR="00C47639" w:rsidRPr="00412894" w:rsidRDefault="00C47639" w:rsidP="00C47639">
            <w:pPr>
              <w:pStyle w:val="Standaard-Tabellen"/>
            </w:pPr>
            <w:r w:rsidRPr="00B42FAC">
              <w:t>3.39</w:t>
            </w:r>
            <w:r w:rsidRPr="00412894">
              <w:t> g</w:t>
            </w:r>
          </w:p>
        </w:tc>
      </w:tr>
      <w:tr w:rsidR="00C47639" w:rsidRPr="00FD2055" w14:paraId="054EF8CE" w14:textId="77777777" w:rsidTr="00C47639">
        <w:trPr>
          <w:tblHeader/>
        </w:trPr>
        <w:tc>
          <w:tcPr>
            <w:tcW w:w="967" w:type="pct"/>
            <w:vMerge w:val="restart"/>
            <w:tcMar>
              <w:top w:w="57" w:type="dxa"/>
              <w:bottom w:w="57" w:type="dxa"/>
            </w:tcMar>
          </w:tcPr>
          <w:p w14:paraId="42A14EF5" w14:textId="77777777" w:rsidR="00C47639" w:rsidRPr="00721042" w:rsidRDefault="00C47639" w:rsidP="00C47639">
            <w:pPr>
              <w:pStyle w:val="Standaard-Tabellen"/>
            </w:pPr>
            <w:r w:rsidRPr="000B65BB">
              <w:t xml:space="preserve">Tier 1- </w:t>
            </w:r>
            <w:r w:rsidRPr="00994E49">
              <w:t>C</w:t>
            </w:r>
            <w:r>
              <w:t>hild</w:t>
            </w:r>
            <w:r w:rsidRPr="00994E49">
              <w:t xml:space="preserve"> </w:t>
            </w:r>
            <w:r>
              <w:t>2 to &lt; 6</w:t>
            </w:r>
            <w:r w:rsidRPr="00994E49">
              <w:t xml:space="preserve"> years old</w:t>
            </w:r>
          </w:p>
        </w:tc>
        <w:tc>
          <w:tcPr>
            <w:tcW w:w="2353" w:type="pct"/>
            <w:shd w:val="clear" w:color="auto" w:fill="auto"/>
            <w:tcMar>
              <w:top w:w="57" w:type="dxa"/>
              <w:bottom w:w="57" w:type="dxa"/>
            </w:tcMar>
          </w:tcPr>
          <w:p w14:paraId="415EF036" w14:textId="77777777" w:rsidR="00C47639" w:rsidRPr="00721042" w:rsidRDefault="00C47639" w:rsidP="00C47639">
            <w:pPr>
              <w:pStyle w:val="Standaard-Tabellen"/>
            </w:pPr>
            <w:r w:rsidRPr="00721042">
              <w:t>Factor for oral intake by hand-mouth transfer</w:t>
            </w:r>
            <w:r w:rsidRPr="00721042">
              <w:rPr>
                <w:vertAlign w:val="superscript"/>
              </w:rPr>
              <w:t>2</w:t>
            </w:r>
            <w:r w:rsidRPr="00721042">
              <w:t xml:space="preserve"> </w:t>
            </w:r>
          </w:p>
        </w:tc>
        <w:tc>
          <w:tcPr>
            <w:tcW w:w="1680" w:type="pct"/>
            <w:shd w:val="clear" w:color="auto" w:fill="auto"/>
            <w:tcMar>
              <w:top w:w="57" w:type="dxa"/>
              <w:bottom w:w="57" w:type="dxa"/>
            </w:tcMar>
          </w:tcPr>
          <w:p w14:paraId="72320DF9" w14:textId="77777777" w:rsidR="00C47639" w:rsidRPr="000B61FA" w:rsidRDefault="00C47639" w:rsidP="00C47639">
            <w:pPr>
              <w:pStyle w:val="Standaard-Tabellen"/>
            </w:pPr>
            <w:r w:rsidRPr="000B61FA">
              <w:t>8 %</w:t>
            </w:r>
          </w:p>
        </w:tc>
      </w:tr>
      <w:tr w:rsidR="00C47639" w:rsidRPr="00FD2055" w14:paraId="57998720" w14:textId="77777777" w:rsidTr="00C47639">
        <w:trPr>
          <w:tblHeader/>
        </w:trPr>
        <w:tc>
          <w:tcPr>
            <w:tcW w:w="967" w:type="pct"/>
            <w:vMerge/>
            <w:tcMar>
              <w:top w:w="57" w:type="dxa"/>
              <w:bottom w:w="57" w:type="dxa"/>
            </w:tcMar>
          </w:tcPr>
          <w:p w14:paraId="41ABA751" w14:textId="77777777" w:rsidR="00C47639" w:rsidRPr="00721042" w:rsidRDefault="00C47639" w:rsidP="00C47639">
            <w:pPr>
              <w:pStyle w:val="Standaard-Tabellen"/>
            </w:pPr>
          </w:p>
        </w:tc>
        <w:tc>
          <w:tcPr>
            <w:tcW w:w="2353" w:type="pct"/>
            <w:shd w:val="clear" w:color="auto" w:fill="auto"/>
            <w:tcMar>
              <w:top w:w="57" w:type="dxa"/>
              <w:bottom w:w="57" w:type="dxa"/>
            </w:tcMar>
          </w:tcPr>
          <w:p w14:paraId="713E95E8" w14:textId="77777777" w:rsidR="00C47639" w:rsidRPr="00721042" w:rsidRDefault="00C47639" w:rsidP="00C47639">
            <w:pPr>
              <w:pStyle w:val="Standaard-Tabellen"/>
            </w:pPr>
            <w:r w:rsidRPr="00721042">
              <w:t>Body weight</w:t>
            </w:r>
            <w:r w:rsidRPr="00721042">
              <w:rPr>
                <w:vertAlign w:val="superscript"/>
              </w:rPr>
              <w:t>1</w:t>
            </w:r>
            <w:r w:rsidRPr="00721042">
              <w:t xml:space="preserve"> </w:t>
            </w:r>
          </w:p>
        </w:tc>
        <w:tc>
          <w:tcPr>
            <w:tcW w:w="1680" w:type="pct"/>
            <w:shd w:val="clear" w:color="auto" w:fill="auto"/>
            <w:tcMar>
              <w:top w:w="57" w:type="dxa"/>
              <w:bottom w:w="57" w:type="dxa"/>
            </w:tcMar>
          </w:tcPr>
          <w:p w14:paraId="0909CA10" w14:textId="77777777" w:rsidR="00C47639" w:rsidRPr="00412894" w:rsidRDefault="00C47639" w:rsidP="00C47639">
            <w:pPr>
              <w:pStyle w:val="Standaard-Tabellen"/>
            </w:pPr>
            <w:r w:rsidRPr="00412894">
              <w:t>15.6 kg</w:t>
            </w:r>
          </w:p>
        </w:tc>
      </w:tr>
      <w:tr w:rsidR="00C47639" w:rsidRPr="00FD2055" w14:paraId="7AC1A88F" w14:textId="77777777" w:rsidTr="00C47639">
        <w:trPr>
          <w:tblHeader/>
        </w:trPr>
        <w:tc>
          <w:tcPr>
            <w:tcW w:w="967" w:type="pct"/>
            <w:vMerge/>
            <w:tcMar>
              <w:top w:w="57" w:type="dxa"/>
              <w:bottom w:w="57" w:type="dxa"/>
            </w:tcMar>
          </w:tcPr>
          <w:p w14:paraId="37E1C31F" w14:textId="77777777" w:rsidR="00C47639" w:rsidRPr="00721042" w:rsidRDefault="00C47639" w:rsidP="00C47639">
            <w:pPr>
              <w:pStyle w:val="Standaard-Tabellen"/>
            </w:pPr>
          </w:p>
        </w:tc>
        <w:tc>
          <w:tcPr>
            <w:tcW w:w="2353" w:type="pct"/>
            <w:shd w:val="clear" w:color="auto" w:fill="auto"/>
            <w:tcMar>
              <w:top w:w="57" w:type="dxa"/>
              <w:bottom w:w="57" w:type="dxa"/>
            </w:tcMar>
          </w:tcPr>
          <w:p w14:paraId="6B0756B3" w14:textId="77777777" w:rsidR="00C47639" w:rsidRPr="00721042" w:rsidRDefault="00C47639" w:rsidP="00C47639">
            <w:pPr>
              <w:pStyle w:val="Standaard-Tabellen"/>
            </w:pPr>
            <w:r w:rsidRPr="00721042">
              <w:t>Amount of biocidal product/ application</w:t>
            </w:r>
            <w:r w:rsidRPr="00721042">
              <w:rPr>
                <w:vertAlign w:val="superscript"/>
              </w:rPr>
              <w:t>1</w:t>
            </w:r>
          </w:p>
        </w:tc>
        <w:tc>
          <w:tcPr>
            <w:tcW w:w="1680" w:type="pct"/>
            <w:shd w:val="clear" w:color="auto" w:fill="auto"/>
            <w:tcMar>
              <w:top w:w="57" w:type="dxa"/>
              <w:bottom w:w="57" w:type="dxa"/>
            </w:tcMar>
          </w:tcPr>
          <w:p w14:paraId="1395F416" w14:textId="77777777" w:rsidR="00C47639" w:rsidRPr="00412894" w:rsidRDefault="00C47639" w:rsidP="00C47639">
            <w:pPr>
              <w:pStyle w:val="Standaard-Tabellen"/>
            </w:pPr>
            <w:r w:rsidRPr="00412894">
              <w:t>2.5</w:t>
            </w:r>
            <w:r>
              <w:t>1</w:t>
            </w:r>
            <w:r w:rsidRPr="00412894">
              <w:t xml:space="preserve"> g</w:t>
            </w:r>
          </w:p>
        </w:tc>
      </w:tr>
      <w:tr w:rsidR="00C47639" w:rsidRPr="00FD2055" w14:paraId="4B78F469" w14:textId="77777777" w:rsidTr="00C47639">
        <w:trPr>
          <w:tblHeader/>
        </w:trPr>
        <w:tc>
          <w:tcPr>
            <w:tcW w:w="967" w:type="pct"/>
            <w:vMerge w:val="restart"/>
            <w:tcMar>
              <w:top w:w="57" w:type="dxa"/>
              <w:bottom w:w="57" w:type="dxa"/>
            </w:tcMar>
          </w:tcPr>
          <w:p w14:paraId="726C7B78" w14:textId="77777777" w:rsidR="00C47639" w:rsidRPr="00721042" w:rsidRDefault="00C47639" w:rsidP="00C47639">
            <w:pPr>
              <w:pStyle w:val="Standaard-Tabellen"/>
            </w:pPr>
            <w:r w:rsidRPr="000B65BB">
              <w:t>Tier 1- Toddler</w:t>
            </w:r>
          </w:p>
        </w:tc>
        <w:tc>
          <w:tcPr>
            <w:tcW w:w="2353" w:type="pct"/>
            <w:shd w:val="clear" w:color="auto" w:fill="auto"/>
            <w:tcMar>
              <w:top w:w="57" w:type="dxa"/>
              <w:bottom w:w="57" w:type="dxa"/>
            </w:tcMar>
          </w:tcPr>
          <w:p w14:paraId="46C99ECF" w14:textId="77777777" w:rsidR="00C47639" w:rsidRPr="00721042" w:rsidRDefault="00C47639" w:rsidP="00C47639">
            <w:pPr>
              <w:pStyle w:val="Standaard-Tabellen"/>
            </w:pPr>
            <w:r w:rsidRPr="00721042">
              <w:t>Factor for oral intake by hand-mouth transfer</w:t>
            </w:r>
            <w:r w:rsidRPr="00721042">
              <w:rPr>
                <w:vertAlign w:val="superscript"/>
              </w:rPr>
              <w:t>2</w:t>
            </w:r>
            <w:r w:rsidRPr="00721042">
              <w:t xml:space="preserve">  </w:t>
            </w:r>
          </w:p>
        </w:tc>
        <w:tc>
          <w:tcPr>
            <w:tcW w:w="1680" w:type="pct"/>
            <w:shd w:val="clear" w:color="auto" w:fill="auto"/>
            <w:tcMar>
              <w:top w:w="57" w:type="dxa"/>
              <w:bottom w:w="57" w:type="dxa"/>
            </w:tcMar>
          </w:tcPr>
          <w:p w14:paraId="3FDE3A8C" w14:textId="77777777" w:rsidR="00C47639" w:rsidRPr="00973BCE" w:rsidRDefault="00C47639" w:rsidP="00C47639">
            <w:pPr>
              <w:pStyle w:val="Standaard-Tabellen"/>
            </w:pPr>
            <w:r w:rsidRPr="00973BCE">
              <w:t>8 %</w:t>
            </w:r>
          </w:p>
        </w:tc>
      </w:tr>
      <w:tr w:rsidR="00C47639" w:rsidRPr="00FD2055" w14:paraId="17B4A05D" w14:textId="77777777" w:rsidTr="00C47639">
        <w:trPr>
          <w:tblHeader/>
        </w:trPr>
        <w:tc>
          <w:tcPr>
            <w:tcW w:w="967" w:type="pct"/>
            <w:vMerge/>
            <w:tcMar>
              <w:top w:w="57" w:type="dxa"/>
              <w:bottom w:w="57" w:type="dxa"/>
            </w:tcMar>
          </w:tcPr>
          <w:p w14:paraId="7A453B08" w14:textId="77777777" w:rsidR="00C47639" w:rsidRPr="00721042" w:rsidRDefault="00C47639" w:rsidP="00C47639">
            <w:pPr>
              <w:pStyle w:val="Standaard-Tabellen"/>
            </w:pPr>
          </w:p>
        </w:tc>
        <w:tc>
          <w:tcPr>
            <w:tcW w:w="2353" w:type="pct"/>
            <w:shd w:val="clear" w:color="auto" w:fill="auto"/>
            <w:tcMar>
              <w:top w:w="57" w:type="dxa"/>
              <w:bottom w:w="57" w:type="dxa"/>
            </w:tcMar>
          </w:tcPr>
          <w:p w14:paraId="4CF68868" w14:textId="77777777" w:rsidR="00C47639" w:rsidRPr="00721042" w:rsidRDefault="00C47639" w:rsidP="00C47639">
            <w:pPr>
              <w:pStyle w:val="Standaard-Tabellen"/>
            </w:pPr>
            <w:r w:rsidRPr="00721042">
              <w:t>Body weight</w:t>
            </w:r>
            <w:r w:rsidRPr="00721042">
              <w:rPr>
                <w:vertAlign w:val="superscript"/>
              </w:rPr>
              <w:t>1</w:t>
            </w:r>
            <w:r w:rsidRPr="00721042">
              <w:t xml:space="preserve"> </w:t>
            </w:r>
          </w:p>
        </w:tc>
        <w:tc>
          <w:tcPr>
            <w:tcW w:w="1680" w:type="pct"/>
            <w:shd w:val="clear" w:color="auto" w:fill="auto"/>
            <w:tcMar>
              <w:top w:w="57" w:type="dxa"/>
              <w:bottom w:w="57" w:type="dxa"/>
            </w:tcMar>
          </w:tcPr>
          <w:p w14:paraId="28DBEA34" w14:textId="77777777" w:rsidR="00C47639" w:rsidRPr="00412894" w:rsidRDefault="00C47639" w:rsidP="00C47639">
            <w:pPr>
              <w:pStyle w:val="Standaard-Tabellen"/>
            </w:pPr>
            <w:r w:rsidRPr="00412894">
              <w:t>10 kg</w:t>
            </w:r>
          </w:p>
        </w:tc>
      </w:tr>
      <w:tr w:rsidR="00C47639" w:rsidRPr="00FD2055" w14:paraId="335E2801" w14:textId="77777777" w:rsidTr="00C47639">
        <w:trPr>
          <w:tblHeader/>
        </w:trPr>
        <w:tc>
          <w:tcPr>
            <w:tcW w:w="967" w:type="pct"/>
            <w:vMerge/>
            <w:tcMar>
              <w:top w:w="57" w:type="dxa"/>
              <w:bottom w:w="57" w:type="dxa"/>
            </w:tcMar>
          </w:tcPr>
          <w:p w14:paraId="0778D09A" w14:textId="77777777" w:rsidR="00C47639" w:rsidRPr="00721042" w:rsidRDefault="00C47639" w:rsidP="00C47639">
            <w:pPr>
              <w:pStyle w:val="Standaard-Tabellen"/>
            </w:pPr>
          </w:p>
        </w:tc>
        <w:tc>
          <w:tcPr>
            <w:tcW w:w="2353" w:type="pct"/>
            <w:shd w:val="clear" w:color="auto" w:fill="auto"/>
            <w:tcMar>
              <w:top w:w="57" w:type="dxa"/>
              <w:bottom w:w="57" w:type="dxa"/>
            </w:tcMar>
          </w:tcPr>
          <w:p w14:paraId="40E75BFE" w14:textId="77777777" w:rsidR="00C47639" w:rsidRPr="00721042" w:rsidRDefault="00C47639" w:rsidP="00C47639">
            <w:pPr>
              <w:pStyle w:val="Standaard-Tabellen"/>
            </w:pPr>
            <w:r w:rsidRPr="00721042">
              <w:t>Amount of biocidal product/ application</w:t>
            </w:r>
            <w:r w:rsidRPr="00721042">
              <w:rPr>
                <w:vertAlign w:val="superscript"/>
              </w:rPr>
              <w:t>1</w:t>
            </w:r>
          </w:p>
        </w:tc>
        <w:tc>
          <w:tcPr>
            <w:tcW w:w="1680" w:type="pct"/>
            <w:shd w:val="clear" w:color="auto" w:fill="auto"/>
            <w:tcMar>
              <w:top w:w="57" w:type="dxa"/>
              <w:bottom w:w="57" w:type="dxa"/>
            </w:tcMar>
          </w:tcPr>
          <w:p w14:paraId="06C0F405" w14:textId="77777777" w:rsidR="00C47639" w:rsidRPr="00412894" w:rsidRDefault="00C47639" w:rsidP="00C47639">
            <w:pPr>
              <w:pStyle w:val="Standaard-Tabellen"/>
            </w:pPr>
            <w:r w:rsidRPr="00412894">
              <w:t>1.7</w:t>
            </w:r>
            <w:r>
              <w:t>7</w:t>
            </w:r>
            <w:r w:rsidRPr="00412894">
              <w:t> g</w:t>
            </w:r>
          </w:p>
        </w:tc>
      </w:tr>
      <w:tr w:rsidR="00C47639" w:rsidRPr="00FD2055" w14:paraId="48801B37" w14:textId="77777777" w:rsidTr="00C47639">
        <w:trPr>
          <w:tblHeader/>
        </w:trPr>
        <w:tc>
          <w:tcPr>
            <w:tcW w:w="967" w:type="pct"/>
            <w:vMerge w:val="restart"/>
            <w:tcMar>
              <w:top w:w="57" w:type="dxa"/>
              <w:bottom w:w="57" w:type="dxa"/>
            </w:tcMar>
          </w:tcPr>
          <w:p w14:paraId="3E316D14" w14:textId="77777777" w:rsidR="00C47639" w:rsidRPr="00721042" w:rsidRDefault="00C47639" w:rsidP="00C47639">
            <w:pPr>
              <w:pStyle w:val="Standaard-Tabellen"/>
            </w:pPr>
            <w:r w:rsidRPr="000B65BB">
              <w:t>Tier 1- Infant</w:t>
            </w:r>
          </w:p>
        </w:tc>
        <w:tc>
          <w:tcPr>
            <w:tcW w:w="2353" w:type="pct"/>
            <w:shd w:val="clear" w:color="auto" w:fill="auto"/>
            <w:tcMar>
              <w:top w:w="57" w:type="dxa"/>
              <w:bottom w:w="57" w:type="dxa"/>
            </w:tcMar>
          </w:tcPr>
          <w:p w14:paraId="09327362" w14:textId="77777777" w:rsidR="00C47639" w:rsidRPr="00721042" w:rsidRDefault="00C47639" w:rsidP="00C47639">
            <w:pPr>
              <w:pStyle w:val="Standaard-Tabellen"/>
            </w:pPr>
            <w:r w:rsidRPr="00721042">
              <w:t>Factor for oral intake by hand-mouth transfer</w:t>
            </w:r>
            <w:r w:rsidRPr="00721042">
              <w:rPr>
                <w:vertAlign w:val="superscript"/>
              </w:rPr>
              <w:t>2</w:t>
            </w:r>
            <w:r w:rsidRPr="00721042">
              <w:t xml:space="preserve"> </w:t>
            </w:r>
          </w:p>
        </w:tc>
        <w:tc>
          <w:tcPr>
            <w:tcW w:w="1680" w:type="pct"/>
            <w:shd w:val="clear" w:color="auto" w:fill="auto"/>
            <w:tcMar>
              <w:top w:w="57" w:type="dxa"/>
              <w:bottom w:w="57" w:type="dxa"/>
            </w:tcMar>
          </w:tcPr>
          <w:p w14:paraId="6F812548" w14:textId="77777777" w:rsidR="00C47639" w:rsidRPr="000B61FA" w:rsidRDefault="00C47639" w:rsidP="00C47639">
            <w:pPr>
              <w:pStyle w:val="Standaard-Tabellen"/>
            </w:pPr>
            <w:r w:rsidRPr="000B61FA">
              <w:t>8 %</w:t>
            </w:r>
          </w:p>
        </w:tc>
      </w:tr>
      <w:tr w:rsidR="00C47639" w:rsidRPr="00FD2055" w14:paraId="0D7C3FA9" w14:textId="77777777" w:rsidTr="00C47639">
        <w:trPr>
          <w:tblHeader/>
        </w:trPr>
        <w:tc>
          <w:tcPr>
            <w:tcW w:w="967" w:type="pct"/>
            <w:vMerge/>
            <w:tcMar>
              <w:top w:w="57" w:type="dxa"/>
              <w:bottom w:w="57" w:type="dxa"/>
            </w:tcMar>
          </w:tcPr>
          <w:p w14:paraId="75A0E1B9" w14:textId="77777777" w:rsidR="00C47639" w:rsidRPr="00721042" w:rsidRDefault="00C47639" w:rsidP="00C47639">
            <w:pPr>
              <w:pStyle w:val="Standaard-Tabellen"/>
            </w:pPr>
          </w:p>
        </w:tc>
        <w:tc>
          <w:tcPr>
            <w:tcW w:w="2353" w:type="pct"/>
            <w:shd w:val="clear" w:color="auto" w:fill="auto"/>
            <w:tcMar>
              <w:top w:w="57" w:type="dxa"/>
              <w:bottom w:w="57" w:type="dxa"/>
            </w:tcMar>
          </w:tcPr>
          <w:p w14:paraId="380060C2" w14:textId="77777777" w:rsidR="00C47639" w:rsidRPr="00721042" w:rsidRDefault="00C47639" w:rsidP="00C47639">
            <w:pPr>
              <w:pStyle w:val="Standaard-Tabellen"/>
            </w:pPr>
            <w:r w:rsidRPr="00721042">
              <w:t>Body weight</w:t>
            </w:r>
            <w:r w:rsidRPr="00721042">
              <w:rPr>
                <w:vertAlign w:val="superscript"/>
              </w:rPr>
              <w:t>1</w:t>
            </w:r>
            <w:r w:rsidRPr="00721042">
              <w:t xml:space="preserve"> </w:t>
            </w:r>
          </w:p>
        </w:tc>
        <w:tc>
          <w:tcPr>
            <w:tcW w:w="1680" w:type="pct"/>
            <w:shd w:val="clear" w:color="auto" w:fill="auto"/>
            <w:tcMar>
              <w:top w:w="57" w:type="dxa"/>
              <w:bottom w:w="57" w:type="dxa"/>
            </w:tcMar>
          </w:tcPr>
          <w:p w14:paraId="018CB158" w14:textId="77777777" w:rsidR="00C47639" w:rsidRPr="00412894" w:rsidRDefault="00C47639" w:rsidP="00C47639">
            <w:pPr>
              <w:pStyle w:val="Standaard-Tabellen"/>
            </w:pPr>
            <w:r w:rsidRPr="00412894">
              <w:t>8 kg</w:t>
            </w:r>
          </w:p>
        </w:tc>
      </w:tr>
      <w:tr w:rsidR="00C47639" w:rsidRPr="00FD2055" w14:paraId="723A6FE6" w14:textId="77777777" w:rsidTr="00C47639">
        <w:trPr>
          <w:tblHeader/>
        </w:trPr>
        <w:tc>
          <w:tcPr>
            <w:tcW w:w="967" w:type="pct"/>
            <w:vMerge/>
            <w:tcMar>
              <w:top w:w="57" w:type="dxa"/>
              <w:bottom w:w="57" w:type="dxa"/>
            </w:tcMar>
          </w:tcPr>
          <w:p w14:paraId="72A2DCD5" w14:textId="77777777" w:rsidR="00C47639" w:rsidRPr="00721042" w:rsidRDefault="00C47639" w:rsidP="00C47639">
            <w:pPr>
              <w:pStyle w:val="Standaard-Tabellen"/>
            </w:pPr>
          </w:p>
        </w:tc>
        <w:tc>
          <w:tcPr>
            <w:tcW w:w="2353" w:type="pct"/>
            <w:shd w:val="clear" w:color="auto" w:fill="auto"/>
            <w:tcMar>
              <w:top w:w="57" w:type="dxa"/>
              <w:bottom w:w="57" w:type="dxa"/>
            </w:tcMar>
          </w:tcPr>
          <w:p w14:paraId="6CFEC3AF" w14:textId="77777777" w:rsidR="00C47639" w:rsidRPr="00721042" w:rsidRDefault="00C47639" w:rsidP="00C47639">
            <w:pPr>
              <w:pStyle w:val="Standaard-Tabellen"/>
            </w:pPr>
            <w:r w:rsidRPr="00721042">
              <w:t>Amount of biocidal product/ application</w:t>
            </w:r>
            <w:r w:rsidRPr="00721042">
              <w:rPr>
                <w:vertAlign w:val="superscript"/>
              </w:rPr>
              <w:t>1</w:t>
            </w:r>
          </w:p>
        </w:tc>
        <w:tc>
          <w:tcPr>
            <w:tcW w:w="1680" w:type="pct"/>
            <w:shd w:val="clear" w:color="auto" w:fill="auto"/>
            <w:tcMar>
              <w:top w:w="57" w:type="dxa"/>
              <w:bottom w:w="57" w:type="dxa"/>
            </w:tcMar>
          </w:tcPr>
          <w:p w14:paraId="04A6132E" w14:textId="77777777" w:rsidR="00C47639" w:rsidRPr="00412894" w:rsidRDefault="00C47639" w:rsidP="00C47639">
            <w:pPr>
              <w:pStyle w:val="Standaard-Tabellen"/>
            </w:pPr>
            <w:r w:rsidRPr="00B42FAC">
              <w:t>1.51</w:t>
            </w:r>
            <w:r w:rsidRPr="00412894">
              <w:t> g</w:t>
            </w:r>
          </w:p>
        </w:tc>
      </w:tr>
    </w:tbl>
    <w:p w14:paraId="46E3C07E" w14:textId="77777777" w:rsidR="00C47639" w:rsidRPr="00721042" w:rsidRDefault="00C47639" w:rsidP="00C47639">
      <w:pPr>
        <w:pStyle w:val="Voetnoot"/>
      </w:pPr>
      <w:r w:rsidRPr="00721042">
        <w:rPr>
          <w:rStyle w:val="Appelnotedebasdep"/>
          <w:position w:val="4"/>
          <w:vertAlign w:val="subscript"/>
        </w:rPr>
        <w:t>1</w:t>
      </w:r>
      <w:r w:rsidRPr="00721042">
        <w:rPr>
          <w:rStyle w:val="Appelnotedebasdep"/>
          <w:position w:val="4"/>
        </w:rPr>
        <w:t xml:space="preserve"> General information, see justification above</w:t>
      </w:r>
    </w:p>
    <w:p w14:paraId="2A5C7804" w14:textId="77777777" w:rsidR="00C47639" w:rsidRDefault="00C47639" w:rsidP="00C47639">
      <w:pPr>
        <w:pStyle w:val="Voetnoot"/>
      </w:pPr>
      <w:r w:rsidRPr="00721042">
        <w:rPr>
          <w:vertAlign w:val="superscript"/>
        </w:rPr>
        <w:t>2</w:t>
      </w:r>
      <w:r w:rsidRPr="00721042">
        <w:t xml:space="preserve"> </w:t>
      </w:r>
      <w:r w:rsidRPr="00721042">
        <w:rPr>
          <w:rStyle w:val="Appelnotedebasdep"/>
          <w:position w:val="4"/>
        </w:rPr>
        <w:t xml:space="preserve"> 4% is the factor of the total treated body surface (Head, hands, arms, legs and feet) reported to the surface area of the fingers. 8% is the factor of the total treated body surface (Head, hands, arms, legs and feet) reported to </w:t>
      </w:r>
      <w:r w:rsidRPr="00721042">
        <w:rPr>
          <w:rStyle w:val="Appelnotedebasdep"/>
          <w:position w:val="4"/>
        </w:rPr>
        <w:lastRenderedPageBreak/>
        <w:t xml:space="preserve">the surface area of the hands. They are default values currently discuss for a </w:t>
      </w:r>
      <w:proofErr w:type="spellStart"/>
      <w:r w:rsidRPr="00721042">
        <w:rPr>
          <w:rStyle w:val="Appelnotedebasdep"/>
          <w:position w:val="4"/>
        </w:rPr>
        <w:t>harmonisation</w:t>
      </w:r>
      <w:proofErr w:type="spellEnd"/>
      <w:r w:rsidRPr="00721042">
        <w:rPr>
          <w:rStyle w:val="Appelnotedebasdep"/>
          <w:position w:val="4"/>
        </w:rPr>
        <w:t xml:space="preserve"> of human exposure scenarios for PT19.</w:t>
      </w:r>
    </w:p>
    <w:p w14:paraId="38750DEA" w14:textId="77777777" w:rsidR="00C47639" w:rsidRPr="00721042" w:rsidRDefault="00C47639" w:rsidP="00C47639"/>
    <w:p w14:paraId="7DA3A963" w14:textId="77777777" w:rsidR="00C47639" w:rsidRPr="00C20709" w:rsidRDefault="00C47639" w:rsidP="00C47639">
      <w:pPr>
        <w:pStyle w:val="Titre7"/>
        <w:rPr>
          <w:lang w:val="en-US"/>
        </w:rPr>
      </w:pPr>
      <w:r w:rsidRPr="00C20709">
        <w:rPr>
          <w:lang w:val="en-US"/>
        </w:rPr>
        <w:t xml:space="preserve">Calculations for scenario </w:t>
      </w:r>
      <w:r>
        <w:rPr>
          <w:lang w:val="en-US"/>
        </w:rPr>
        <w:t>3</w:t>
      </w:r>
    </w:p>
    <w:tbl>
      <w:tblPr>
        <w:tblW w:w="49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75"/>
        <w:gridCol w:w="2694"/>
        <w:gridCol w:w="4046"/>
      </w:tblGrid>
      <w:tr w:rsidR="00C47639" w:rsidRPr="00721042" w14:paraId="2789032A" w14:textId="77777777" w:rsidTr="00C47639">
        <w:trPr>
          <w:cantSplit/>
          <w:trHeight w:val="594"/>
          <w:tblHeader/>
        </w:trPr>
        <w:tc>
          <w:tcPr>
            <w:tcW w:w="5000" w:type="pct"/>
            <w:gridSpan w:val="3"/>
            <w:shd w:val="clear" w:color="auto" w:fill="FFFFCC"/>
          </w:tcPr>
          <w:p w14:paraId="0AA643F0" w14:textId="77777777" w:rsidR="00C47639" w:rsidRPr="00721042" w:rsidRDefault="00C47639" w:rsidP="00C47639">
            <w:pPr>
              <w:pStyle w:val="Standaard-Tabellen"/>
              <w:jc w:val="center"/>
              <w:rPr>
                <w:b/>
              </w:rPr>
            </w:pPr>
            <w:r w:rsidRPr="00721042">
              <w:rPr>
                <w:b/>
              </w:rPr>
              <w:t>Summary table: estimated exposure for Hand-mouth transfer reverse reference scenario (oral exposure)</w:t>
            </w:r>
          </w:p>
        </w:tc>
      </w:tr>
      <w:tr w:rsidR="00C47639" w:rsidRPr="00721042" w14:paraId="05AAE3DF" w14:textId="77777777" w:rsidTr="00C47639">
        <w:trPr>
          <w:cantSplit/>
          <w:trHeight w:val="594"/>
          <w:tblHeader/>
        </w:trPr>
        <w:tc>
          <w:tcPr>
            <w:tcW w:w="1382" w:type="pct"/>
            <w:shd w:val="clear" w:color="auto" w:fill="BFBFBF" w:themeFill="background1" w:themeFillShade="BF"/>
          </w:tcPr>
          <w:p w14:paraId="4E4B25D8" w14:textId="77777777" w:rsidR="00C47639" w:rsidRPr="00721042" w:rsidRDefault="00C47639" w:rsidP="00C47639">
            <w:pPr>
              <w:pStyle w:val="Standaard-Tabellen"/>
              <w:rPr>
                <w:b/>
              </w:rPr>
            </w:pPr>
            <w:r w:rsidRPr="00721042">
              <w:rPr>
                <w:b/>
              </w:rPr>
              <w:t>Exposure scenario</w:t>
            </w:r>
          </w:p>
        </w:tc>
        <w:tc>
          <w:tcPr>
            <w:tcW w:w="1446" w:type="pct"/>
            <w:shd w:val="clear" w:color="auto" w:fill="BFBFBF" w:themeFill="background1" w:themeFillShade="BF"/>
          </w:tcPr>
          <w:p w14:paraId="33F7A32A" w14:textId="77777777" w:rsidR="00C47639" w:rsidRPr="00721042" w:rsidRDefault="00C47639" w:rsidP="00C47639">
            <w:pPr>
              <w:pStyle w:val="Standaard-Tabellen"/>
              <w:rPr>
                <w:b/>
              </w:rPr>
            </w:pPr>
            <w:r w:rsidRPr="00721042">
              <w:rPr>
                <w:b/>
              </w:rPr>
              <w:t>Tier/PPE</w:t>
            </w:r>
          </w:p>
        </w:tc>
        <w:tc>
          <w:tcPr>
            <w:tcW w:w="2172" w:type="pct"/>
            <w:shd w:val="clear" w:color="auto" w:fill="BFBFBF" w:themeFill="background1" w:themeFillShade="BF"/>
          </w:tcPr>
          <w:p w14:paraId="3E3B57FA" w14:textId="77777777" w:rsidR="00C47639" w:rsidRPr="00721042" w:rsidRDefault="00C47639" w:rsidP="00C47639">
            <w:pPr>
              <w:pStyle w:val="Standaard-Tabellen"/>
              <w:rPr>
                <w:b/>
              </w:rPr>
            </w:pPr>
            <w:r w:rsidRPr="00721042">
              <w:rPr>
                <w:b/>
              </w:rPr>
              <w:t>Calculated exposure to IR3535</w:t>
            </w:r>
            <w:r w:rsidRPr="0004367B">
              <w:rPr>
                <w:b/>
                <w:vertAlign w:val="superscript"/>
              </w:rPr>
              <w:t>®</w:t>
            </w:r>
          </w:p>
        </w:tc>
      </w:tr>
      <w:tr w:rsidR="00C47639" w:rsidRPr="00721042" w14:paraId="4DFB0E31" w14:textId="77777777" w:rsidTr="00C47639">
        <w:trPr>
          <w:cantSplit/>
          <w:trHeight w:val="391"/>
          <w:tblHeader/>
        </w:trPr>
        <w:tc>
          <w:tcPr>
            <w:tcW w:w="1382" w:type="pct"/>
            <w:shd w:val="clear" w:color="auto" w:fill="auto"/>
            <w:vAlign w:val="center"/>
          </w:tcPr>
          <w:p w14:paraId="07F49185" w14:textId="77777777" w:rsidR="00C47639" w:rsidRPr="00721042" w:rsidRDefault="00C47639" w:rsidP="00C47639">
            <w:pPr>
              <w:pStyle w:val="Standaard-Tabellen"/>
            </w:pPr>
            <w:r w:rsidRPr="00CF46C5">
              <w:t xml:space="preserve">Scenario </w:t>
            </w:r>
            <w:r>
              <w:t>3</w:t>
            </w:r>
            <w:r w:rsidRPr="00CF46C5">
              <w:t xml:space="preserve"> – ADULT</w:t>
            </w:r>
          </w:p>
        </w:tc>
        <w:tc>
          <w:tcPr>
            <w:tcW w:w="1446" w:type="pct"/>
            <w:vAlign w:val="center"/>
          </w:tcPr>
          <w:p w14:paraId="4C7F54F0" w14:textId="77777777" w:rsidR="00C47639" w:rsidRPr="00CF46C5" w:rsidRDefault="00C47639" w:rsidP="00C47639">
            <w:pPr>
              <w:pStyle w:val="Standaard-Tabellen"/>
            </w:pPr>
            <w:r w:rsidRPr="00CF46C5">
              <w:t>Tier 1 /</w:t>
            </w:r>
          </w:p>
          <w:p w14:paraId="4BEA48D0" w14:textId="77777777" w:rsidR="00C47639" w:rsidRPr="00721042" w:rsidRDefault="00C47639" w:rsidP="00C47639">
            <w:pPr>
              <w:pStyle w:val="Standaard-Tabellen"/>
            </w:pPr>
            <w:r w:rsidRPr="00CF46C5">
              <w:t>no PPE</w:t>
            </w:r>
          </w:p>
        </w:tc>
        <w:tc>
          <w:tcPr>
            <w:tcW w:w="2172" w:type="pct"/>
            <w:vAlign w:val="center"/>
          </w:tcPr>
          <w:p w14:paraId="75F8344B" w14:textId="77777777" w:rsidR="00C47639" w:rsidRPr="00412894" w:rsidRDefault="00C47639" w:rsidP="00C47639">
            <w:pPr>
              <w:pStyle w:val="Standaard-Tabellen"/>
            </w:pPr>
            <w:r w:rsidRPr="00412894">
              <w:t xml:space="preserve">Adult up to </w:t>
            </w:r>
            <w:r w:rsidRPr="00B42FAC">
              <w:t>6.13</w:t>
            </w:r>
            <w:r w:rsidRPr="00412894">
              <w:t xml:space="preserve"> applications</w:t>
            </w:r>
          </w:p>
        </w:tc>
      </w:tr>
      <w:tr w:rsidR="00C47639" w:rsidRPr="00721042" w14:paraId="492FC41F" w14:textId="77777777" w:rsidTr="00C47639">
        <w:trPr>
          <w:cantSplit/>
          <w:trHeight w:val="391"/>
          <w:tblHeader/>
        </w:trPr>
        <w:tc>
          <w:tcPr>
            <w:tcW w:w="1382" w:type="pct"/>
            <w:shd w:val="clear" w:color="auto" w:fill="auto"/>
            <w:vAlign w:val="center"/>
          </w:tcPr>
          <w:p w14:paraId="335C4BD6" w14:textId="77777777" w:rsidR="00C47639" w:rsidRPr="00721042" w:rsidRDefault="00C47639" w:rsidP="00C47639">
            <w:pPr>
              <w:pStyle w:val="Standaard-Tabellen"/>
            </w:pPr>
            <w:r>
              <w:t>Scenario 3</w:t>
            </w:r>
            <w:r w:rsidRPr="00CF46C5">
              <w:t xml:space="preserve"> – CHILD</w:t>
            </w:r>
            <w:r>
              <w:t xml:space="preserve"> (6-12)</w:t>
            </w:r>
          </w:p>
        </w:tc>
        <w:tc>
          <w:tcPr>
            <w:tcW w:w="1446" w:type="pct"/>
            <w:vAlign w:val="center"/>
          </w:tcPr>
          <w:p w14:paraId="76D62901" w14:textId="77777777" w:rsidR="00C47639" w:rsidRPr="00CF46C5" w:rsidRDefault="00C47639" w:rsidP="00C47639">
            <w:pPr>
              <w:pStyle w:val="Standaard-Tabellen"/>
            </w:pPr>
            <w:r w:rsidRPr="00CF46C5">
              <w:t>Tier 1 /</w:t>
            </w:r>
          </w:p>
          <w:p w14:paraId="10F00A85" w14:textId="77777777" w:rsidR="00C47639" w:rsidRPr="00721042" w:rsidRDefault="00C47639" w:rsidP="00C47639">
            <w:pPr>
              <w:pStyle w:val="Standaard-Tabellen"/>
            </w:pPr>
            <w:r w:rsidRPr="00CF46C5">
              <w:t>no PPE</w:t>
            </w:r>
          </w:p>
        </w:tc>
        <w:tc>
          <w:tcPr>
            <w:tcW w:w="2172" w:type="pct"/>
            <w:vAlign w:val="center"/>
          </w:tcPr>
          <w:p w14:paraId="63D04D3B" w14:textId="77777777" w:rsidR="00C47639" w:rsidRPr="00412894" w:rsidRDefault="00C47639" w:rsidP="00C47639">
            <w:pPr>
              <w:pStyle w:val="Standaard-Tabellen"/>
            </w:pPr>
            <w:r w:rsidRPr="00412894">
              <w:t xml:space="preserve">Child (6-12) up to </w:t>
            </w:r>
            <w:r w:rsidRPr="00B42FAC">
              <w:t>2.20</w:t>
            </w:r>
            <w:r w:rsidRPr="00412894">
              <w:t xml:space="preserve"> applications</w:t>
            </w:r>
          </w:p>
        </w:tc>
      </w:tr>
      <w:tr w:rsidR="00C47639" w:rsidRPr="00721042" w14:paraId="32EC4189" w14:textId="77777777" w:rsidTr="00C47639">
        <w:trPr>
          <w:cantSplit/>
          <w:trHeight w:val="391"/>
          <w:tblHeader/>
        </w:trPr>
        <w:tc>
          <w:tcPr>
            <w:tcW w:w="1382" w:type="pct"/>
            <w:shd w:val="clear" w:color="auto" w:fill="auto"/>
            <w:vAlign w:val="center"/>
          </w:tcPr>
          <w:p w14:paraId="4883C47C" w14:textId="77777777" w:rsidR="00C47639" w:rsidRPr="00721042" w:rsidRDefault="00C47639" w:rsidP="00C47639">
            <w:pPr>
              <w:pStyle w:val="Standaard-Tabellen"/>
            </w:pPr>
            <w:r>
              <w:t>Scenario 3</w:t>
            </w:r>
            <w:r w:rsidRPr="00CF46C5">
              <w:t xml:space="preserve"> – CHILD</w:t>
            </w:r>
            <w:r>
              <w:t xml:space="preserve"> (2-6)</w:t>
            </w:r>
          </w:p>
        </w:tc>
        <w:tc>
          <w:tcPr>
            <w:tcW w:w="1446" w:type="pct"/>
            <w:vAlign w:val="center"/>
          </w:tcPr>
          <w:p w14:paraId="0215A01E" w14:textId="77777777" w:rsidR="00C47639" w:rsidRPr="00CF46C5" w:rsidRDefault="00C47639" w:rsidP="00C47639">
            <w:pPr>
              <w:pStyle w:val="Standaard-Tabellen"/>
            </w:pPr>
            <w:r w:rsidRPr="00CF46C5">
              <w:t>Tier 1 /</w:t>
            </w:r>
          </w:p>
          <w:p w14:paraId="12AC54ED" w14:textId="77777777" w:rsidR="00C47639" w:rsidRPr="00721042" w:rsidRDefault="00C47639" w:rsidP="00C47639">
            <w:pPr>
              <w:pStyle w:val="Standaard-Tabellen"/>
            </w:pPr>
            <w:r w:rsidRPr="00CF46C5">
              <w:t>no PPE</w:t>
            </w:r>
          </w:p>
        </w:tc>
        <w:tc>
          <w:tcPr>
            <w:tcW w:w="2172" w:type="pct"/>
            <w:vAlign w:val="center"/>
          </w:tcPr>
          <w:p w14:paraId="7842BA26" w14:textId="77777777" w:rsidR="00C47639" w:rsidRPr="00412894" w:rsidRDefault="00C47639" w:rsidP="00C47639">
            <w:pPr>
              <w:pStyle w:val="Standaard-Tabellen"/>
            </w:pPr>
            <w:r w:rsidRPr="00412894">
              <w:t xml:space="preserve">Child (2-6) up to </w:t>
            </w:r>
            <w:r w:rsidRPr="00B42FAC">
              <w:t>1.94</w:t>
            </w:r>
            <w:r w:rsidRPr="00412894">
              <w:t xml:space="preserve"> applications</w:t>
            </w:r>
          </w:p>
        </w:tc>
      </w:tr>
      <w:tr w:rsidR="00C47639" w:rsidRPr="00721042" w14:paraId="777771AE" w14:textId="77777777" w:rsidTr="00C47639">
        <w:trPr>
          <w:cantSplit/>
          <w:trHeight w:val="391"/>
          <w:tblHeader/>
        </w:trPr>
        <w:tc>
          <w:tcPr>
            <w:tcW w:w="1382" w:type="pct"/>
            <w:shd w:val="clear" w:color="auto" w:fill="auto"/>
            <w:vAlign w:val="center"/>
          </w:tcPr>
          <w:p w14:paraId="2C9AF6D1" w14:textId="77777777" w:rsidR="00C47639" w:rsidRPr="00721042" w:rsidRDefault="00C47639" w:rsidP="00C47639">
            <w:pPr>
              <w:pStyle w:val="Standaard-Tabellen"/>
            </w:pPr>
            <w:r>
              <w:t>Scenario 3</w:t>
            </w:r>
            <w:r w:rsidRPr="00CF46C5">
              <w:t xml:space="preserve"> – TODDLER</w:t>
            </w:r>
          </w:p>
        </w:tc>
        <w:tc>
          <w:tcPr>
            <w:tcW w:w="1446" w:type="pct"/>
            <w:vAlign w:val="center"/>
          </w:tcPr>
          <w:p w14:paraId="4FFB85CB" w14:textId="77777777" w:rsidR="00C47639" w:rsidRPr="00CF46C5" w:rsidRDefault="00C47639" w:rsidP="00C47639">
            <w:pPr>
              <w:pStyle w:val="Standaard-Tabellen"/>
            </w:pPr>
            <w:r w:rsidRPr="00CF46C5">
              <w:t>Tier 1 /</w:t>
            </w:r>
          </w:p>
          <w:p w14:paraId="7F489CBA" w14:textId="77777777" w:rsidR="00C47639" w:rsidRPr="00721042" w:rsidRDefault="00C47639" w:rsidP="00C47639">
            <w:pPr>
              <w:pStyle w:val="Standaard-Tabellen"/>
            </w:pPr>
            <w:r w:rsidRPr="00CF46C5">
              <w:t>no PPE</w:t>
            </w:r>
          </w:p>
        </w:tc>
        <w:tc>
          <w:tcPr>
            <w:tcW w:w="2172" w:type="pct"/>
            <w:vAlign w:val="center"/>
          </w:tcPr>
          <w:p w14:paraId="1FB17F90" w14:textId="77777777" w:rsidR="00C47639" w:rsidRPr="00412894" w:rsidRDefault="00C47639" w:rsidP="00C47639">
            <w:pPr>
              <w:pStyle w:val="Standaard-Tabellen"/>
            </w:pPr>
            <w:r w:rsidRPr="000908EA">
              <w:t xml:space="preserve">Toddler up to </w:t>
            </w:r>
            <w:r w:rsidRPr="00B42FAC">
              <w:t>1.77</w:t>
            </w:r>
            <w:r w:rsidRPr="00412894">
              <w:t xml:space="preserve"> applications</w:t>
            </w:r>
          </w:p>
        </w:tc>
      </w:tr>
      <w:tr w:rsidR="00C47639" w:rsidRPr="00721042" w14:paraId="13FAD5D0" w14:textId="77777777" w:rsidTr="00C47639">
        <w:trPr>
          <w:cantSplit/>
          <w:trHeight w:val="391"/>
          <w:tblHeader/>
        </w:trPr>
        <w:tc>
          <w:tcPr>
            <w:tcW w:w="1382" w:type="pct"/>
            <w:shd w:val="clear" w:color="auto" w:fill="auto"/>
            <w:vAlign w:val="center"/>
          </w:tcPr>
          <w:p w14:paraId="3C510D28" w14:textId="77777777" w:rsidR="00C47639" w:rsidRPr="00721042" w:rsidRDefault="00C47639" w:rsidP="00C47639">
            <w:pPr>
              <w:pStyle w:val="Standaard-Tabellen"/>
            </w:pPr>
            <w:r>
              <w:t>Scenario 3</w:t>
            </w:r>
            <w:r w:rsidRPr="00CF46C5">
              <w:t xml:space="preserve"> – INFANT</w:t>
            </w:r>
          </w:p>
        </w:tc>
        <w:tc>
          <w:tcPr>
            <w:tcW w:w="1446" w:type="pct"/>
            <w:vAlign w:val="center"/>
          </w:tcPr>
          <w:p w14:paraId="0C729592" w14:textId="77777777" w:rsidR="00C47639" w:rsidRPr="00CF46C5" w:rsidRDefault="00C47639" w:rsidP="00C47639">
            <w:pPr>
              <w:pStyle w:val="Standaard-Tabellen"/>
            </w:pPr>
            <w:r w:rsidRPr="00CF46C5">
              <w:t>Tier 1 /</w:t>
            </w:r>
          </w:p>
          <w:p w14:paraId="22E0B3F2" w14:textId="77777777" w:rsidR="00C47639" w:rsidRPr="00721042" w:rsidRDefault="00C47639" w:rsidP="00C47639">
            <w:pPr>
              <w:pStyle w:val="Standaard-Tabellen"/>
            </w:pPr>
            <w:r w:rsidRPr="00CF46C5">
              <w:t>no PPE</w:t>
            </w:r>
          </w:p>
        </w:tc>
        <w:tc>
          <w:tcPr>
            <w:tcW w:w="2172" w:type="pct"/>
            <w:vAlign w:val="center"/>
          </w:tcPr>
          <w:p w14:paraId="2163FD58" w14:textId="77777777" w:rsidR="00C47639" w:rsidRPr="00412894" w:rsidRDefault="00C47639" w:rsidP="00C47639">
            <w:pPr>
              <w:pStyle w:val="Standaard-Tabellen"/>
            </w:pPr>
            <w:r w:rsidRPr="00412894">
              <w:t xml:space="preserve">Infant up to </w:t>
            </w:r>
            <w:r w:rsidRPr="00B42FAC">
              <w:t>1.65</w:t>
            </w:r>
            <w:r w:rsidRPr="00412894">
              <w:t xml:space="preserve"> applications</w:t>
            </w:r>
          </w:p>
        </w:tc>
      </w:tr>
    </w:tbl>
    <w:p w14:paraId="18E952EC" w14:textId="77777777" w:rsidR="00C47639" w:rsidRDefault="00C47639" w:rsidP="00C47639"/>
    <w:p w14:paraId="4A1EF0B7" w14:textId="77777777" w:rsidR="00C47639" w:rsidRPr="00532A83" w:rsidRDefault="00C47639" w:rsidP="00C47639">
      <w:pPr>
        <w:pStyle w:val="Titre6"/>
        <w:rPr>
          <w:lang w:val="en-US"/>
        </w:rPr>
      </w:pPr>
      <w:r w:rsidRPr="00532A83">
        <w:rPr>
          <w:lang w:val="en-US"/>
        </w:rPr>
        <w:t xml:space="preserve">Scenario </w:t>
      </w:r>
      <w:r>
        <w:rPr>
          <w:lang w:val="en-US"/>
        </w:rPr>
        <w:t xml:space="preserve">4: </w:t>
      </w:r>
      <w:r w:rsidRPr="007F63D0">
        <w:rPr>
          <w:lang w:val="en-US"/>
        </w:rPr>
        <w:t xml:space="preserve">Parent treating two children and himself/herself (spraying) (combined </w:t>
      </w:r>
      <w:proofErr w:type="spellStart"/>
      <w:r w:rsidRPr="007F63D0">
        <w:rPr>
          <w:lang w:val="en-US"/>
        </w:rPr>
        <w:t>inhalative</w:t>
      </w:r>
      <w:proofErr w:type="spellEnd"/>
      <w:r w:rsidRPr="007F63D0">
        <w:rPr>
          <w:lang w:val="en-US"/>
        </w:rPr>
        <w:t xml:space="preserve"> and oral exposure)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9"/>
        <w:gridCol w:w="4129"/>
        <w:gridCol w:w="3478"/>
      </w:tblGrid>
      <w:tr w:rsidR="00C47639" w:rsidRPr="00332AD5" w14:paraId="0C203EE5" w14:textId="77777777" w:rsidTr="00C47639">
        <w:trPr>
          <w:tblHeader/>
        </w:trPr>
        <w:tc>
          <w:tcPr>
            <w:tcW w:w="5000" w:type="pct"/>
            <w:gridSpan w:val="3"/>
            <w:shd w:val="clear" w:color="auto" w:fill="FFFFCC"/>
            <w:tcMar>
              <w:top w:w="57" w:type="dxa"/>
              <w:bottom w:w="57" w:type="dxa"/>
            </w:tcMar>
          </w:tcPr>
          <w:p w14:paraId="2005732D" w14:textId="77777777" w:rsidR="00C47639" w:rsidRPr="00332AD5" w:rsidRDefault="00C47639" w:rsidP="00C47639">
            <w:pPr>
              <w:pStyle w:val="Standaard-Tabellen"/>
              <w:jc w:val="center"/>
              <w:rPr>
                <w:b/>
              </w:rPr>
            </w:pPr>
            <w:r w:rsidRPr="00332AD5">
              <w:rPr>
                <w:b/>
              </w:rPr>
              <w:t xml:space="preserve">Description of Scenario </w:t>
            </w:r>
            <w:r>
              <w:rPr>
                <w:b/>
              </w:rPr>
              <w:t>4</w:t>
            </w:r>
          </w:p>
        </w:tc>
      </w:tr>
      <w:tr w:rsidR="00C47639" w:rsidRPr="00FD2055" w14:paraId="3E93AA7C" w14:textId="77777777" w:rsidTr="00C47639">
        <w:trPr>
          <w:tblHeader/>
        </w:trPr>
        <w:tc>
          <w:tcPr>
            <w:tcW w:w="5000" w:type="pct"/>
            <w:gridSpan w:val="3"/>
            <w:shd w:val="clear" w:color="auto" w:fill="auto"/>
            <w:tcMar>
              <w:top w:w="57" w:type="dxa"/>
              <w:bottom w:w="57" w:type="dxa"/>
            </w:tcMar>
          </w:tcPr>
          <w:p w14:paraId="4C199DD9" w14:textId="77777777" w:rsidR="00C47639" w:rsidRDefault="00C47639" w:rsidP="00C47639">
            <w:pPr>
              <w:spacing w:before="0" w:after="0"/>
            </w:pPr>
            <w:r w:rsidRPr="006E53F3">
              <w:t>Worst case: a parent applying (spraying) the product on two child</w:t>
            </w:r>
            <w:r>
              <w:t>ren and herself/himself</w:t>
            </w:r>
          </w:p>
          <w:p w14:paraId="0DC972B0" w14:textId="77777777" w:rsidR="00C47639" w:rsidRPr="006E53F3" w:rsidRDefault="00C47639" w:rsidP="00C47639">
            <w:pPr>
              <w:spacing w:before="0" w:after="0"/>
            </w:pPr>
          </w:p>
          <w:p w14:paraId="04419026" w14:textId="77777777" w:rsidR="00C47639" w:rsidRDefault="00C47639" w:rsidP="00C47639">
            <w:pPr>
              <w:spacing w:before="0" w:after="0"/>
            </w:pPr>
            <w:r w:rsidRPr="006E53F3">
              <w:rPr>
                <w:b/>
              </w:rPr>
              <w:t>Model used</w:t>
            </w:r>
            <w:r>
              <w:rPr>
                <w:b/>
              </w:rPr>
              <w:t xml:space="preserve">: </w:t>
            </w:r>
            <w:r>
              <w:t xml:space="preserve">it’s the same model than the one used to do the scenario 2. </w:t>
            </w:r>
          </w:p>
          <w:p w14:paraId="6243BCD9" w14:textId="77777777" w:rsidR="00C47639" w:rsidRDefault="00C47639" w:rsidP="00C47639">
            <w:pPr>
              <w:spacing w:before="0" w:after="0"/>
            </w:pPr>
          </w:p>
          <w:p w14:paraId="5BB0AFC4" w14:textId="77777777" w:rsidR="00C47639" w:rsidRPr="009440B8" w:rsidRDefault="00C47639" w:rsidP="00C47639">
            <w:pPr>
              <w:spacing w:before="0" w:after="0"/>
              <w:rPr>
                <w:sz w:val="18"/>
              </w:rPr>
            </w:pPr>
            <w:r w:rsidRPr="009440B8">
              <w:rPr>
                <w:sz w:val="18"/>
              </w:rPr>
              <w:t>Remark: the secondary dermal exposure were not assessed. It is covered by the primary dermal use exposure of the adult. The product would probably be rubbing on the child skin and the layer will not exceed the amount the adult will put on himself. So, BE has decided to follow the CAR which supposes that the dermal secondary exposure will be covered by the primary dermal exposure. Only inhalation exposure is relevant in this case.</w:t>
            </w:r>
          </w:p>
          <w:p w14:paraId="2453D15D" w14:textId="77777777" w:rsidR="00C47639" w:rsidRPr="006E53F3" w:rsidRDefault="00C47639" w:rsidP="00C47639">
            <w:pPr>
              <w:pStyle w:val="Standaard-Tabellen"/>
            </w:pPr>
          </w:p>
        </w:tc>
      </w:tr>
      <w:tr w:rsidR="00C47639" w:rsidRPr="00FD2055" w14:paraId="179E7D8C" w14:textId="77777777" w:rsidTr="00C47639">
        <w:trPr>
          <w:tblHeader/>
        </w:trPr>
        <w:tc>
          <w:tcPr>
            <w:tcW w:w="952" w:type="pct"/>
            <w:shd w:val="clear" w:color="auto" w:fill="BFBFBF" w:themeFill="background1" w:themeFillShade="BF"/>
            <w:tcMar>
              <w:top w:w="57" w:type="dxa"/>
              <w:bottom w:w="57" w:type="dxa"/>
            </w:tcMar>
          </w:tcPr>
          <w:p w14:paraId="42003EBF" w14:textId="77777777" w:rsidR="00C47639" w:rsidRPr="00713CB7" w:rsidRDefault="00C47639" w:rsidP="00C47639">
            <w:pPr>
              <w:pStyle w:val="Standaard-Tabellen"/>
              <w:rPr>
                <w:b/>
              </w:rPr>
            </w:pPr>
          </w:p>
        </w:tc>
        <w:tc>
          <w:tcPr>
            <w:tcW w:w="2197" w:type="pct"/>
            <w:shd w:val="clear" w:color="auto" w:fill="BFBFBF" w:themeFill="background1" w:themeFillShade="BF"/>
            <w:tcMar>
              <w:top w:w="57" w:type="dxa"/>
              <w:bottom w:w="57" w:type="dxa"/>
            </w:tcMar>
          </w:tcPr>
          <w:p w14:paraId="1E740E37" w14:textId="77777777" w:rsidR="00C47639" w:rsidRPr="00713CB7" w:rsidRDefault="00C47639" w:rsidP="00C47639">
            <w:pPr>
              <w:pStyle w:val="Standaard-Tabellen"/>
              <w:rPr>
                <w:b/>
              </w:rPr>
            </w:pPr>
            <w:r w:rsidRPr="00713CB7">
              <w:rPr>
                <w:b/>
              </w:rPr>
              <w:t>Parameters</w:t>
            </w:r>
          </w:p>
        </w:tc>
        <w:tc>
          <w:tcPr>
            <w:tcW w:w="1852" w:type="pct"/>
            <w:shd w:val="clear" w:color="auto" w:fill="BFBFBF" w:themeFill="background1" w:themeFillShade="BF"/>
            <w:tcMar>
              <w:top w:w="57" w:type="dxa"/>
              <w:bottom w:w="57" w:type="dxa"/>
            </w:tcMar>
          </w:tcPr>
          <w:p w14:paraId="65520BE0" w14:textId="77777777" w:rsidR="00C47639" w:rsidRPr="00713CB7" w:rsidRDefault="00C47639" w:rsidP="00C47639">
            <w:pPr>
              <w:pStyle w:val="Standaard-Tabellen"/>
              <w:rPr>
                <w:b/>
              </w:rPr>
            </w:pPr>
            <w:r w:rsidRPr="00713CB7">
              <w:rPr>
                <w:b/>
              </w:rPr>
              <w:t>Value</w:t>
            </w:r>
          </w:p>
        </w:tc>
      </w:tr>
      <w:tr w:rsidR="00C47639" w:rsidRPr="00FD2055" w14:paraId="5DDE33CD" w14:textId="77777777" w:rsidTr="00C47639">
        <w:trPr>
          <w:tblHeader/>
        </w:trPr>
        <w:tc>
          <w:tcPr>
            <w:tcW w:w="952" w:type="pct"/>
            <w:vMerge w:val="restart"/>
            <w:tcMar>
              <w:top w:w="57" w:type="dxa"/>
              <w:bottom w:w="57" w:type="dxa"/>
            </w:tcMar>
          </w:tcPr>
          <w:p w14:paraId="3643304A" w14:textId="77777777" w:rsidR="00C47639" w:rsidRPr="00713CB7" w:rsidRDefault="00C47639" w:rsidP="00C47639">
            <w:pPr>
              <w:pStyle w:val="Standaard-Tabellen"/>
            </w:pPr>
            <w:r w:rsidRPr="00713CB7">
              <w:t>For All categories</w:t>
            </w:r>
          </w:p>
        </w:tc>
        <w:tc>
          <w:tcPr>
            <w:tcW w:w="2197" w:type="pct"/>
            <w:shd w:val="clear" w:color="auto" w:fill="auto"/>
            <w:tcMar>
              <w:top w:w="57" w:type="dxa"/>
              <w:bottom w:w="57" w:type="dxa"/>
            </w:tcMar>
          </w:tcPr>
          <w:p w14:paraId="4AA044D9" w14:textId="77777777" w:rsidR="00C47639" w:rsidRPr="00713CB7" w:rsidRDefault="00C47639" w:rsidP="00C47639">
            <w:pPr>
              <w:pStyle w:val="Standaard-Tabellen"/>
            </w:pPr>
            <w:r w:rsidRPr="00713CB7">
              <w:t>Inhalation absorption</w:t>
            </w:r>
            <w:r w:rsidRPr="00713CB7">
              <w:rPr>
                <w:vertAlign w:val="superscript"/>
              </w:rPr>
              <w:t>1</w:t>
            </w:r>
          </w:p>
        </w:tc>
        <w:tc>
          <w:tcPr>
            <w:tcW w:w="1852" w:type="pct"/>
            <w:shd w:val="clear" w:color="auto" w:fill="auto"/>
            <w:tcMar>
              <w:top w:w="57" w:type="dxa"/>
              <w:bottom w:w="57" w:type="dxa"/>
            </w:tcMar>
          </w:tcPr>
          <w:p w14:paraId="017E1AFE" w14:textId="77777777" w:rsidR="00C47639" w:rsidRPr="00713CB7" w:rsidRDefault="00C47639" w:rsidP="00C47639">
            <w:pPr>
              <w:pStyle w:val="Standaard-Tabellen"/>
            </w:pPr>
            <w:r w:rsidRPr="00713CB7">
              <w:t>100</w:t>
            </w:r>
            <w:r>
              <w:t> </w:t>
            </w:r>
            <w:r w:rsidRPr="00713CB7">
              <w:t>%</w:t>
            </w:r>
          </w:p>
        </w:tc>
      </w:tr>
      <w:tr w:rsidR="00C47639" w:rsidRPr="00FD2055" w14:paraId="7E1DDA1F" w14:textId="77777777" w:rsidTr="00C47639">
        <w:trPr>
          <w:tblHeader/>
        </w:trPr>
        <w:tc>
          <w:tcPr>
            <w:tcW w:w="952" w:type="pct"/>
            <w:vMerge/>
            <w:tcMar>
              <w:top w:w="57" w:type="dxa"/>
              <w:bottom w:w="57" w:type="dxa"/>
            </w:tcMar>
          </w:tcPr>
          <w:p w14:paraId="30761BC9" w14:textId="77777777" w:rsidR="00C47639" w:rsidRPr="00713CB7" w:rsidRDefault="00C47639" w:rsidP="00C47639">
            <w:pPr>
              <w:pStyle w:val="Standaard-Tabellen"/>
            </w:pPr>
          </w:p>
        </w:tc>
        <w:tc>
          <w:tcPr>
            <w:tcW w:w="2197" w:type="pct"/>
            <w:shd w:val="clear" w:color="auto" w:fill="auto"/>
            <w:tcMar>
              <w:top w:w="57" w:type="dxa"/>
              <w:bottom w:w="57" w:type="dxa"/>
            </w:tcMar>
          </w:tcPr>
          <w:p w14:paraId="3E14CAEE" w14:textId="77777777" w:rsidR="00C47639" w:rsidRPr="00713CB7" w:rsidRDefault="00C47639" w:rsidP="00C47639">
            <w:pPr>
              <w:pStyle w:val="Standaard-Tabellen"/>
            </w:pPr>
            <w:r w:rsidRPr="00713CB7">
              <w:t>Oral absorption</w:t>
            </w:r>
            <w:r w:rsidRPr="00713CB7">
              <w:rPr>
                <w:vertAlign w:val="superscript"/>
              </w:rPr>
              <w:t>1</w:t>
            </w:r>
          </w:p>
        </w:tc>
        <w:tc>
          <w:tcPr>
            <w:tcW w:w="1852" w:type="pct"/>
            <w:shd w:val="clear" w:color="auto" w:fill="auto"/>
            <w:tcMar>
              <w:top w:w="57" w:type="dxa"/>
              <w:bottom w:w="57" w:type="dxa"/>
            </w:tcMar>
          </w:tcPr>
          <w:p w14:paraId="3EB9EF4B" w14:textId="77777777" w:rsidR="00C47639" w:rsidRPr="00713CB7" w:rsidRDefault="00C47639" w:rsidP="00C47639">
            <w:pPr>
              <w:pStyle w:val="Standaard-Tabellen"/>
            </w:pPr>
            <w:r w:rsidRPr="00713CB7">
              <w:t>100</w:t>
            </w:r>
            <w:r>
              <w:t> </w:t>
            </w:r>
            <w:r w:rsidRPr="00713CB7">
              <w:t>%</w:t>
            </w:r>
          </w:p>
        </w:tc>
      </w:tr>
      <w:tr w:rsidR="00C47639" w:rsidRPr="00FD2055" w14:paraId="68227CF4" w14:textId="77777777" w:rsidTr="00C47639">
        <w:trPr>
          <w:tblHeader/>
        </w:trPr>
        <w:tc>
          <w:tcPr>
            <w:tcW w:w="952" w:type="pct"/>
            <w:vMerge/>
            <w:tcMar>
              <w:top w:w="57" w:type="dxa"/>
              <w:bottom w:w="57" w:type="dxa"/>
            </w:tcMar>
          </w:tcPr>
          <w:p w14:paraId="5A45DB36" w14:textId="77777777" w:rsidR="00C47639" w:rsidRPr="00713CB7" w:rsidRDefault="00C47639" w:rsidP="00C47639">
            <w:pPr>
              <w:pStyle w:val="Standaard-Tabellen"/>
            </w:pPr>
          </w:p>
        </w:tc>
        <w:tc>
          <w:tcPr>
            <w:tcW w:w="2197" w:type="pct"/>
            <w:shd w:val="clear" w:color="auto" w:fill="auto"/>
            <w:tcMar>
              <w:top w:w="57" w:type="dxa"/>
              <w:bottom w:w="57" w:type="dxa"/>
            </w:tcMar>
          </w:tcPr>
          <w:p w14:paraId="44F77B83" w14:textId="77777777" w:rsidR="00C47639" w:rsidRPr="00713CB7" w:rsidRDefault="00C47639" w:rsidP="00C47639">
            <w:pPr>
              <w:pStyle w:val="Standaard-Tabellen"/>
            </w:pPr>
            <w:r w:rsidRPr="00713CB7">
              <w:t>% of active substance in biocidal product</w:t>
            </w:r>
            <w:r w:rsidRPr="00713CB7">
              <w:rPr>
                <w:vertAlign w:val="superscript"/>
              </w:rPr>
              <w:t>1</w:t>
            </w:r>
            <w:r w:rsidRPr="00713CB7">
              <w:t xml:space="preserve"> </w:t>
            </w:r>
          </w:p>
        </w:tc>
        <w:tc>
          <w:tcPr>
            <w:tcW w:w="1852" w:type="pct"/>
            <w:shd w:val="clear" w:color="auto" w:fill="auto"/>
            <w:tcMar>
              <w:top w:w="57" w:type="dxa"/>
              <w:bottom w:w="57" w:type="dxa"/>
            </w:tcMar>
          </w:tcPr>
          <w:p w14:paraId="654A22B6" w14:textId="77777777" w:rsidR="00C47639" w:rsidRPr="00713CB7" w:rsidRDefault="00C47639" w:rsidP="00C47639">
            <w:pPr>
              <w:pStyle w:val="Standaard-Tabellen"/>
            </w:pPr>
            <w:r w:rsidRPr="00713CB7">
              <w:t>20</w:t>
            </w:r>
            <w:r>
              <w:t> </w:t>
            </w:r>
            <w:r w:rsidRPr="00713CB7">
              <w:t>%</w:t>
            </w:r>
          </w:p>
        </w:tc>
      </w:tr>
      <w:tr w:rsidR="00C47639" w:rsidRPr="00FD2055" w14:paraId="3DCD197A" w14:textId="77777777" w:rsidTr="00C47639">
        <w:trPr>
          <w:tblHeader/>
        </w:trPr>
        <w:tc>
          <w:tcPr>
            <w:tcW w:w="952" w:type="pct"/>
            <w:vMerge/>
            <w:tcMar>
              <w:top w:w="57" w:type="dxa"/>
              <w:bottom w:w="57" w:type="dxa"/>
            </w:tcMar>
          </w:tcPr>
          <w:p w14:paraId="0E207882" w14:textId="77777777" w:rsidR="00C47639" w:rsidRPr="00713CB7" w:rsidRDefault="00C47639" w:rsidP="00C47639">
            <w:pPr>
              <w:pStyle w:val="Standaard-Tabellen"/>
            </w:pPr>
          </w:p>
        </w:tc>
        <w:tc>
          <w:tcPr>
            <w:tcW w:w="2197" w:type="pct"/>
            <w:shd w:val="clear" w:color="auto" w:fill="auto"/>
            <w:tcMar>
              <w:top w:w="57" w:type="dxa"/>
              <w:bottom w:w="57" w:type="dxa"/>
            </w:tcMar>
          </w:tcPr>
          <w:p w14:paraId="0EBBBADE" w14:textId="77777777" w:rsidR="00C47639" w:rsidRPr="00713CB7" w:rsidRDefault="00C47639" w:rsidP="00C47639">
            <w:pPr>
              <w:pStyle w:val="Standaard-Tabellen"/>
            </w:pPr>
            <w:r w:rsidRPr="00713CB7">
              <w:t>Indicative value for inhalation</w:t>
            </w:r>
            <w:r w:rsidRPr="00713CB7">
              <w:rPr>
                <w:vertAlign w:val="superscript"/>
              </w:rPr>
              <w:t>2</w:t>
            </w:r>
          </w:p>
        </w:tc>
        <w:tc>
          <w:tcPr>
            <w:tcW w:w="1852" w:type="pct"/>
            <w:shd w:val="clear" w:color="auto" w:fill="auto"/>
            <w:tcMar>
              <w:top w:w="57" w:type="dxa"/>
              <w:bottom w:w="57" w:type="dxa"/>
            </w:tcMar>
          </w:tcPr>
          <w:p w14:paraId="52FC8D7F" w14:textId="77777777" w:rsidR="00C47639" w:rsidRPr="00713CB7" w:rsidRDefault="00C47639" w:rsidP="00C47639">
            <w:pPr>
              <w:pStyle w:val="Standaard-Tabellen"/>
            </w:pPr>
            <w:r>
              <w:t>10.</w:t>
            </w:r>
            <w:r w:rsidRPr="00713CB7">
              <w:t>5</w:t>
            </w:r>
            <w:r>
              <w:t> </w:t>
            </w:r>
            <w:r w:rsidRPr="00713CB7">
              <w:t>mg/m</w:t>
            </w:r>
            <w:r>
              <w:t>³</w:t>
            </w:r>
          </w:p>
        </w:tc>
      </w:tr>
      <w:tr w:rsidR="00C47639" w:rsidRPr="00FD2055" w14:paraId="625125CE" w14:textId="77777777" w:rsidTr="00C47639">
        <w:trPr>
          <w:tblHeader/>
        </w:trPr>
        <w:tc>
          <w:tcPr>
            <w:tcW w:w="952" w:type="pct"/>
            <w:vMerge/>
            <w:tcMar>
              <w:top w:w="57" w:type="dxa"/>
              <w:bottom w:w="57" w:type="dxa"/>
            </w:tcMar>
          </w:tcPr>
          <w:p w14:paraId="00573D15" w14:textId="77777777" w:rsidR="00C47639" w:rsidRPr="00713CB7" w:rsidRDefault="00C47639" w:rsidP="00C47639">
            <w:pPr>
              <w:pStyle w:val="Standaard-Tabellen"/>
            </w:pPr>
          </w:p>
        </w:tc>
        <w:tc>
          <w:tcPr>
            <w:tcW w:w="2197" w:type="pct"/>
            <w:shd w:val="clear" w:color="auto" w:fill="auto"/>
            <w:tcMar>
              <w:top w:w="57" w:type="dxa"/>
              <w:bottom w:w="57" w:type="dxa"/>
            </w:tcMar>
          </w:tcPr>
          <w:p w14:paraId="2DCF075A" w14:textId="77777777" w:rsidR="00C47639" w:rsidRPr="00713CB7" w:rsidRDefault="00C47639" w:rsidP="00C47639">
            <w:pPr>
              <w:pStyle w:val="Standaard-Tabellen"/>
            </w:pPr>
            <w:r w:rsidRPr="00713CB7">
              <w:t>Body weight</w:t>
            </w:r>
            <w:r w:rsidRPr="00713CB7">
              <w:rPr>
                <w:vertAlign w:val="superscript"/>
              </w:rPr>
              <w:t>1</w:t>
            </w:r>
            <w:r w:rsidRPr="00713CB7">
              <w:t xml:space="preserve"> </w:t>
            </w:r>
          </w:p>
        </w:tc>
        <w:tc>
          <w:tcPr>
            <w:tcW w:w="1852" w:type="pct"/>
            <w:shd w:val="clear" w:color="auto" w:fill="auto"/>
            <w:tcMar>
              <w:top w:w="57" w:type="dxa"/>
              <w:bottom w:w="57" w:type="dxa"/>
            </w:tcMar>
          </w:tcPr>
          <w:p w14:paraId="7A59CE6D" w14:textId="77777777" w:rsidR="00C47639" w:rsidRPr="00713CB7" w:rsidRDefault="00C47639" w:rsidP="00C47639">
            <w:pPr>
              <w:pStyle w:val="Standaard-Tabellen"/>
            </w:pPr>
            <w:r>
              <w:t>60 </w:t>
            </w:r>
            <w:r w:rsidRPr="00713CB7">
              <w:t>kg</w:t>
            </w:r>
          </w:p>
        </w:tc>
      </w:tr>
      <w:tr w:rsidR="00C47639" w:rsidRPr="00FD2055" w14:paraId="16618EBF" w14:textId="77777777" w:rsidTr="00C47639">
        <w:trPr>
          <w:tblHeader/>
        </w:trPr>
        <w:tc>
          <w:tcPr>
            <w:tcW w:w="952" w:type="pct"/>
            <w:vMerge/>
            <w:tcMar>
              <w:top w:w="57" w:type="dxa"/>
              <w:bottom w:w="57" w:type="dxa"/>
            </w:tcMar>
          </w:tcPr>
          <w:p w14:paraId="5E243390" w14:textId="77777777" w:rsidR="00C47639" w:rsidRPr="00713CB7" w:rsidRDefault="00C47639" w:rsidP="00C47639">
            <w:pPr>
              <w:pStyle w:val="Standaard-Tabellen"/>
            </w:pPr>
          </w:p>
        </w:tc>
        <w:tc>
          <w:tcPr>
            <w:tcW w:w="2197" w:type="pct"/>
            <w:shd w:val="clear" w:color="auto" w:fill="auto"/>
            <w:tcMar>
              <w:top w:w="57" w:type="dxa"/>
              <w:bottom w:w="57" w:type="dxa"/>
            </w:tcMar>
          </w:tcPr>
          <w:p w14:paraId="2DDB1273" w14:textId="77777777" w:rsidR="00C47639" w:rsidRPr="00713CB7" w:rsidRDefault="00C47639" w:rsidP="00C47639">
            <w:pPr>
              <w:pStyle w:val="Standaard-Tabellen"/>
            </w:pPr>
            <w:r w:rsidRPr="00713CB7">
              <w:t>Respiration rate [m</w:t>
            </w:r>
            <w:r w:rsidRPr="00713CB7">
              <w:rPr>
                <w:vertAlign w:val="superscript"/>
              </w:rPr>
              <w:t>3</w:t>
            </w:r>
            <w:r w:rsidRPr="00713CB7">
              <w:t>/air/hour]</w:t>
            </w:r>
            <w:r w:rsidRPr="00713CB7">
              <w:rPr>
                <w:vertAlign w:val="superscript"/>
              </w:rPr>
              <w:t>1</w:t>
            </w:r>
          </w:p>
        </w:tc>
        <w:tc>
          <w:tcPr>
            <w:tcW w:w="1852" w:type="pct"/>
            <w:shd w:val="clear" w:color="auto" w:fill="auto"/>
            <w:tcMar>
              <w:top w:w="57" w:type="dxa"/>
              <w:bottom w:w="57" w:type="dxa"/>
            </w:tcMar>
          </w:tcPr>
          <w:p w14:paraId="485F9846" w14:textId="77777777" w:rsidR="00C47639" w:rsidRPr="00713CB7" w:rsidRDefault="00C47639" w:rsidP="00C47639">
            <w:pPr>
              <w:pStyle w:val="Standaard-Tabellen"/>
            </w:pPr>
            <w:r>
              <w:t>1.</w:t>
            </w:r>
            <w:r w:rsidRPr="00713CB7">
              <w:t>25</w:t>
            </w:r>
            <w:r>
              <w:t> </w:t>
            </w:r>
            <w:r w:rsidRPr="00713CB7">
              <w:t>m³/h</w:t>
            </w:r>
          </w:p>
        </w:tc>
      </w:tr>
      <w:tr w:rsidR="00C47639" w:rsidRPr="00FD2055" w14:paraId="7B592572" w14:textId="77777777" w:rsidTr="00C47639">
        <w:trPr>
          <w:tblHeader/>
        </w:trPr>
        <w:tc>
          <w:tcPr>
            <w:tcW w:w="952" w:type="pct"/>
            <w:vMerge/>
            <w:tcMar>
              <w:top w:w="57" w:type="dxa"/>
              <w:bottom w:w="57" w:type="dxa"/>
            </w:tcMar>
          </w:tcPr>
          <w:p w14:paraId="37ADFCA5" w14:textId="77777777" w:rsidR="00C47639" w:rsidRPr="00713CB7" w:rsidRDefault="00C47639" w:rsidP="00C47639">
            <w:pPr>
              <w:pStyle w:val="Standaard-Tabellen"/>
            </w:pPr>
          </w:p>
        </w:tc>
        <w:tc>
          <w:tcPr>
            <w:tcW w:w="2197" w:type="pct"/>
            <w:shd w:val="clear" w:color="auto" w:fill="auto"/>
            <w:tcMar>
              <w:top w:w="57" w:type="dxa"/>
              <w:bottom w:w="57" w:type="dxa"/>
            </w:tcMar>
          </w:tcPr>
          <w:p w14:paraId="28C215D1" w14:textId="77777777" w:rsidR="00C47639" w:rsidRPr="00713CB7" w:rsidRDefault="00C47639" w:rsidP="00C47639">
            <w:pPr>
              <w:pStyle w:val="Standaard-Tabellen"/>
            </w:pPr>
            <w:r w:rsidRPr="00713CB7">
              <w:t>Spray duration</w:t>
            </w:r>
            <w:r w:rsidRPr="00713CB7">
              <w:rPr>
                <w:vertAlign w:val="superscript"/>
              </w:rPr>
              <w:t>3</w:t>
            </w:r>
          </w:p>
        </w:tc>
        <w:tc>
          <w:tcPr>
            <w:tcW w:w="1852" w:type="pct"/>
            <w:shd w:val="clear" w:color="auto" w:fill="auto"/>
            <w:tcMar>
              <w:top w:w="57" w:type="dxa"/>
              <w:bottom w:w="57" w:type="dxa"/>
            </w:tcMar>
          </w:tcPr>
          <w:p w14:paraId="38CBBE87" w14:textId="77777777" w:rsidR="00C47639" w:rsidRPr="00713CB7" w:rsidRDefault="00C47639" w:rsidP="00C47639">
            <w:pPr>
              <w:pStyle w:val="Standaard-Tabellen"/>
            </w:pPr>
            <w:r>
              <w:t>4 </w:t>
            </w:r>
            <w:r w:rsidRPr="00713CB7">
              <w:t xml:space="preserve">minutes </w:t>
            </w:r>
          </w:p>
        </w:tc>
      </w:tr>
      <w:tr w:rsidR="00C47639" w:rsidRPr="00FD2055" w14:paraId="7DD9D555" w14:textId="77777777" w:rsidTr="00C47639">
        <w:trPr>
          <w:tblHeader/>
        </w:trPr>
        <w:tc>
          <w:tcPr>
            <w:tcW w:w="952" w:type="pct"/>
            <w:tcMar>
              <w:top w:w="57" w:type="dxa"/>
              <w:bottom w:w="57" w:type="dxa"/>
            </w:tcMar>
          </w:tcPr>
          <w:p w14:paraId="25FE6F8A" w14:textId="77777777" w:rsidR="00C47639" w:rsidRPr="00713CB7" w:rsidRDefault="00C47639" w:rsidP="00C47639">
            <w:pPr>
              <w:pStyle w:val="Standaard-Tabellen"/>
            </w:pPr>
            <w:r w:rsidRPr="00713CB7">
              <w:t>Tier 1- Adult</w:t>
            </w:r>
          </w:p>
          <w:p w14:paraId="2D09D4FB" w14:textId="77777777" w:rsidR="00C47639" w:rsidRPr="00713CB7" w:rsidRDefault="00C47639" w:rsidP="00C47639">
            <w:pPr>
              <w:pStyle w:val="Standaard-Tabellen"/>
            </w:pPr>
          </w:p>
        </w:tc>
        <w:tc>
          <w:tcPr>
            <w:tcW w:w="2197" w:type="pct"/>
            <w:shd w:val="clear" w:color="auto" w:fill="auto"/>
            <w:tcMar>
              <w:top w:w="57" w:type="dxa"/>
              <w:bottom w:w="57" w:type="dxa"/>
            </w:tcMar>
          </w:tcPr>
          <w:p w14:paraId="6D3C5E79" w14:textId="77777777" w:rsidR="00C47639" w:rsidRPr="00713CB7" w:rsidRDefault="00C47639" w:rsidP="00C47639">
            <w:pPr>
              <w:pStyle w:val="Standaard-Tabellen"/>
            </w:pPr>
            <w:r w:rsidRPr="00713CB7">
              <w:t>Number of application / day</w:t>
            </w:r>
            <w:r w:rsidRPr="00713CB7">
              <w:rPr>
                <w:vertAlign w:val="superscript"/>
              </w:rPr>
              <w:t>1</w:t>
            </w:r>
          </w:p>
        </w:tc>
        <w:tc>
          <w:tcPr>
            <w:tcW w:w="1852" w:type="pct"/>
            <w:shd w:val="clear" w:color="auto" w:fill="auto"/>
            <w:tcMar>
              <w:top w:w="57" w:type="dxa"/>
              <w:bottom w:w="57" w:type="dxa"/>
            </w:tcMar>
          </w:tcPr>
          <w:p w14:paraId="40013820" w14:textId="77777777" w:rsidR="00C47639" w:rsidRPr="00713CB7" w:rsidRDefault="00C47639" w:rsidP="00C47639">
            <w:pPr>
              <w:pStyle w:val="Standaard-Tabellen"/>
            </w:pPr>
            <w:r>
              <w:t>7 </w:t>
            </w:r>
            <w:r w:rsidRPr="00713CB7">
              <w:t>(3</w:t>
            </w:r>
            <w:r>
              <w:t> </w:t>
            </w:r>
            <w:proofErr w:type="spellStart"/>
            <w:r>
              <w:t>appl</w:t>
            </w:r>
            <w:proofErr w:type="spellEnd"/>
            <w:r>
              <w:t>/d for a</w:t>
            </w:r>
            <w:r w:rsidRPr="00713CB7">
              <w:t>dult and</w:t>
            </w:r>
          </w:p>
          <w:p w14:paraId="09D2FA52" w14:textId="77777777" w:rsidR="00C47639" w:rsidRPr="00713CB7" w:rsidRDefault="00C47639" w:rsidP="00C47639">
            <w:pPr>
              <w:pStyle w:val="Standaard-Tabellen"/>
            </w:pPr>
            <w:r w:rsidRPr="00713CB7">
              <w:t xml:space="preserve">2 </w:t>
            </w:r>
            <w:proofErr w:type="spellStart"/>
            <w:r w:rsidRPr="00713CB7">
              <w:t>appl</w:t>
            </w:r>
            <w:proofErr w:type="spellEnd"/>
            <w:r w:rsidRPr="00713CB7">
              <w:t>/d for each of the 2 children)</w:t>
            </w:r>
          </w:p>
        </w:tc>
      </w:tr>
    </w:tbl>
    <w:p w14:paraId="28DA0AE7" w14:textId="77777777" w:rsidR="00C47639" w:rsidRPr="00713CB7" w:rsidRDefault="00C47639" w:rsidP="00C47639">
      <w:pPr>
        <w:pStyle w:val="Voetnoot"/>
      </w:pPr>
      <w:r w:rsidRPr="00713CB7">
        <w:rPr>
          <w:rStyle w:val="Appelnotedebasdep"/>
          <w:position w:val="4"/>
          <w:vertAlign w:val="superscript"/>
        </w:rPr>
        <w:t>1</w:t>
      </w:r>
      <w:r w:rsidRPr="00713CB7">
        <w:rPr>
          <w:rStyle w:val="Appelnotedebasdep"/>
          <w:position w:val="4"/>
        </w:rPr>
        <w:t xml:space="preserve"> General information, see justification above</w:t>
      </w:r>
    </w:p>
    <w:p w14:paraId="4FE0FE7C" w14:textId="77777777" w:rsidR="00C47639" w:rsidRPr="00713CB7" w:rsidRDefault="00C47639" w:rsidP="00C47639">
      <w:pPr>
        <w:pStyle w:val="Voetnoot"/>
      </w:pPr>
      <w:r w:rsidRPr="00713CB7">
        <w:rPr>
          <w:vertAlign w:val="superscript"/>
        </w:rPr>
        <w:t>2</w:t>
      </w:r>
      <w:r w:rsidRPr="00713CB7">
        <w:t xml:space="preserve"> Model used: “Consumer spraying and dusting model 2 - Hand-held trigger spray” Biocide Human Health Exposure Methodology, p. 220</w:t>
      </w:r>
    </w:p>
    <w:p w14:paraId="058FA83A" w14:textId="77777777" w:rsidR="00C47639" w:rsidRPr="00713CB7" w:rsidRDefault="00C47639" w:rsidP="00C47639">
      <w:pPr>
        <w:pStyle w:val="Voetnoot"/>
      </w:pPr>
      <w:r w:rsidRPr="00713CB7">
        <w:rPr>
          <w:vertAlign w:val="superscript"/>
        </w:rPr>
        <w:t>3</w:t>
      </w:r>
      <w:r w:rsidRPr="00713CB7">
        <w:t xml:space="preserve"> CAR of IR3535</w:t>
      </w:r>
      <w:r w:rsidRPr="0004367B">
        <w:rPr>
          <w:vertAlign w:val="superscript"/>
        </w:rPr>
        <w:t>®</w:t>
      </w:r>
      <w:r w:rsidRPr="00713CB7">
        <w:t xml:space="preserve"> (expert judgement) </w:t>
      </w:r>
    </w:p>
    <w:p w14:paraId="73356FFD" w14:textId="77777777" w:rsidR="00C47639" w:rsidRPr="00FD2055" w:rsidRDefault="00C47639" w:rsidP="00C47639"/>
    <w:p w14:paraId="64164295" w14:textId="77777777" w:rsidR="00C47639" w:rsidRPr="00C20709" w:rsidRDefault="00C47639" w:rsidP="00C47639">
      <w:pPr>
        <w:pStyle w:val="Titre7"/>
        <w:rPr>
          <w:lang w:val="en-US"/>
        </w:rPr>
      </w:pPr>
      <w:r w:rsidRPr="00C20709">
        <w:rPr>
          <w:lang w:val="en-US"/>
        </w:rPr>
        <w:lastRenderedPageBreak/>
        <w:t xml:space="preserve">Calculations for scenario </w:t>
      </w:r>
      <w:r>
        <w:rPr>
          <w:lang w:val="en-US"/>
        </w:rPr>
        <w:t>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04"/>
        <w:gridCol w:w="1285"/>
        <w:gridCol w:w="2148"/>
        <w:gridCol w:w="1810"/>
        <w:gridCol w:w="1849"/>
      </w:tblGrid>
      <w:tr w:rsidR="00C47639" w:rsidRPr="00713CB7" w14:paraId="722023A9" w14:textId="77777777" w:rsidTr="00C47639">
        <w:trPr>
          <w:cantSplit/>
          <w:trHeight w:val="412"/>
          <w:tblHeader/>
        </w:trPr>
        <w:tc>
          <w:tcPr>
            <w:tcW w:w="5000" w:type="pct"/>
            <w:gridSpan w:val="5"/>
            <w:shd w:val="clear" w:color="auto" w:fill="FFFFCC"/>
          </w:tcPr>
          <w:p w14:paraId="450529C4" w14:textId="77777777" w:rsidR="00C47639" w:rsidRPr="00713CB7" w:rsidRDefault="00C47639" w:rsidP="00C47639">
            <w:pPr>
              <w:pStyle w:val="Standaard-Tabellen"/>
              <w:jc w:val="center"/>
              <w:rPr>
                <w:b/>
              </w:rPr>
            </w:pPr>
            <w:r w:rsidRPr="00713CB7">
              <w:rPr>
                <w:b/>
              </w:rPr>
              <w:t>Summary table: estimated exposure for treating two children and himself/herself</w:t>
            </w:r>
          </w:p>
        </w:tc>
      </w:tr>
      <w:tr w:rsidR="00C47639" w:rsidRPr="00713CB7" w14:paraId="5ECB0A46" w14:textId="77777777" w:rsidTr="00C47639">
        <w:trPr>
          <w:cantSplit/>
          <w:trHeight w:val="625"/>
          <w:tblHeader/>
        </w:trPr>
        <w:tc>
          <w:tcPr>
            <w:tcW w:w="1226" w:type="pct"/>
            <w:shd w:val="clear" w:color="auto" w:fill="BFBFBF" w:themeFill="background1" w:themeFillShade="BF"/>
          </w:tcPr>
          <w:p w14:paraId="5604F3F8" w14:textId="77777777" w:rsidR="00C47639" w:rsidRPr="00713CB7" w:rsidRDefault="00C47639" w:rsidP="00C47639">
            <w:pPr>
              <w:pStyle w:val="Standaard-Tabellen"/>
              <w:rPr>
                <w:b/>
              </w:rPr>
            </w:pPr>
            <w:r w:rsidRPr="00713CB7">
              <w:rPr>
                <w:b/>
              </w:rPr>
              <w:t>Exposure scenario</w:t>
            </w:r>
          </w:p>
        </w:tc>
        <w:tc>
          <w:tcPr>
            <w:tcW w:w="684" w:type="pct"/>
            <w:shd w:val="clear" w:color="auto" w:fill="BFBFBF" w:themeFill="background1" w:themeFillShade="BF"/>
          </w:tcPr>
          <w:p w14:paraId="17104863" w14:textId="77777777" w:rsidR="00C47639" w:rsidRPr="00713CB7" w:rsidRDefault="00C47639" w:rsidP="00C47639">
            <w:pPr>
              <w:pStyle w:val="Standaard-Tabellen"/>
              <w:rPr>
                <w:b/>
              </w:rPr>
            </w:pPr>
            <w:r w:rsidRPr="00713CB7">
              <w:rPr>
                <w:b/>
              </w:rPr>
              <w:t>Tier/PPE</w:t>
            </w:r>
          </w:p>
        </w:tc>
        <w:tc>
          <w:tcPr>
            <w:tcW w:w="1143" w:type="pct"/>
            <w:shd w:val="clear" w:color="auto" w:fill="BFBFBF" w:themeFill="background1" w:themeFillShade="BF"/>
          </w:tcPr>
          <w:p w14:paraId="66B5C8E4" w14:textId="77777777" w:rsidR="00C47639" w:rsidRPr="00713CB7" w:rsidRDefault="00C47639" w:rsidP="00C47639">
            <w:pPr>
              <w:pStyle w:val="Standaard-Tabellen"/>
              <w:rPr>
                <w:b/>
              </w:rPr>
            </w:pPr>
            <w:r w:rsidRPr="00713CB7">
              <w:rPr>
                <w:b/>
              </w:rPr>
              <w:t>Estimated inhalation uptake</w:t>
            </w:r>
          </w:p>
        </w:tc>
        <w:tc>
          <w:tcPr>
            <w:tcW w:w="963" w:type="pct"/>
            <w:shd w:val="clear" w:color="auto" w:fill="BFBFBF" w:themeFill="background1" w:themeFillShade="BF"/>
            <w:tcMar>
              <w:top w:w="57" w:type="dxa"/>
              <w:bottom w:w="57" w:type="dxa"/>
            </w:tcMar>
          </w:tcPr>
          <w:p w14:paraId="66E8C53E" w14:textId="77777777" w:rsidR="00C47639" w:rsidRPr="00713CB7" w:rsidRDefault="00C47639" w:rsidP="00C47639">
            <w:pPr>
              <w:pStyle w:val="Standaard-Tabellen"/>
              <w:rPr>
                <w:b/>
              </w:rPr>
            </w:pPr>
            <w:r w:rsidRPr="00713CB7">
              <w:rPr>
                <w:b/>
              </w:rPr>
              <w:t>Estimated oral uptake</w:t>
            </w:r>
          </w:p>
        </w:tc>
        <w:tc>
          <w:tcPr>
            <w:tcW w:w="984" w:type="pct"/>
            <w:shd w:val="clear" w:color="auto" w:fill="BFBFBF" w:themeFill="background1" w:themeFillShade="BF"/>
          </w:tcPr>
          <w:p w14:paraId="0AE3C361" w14:textId="77777777" w:rsidR="00C47639" w:rsidRPr="00713CB7" w:rsidRDefault="00C47639" w:rsidP="00C47639">
            <w:pPr>
              <w:pStyle w:val="Standaard-Tabellen"/>
              <w:rPr>
                <w:b/>
              </w:rPr>
            </w:pPr>
            <w:r w:rsidRPr="00713CB7">
              <w:rPr>
                <w:b/>
              </w:rPr>
              <w:t>Estimated total uptake</w:t>
            </w:r>
          </w:p>
        </w:tc>
      </w:tr>
      <w:tr w:rsidR="00C47639" w:rsidRPr="00713CB7" w14:paraId="0477282F" w14:textId="77777777" w:rsidTr="00C47639">
        <w:trPr>
          <w:cantSplit/>
          <w:trHeight w:val="611"/>
          <w:tblHeader/>
        </w:trPr>
        <w:tc>
          <w:tcPr>
            <w:tcW w:w="1226" w:type="pct"/>
            <w:shd w:val="clear" w:color="auto" w:fill="auto"/>
            <w:vAlign w:val="center"/>
          </w:tcPr>
          <w:p w14:paraId="2E55F573" w14:textId="77777777" w:rsidR="00C47639" w:rsidRPr="00713CB7" w:rsidRDefault="00C47639" w:rsidP="00C47639">
            <w:pPr>
              <w:pStyle w:val="Standaard-Tabellen"/>
            </w:pPr>
            <w:r w:rsidRPr="00713CB7">
              <w:t>Scenario 4 – ADULT</w:t>
            </w:r>
          </w:p>
          <w:p w14:paraId="32B60456" w14:textId="77777777" w:rsidR="00C47639" w:rsidRPr="00713CB7" w:rsidRDefault="00C47639" w:rsidP="00C47639">
            <w:pPr>
              <w:pStyle w:val="Standaard-Tabellen"/>
            </w:pPr>
            <w:r w:rsidRPr="00713CB7">
              <w:t xml:space="preserve">(2 </w:t>
            </w:r>
            <w:proofErr w:type="spellStart"/>
            <w:r w:rsidRPr="00713CB7">
              <w:t>appl</w:t>
            </w:r>
            <w:proofErr w:type="spellEnd"/>
            <w:r w:rsidRPr="00713CB7">
              <w:t xml:space="preserve">/child and 3 </w:t>
            </w:r>
            <w:proofErr w:type="spellStart"/>
            <w:r w:rsidRPr="00713CB7">
              <w:t>appl</w:t>
            </w:r>
            <w:proofErr w:type="spellEnd"/>
            <w:r w:rsidRPr="00713CB7">
              <w:t>/himself)</w:t>
            </w:r>
          </w:p>
        </w:tc>
        <w:tc>
          <w:tcPr>
            <w:tcW w:w="684" w:type="pct"/>
            <w:vAlign w:val="center"/>
          </w:tcPr>
          <w:p w14:paraId="0BD11CA1" w14:textId="77777777" w:rsidR="00C47639" w:rsidRPr="00713CB7" w:rsidRDefault="00C47639" w:rsidP="00C47639">
            <w:pPr>
              <w:pStyle w:val="Standaard-Tabellen"/>
            </w:pPr>
            <w:r w:rsidRPr="00713CB7">
              <w:t>Tier 1 / no PPE</w:t>
            </w:r>
          </w:p>
        </w:tc>
        <w:tc>
          <w:tcPr>
            <w:tcW w:w="1143" w:type="pct"/>
            <w:vAlign w:val="center"/>
          </w:tcPr>
          <w:p w14:paraId="7044079B" w14:textId="77777777" w:rsidR="00C47639" w:rsidRPr="00713CB7" w:rsidRDefault="00C47639" w:rsidP="00C47639">
            <w:pPr>
              <w:pStyle w:val="Standaard-Tabellen"/>
            </w:pPr>
            <w:r w:rsidRPr="00713CB7">
              <w:t>0</w:t>
            </w:r>
            <w:r>
              <w:t>.</w:t>
            </w:r>
            <w:r w:rsidRPr="00713CB7">
              <w:t xml:space="preserve">00229 mg/kg </w:t>
            </w:r>
            <w:proofErr w:type="spellStart"/>
            <w:r w:rsidRPr="00713CB7">
              <w:t>bw</w:t>
            </w:r>
            <w:proofErr w:type="spellEnd"/>
          </w:p>
        </w:tc>
        <w:tc>
          <w:tcPr>
            <w:tcW w:w="963" w:type="pct"/>
            <w:shd w:val="clear" w:color="auto" w:fill="auto"/>
            <w:tcMar>
              <w:top w:w="57" w:type="dxa"/>
              <w:bottom w:w="57" w:type="dxa"/>
            </w:tcMar>
            <w:vAlign w:val="center"/>
          </w:tcPr>
          <w:p w14:paraId="7CE4AB35" w14:textId="77777777" w:rsidR="00C47639" w:rsidRPr="00713CB7" w:rsidRDefault="00C47639" w:rsidP="00C47639">
            <w:pPr>
              <w:pStyle w:val="Standaard-Tabellen"/>
            </w:pPr>
            <w:r w:rsidRPr="00713CB7">
              <w:t>0</w:t>
            </w:r>
            <w:r>
              <w:t>.</w:t>
            </w:r>
            <w:r w:rsidRPr="00713CB7">
              <w:t xml:space="preserve">0181 mg/kg </w:t>
            </w:r>
            <w:proofErr w:type="spellStart"/>
            <w:r w:rsidRPr="00713CB7">
              <w:t>bw</w:t>
            </w:r>
            <w:proofErr w:type="spellEnd"/>
          </w:p>
        </w:tc>
        <w:tc>
          <w:tcPr>
            <w:tcW w:w="984" w:type="pct"/>
            <w:vAlign w:val="center"/>
          </w:tcPr>
          <w:p w14:paraId="6B8911A7" w14:textId="77777777" w:rsidR="00C47639" w:rsidRPr="00713CB7" w:rsidRDefault="00C47639" w:rsidP="00C47639">
            <w:pPr>
              <w:pStyle w:val="Standaard-Tabellen"/>
            </w:pPr>
            <w:r w:rsidRPr="00713CB7">
              <w:t>0</w:t>
            </w:r>
            <w:r>
              <w:t>.</w:t>
            </w:r>
            <w:r w:rsidRPr="00713CB7">
              <w:t xml:space="preserve">0204 mg/kg </w:t>
            </w:r>
            <w:proofErr w:type="spellStart"/>
            <w:r w:rsidRPr="00713CB7">
              <w:t>bw</w:t>
            </w:r>
            <w:proofErr w:type="spellEnd"/>
          </w:p>
        </w:tc>
      </w:tr>
    </w:tbl>
    <w:p w14:paraId="6A4D57EE" w14:textId="77777777" w:rsidR="00C47639" w:rsidRDefault="00C47639" w:rsidP="00C47639"/>
    <w:p w14:paraId="343342E4" w14:textId="77777777" w:rsidR="00C47639" w:rsidRDefault="00C47639" w:rsidP="00C47639">
      <w:pPr>
        <w:spacing w:before="0" w:after="160" w:line="259" w:lineRule="auto"/>
      </w:pPr>
      <w:r>
        <w:br w:type="page"/>
      </w:r>
    </w:p>
    <w:p w14:paraId="2D9A0137" w14:textId="77777777" w:rsidR="00C47639" w:rsidRPr="00532A83" w:rsidRDefault="00C47639" w:rsidP="00C47639">
      <w:pPr>
        <w:pStyle w:val="Titre6"/>
        <w:rPr>
          <w:lang w:val="en-US"/>
        </w:rPr>
      </w:pPr>
      <w:r w:rsidRPr="00532A83">
        <w:rPr>
          <w:lang w:val="en-US"/>
        </w:rPr>
        <w:lastRenderedPageBreak/>
        <w:t xml:space="preserve">Scenario </w:t>
      </w:r>
      <w:r>
        <w:rPr>
          <w:lang w:val="en-US"/>
        </w:rPr>
        <w:t xml:space="preserve">5: </w:t>
      </w:r>
      <w:r w:rsidRPr="007F63D0">
        <w:rPr>
          <w:lang w:val="en-US"/>
        </w:rPr>
        <w:t xml:space="preserve">Inhalation of </w:t>
      </w:r>
      <w:proofErr w:type="spellStart"/>
      <w:r w:rsidRPr="007F63D0">
        <w:rPr>
          <w:lang w:val="en-US"/>
        </w:rPr>
        <w:t>volatilised</w:t>
      </w:r>
      <w:proofErr w:type="spellEnd"/>
      <w:r w:rsidRPr="007F63D0">
        <w:rPr>
          <w:lang w:val="en-US"/>
        </w:rPr>
        <w:t xml:space="preserve"> residues after application (</w:t>
      </w:r>
      <w:proofErr w:type="spellStart"/>
      <w:r w:rsidRPr="007F63D0">
        <w:rPr>
          <w:lang w:val="en-US"/>
        </w:rPr>
        <w:t>inhalative</w:t>
      </w:r>
      <w:proofErr w:type="spellEnd"/>
      <w:r w:rsidRPr="007F63D0">
        <w:rPr>
          <w:lang w:val="en-US"/>
        </w:rPr>
        <w:t xml:space="preserve"> exposure)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68"/>
        <w:gridCol w:w="4467"/>
        <w:gridCol w:w="2161"/>
      </w:tblGrid>
      <w:tr w:rsidR="00C47639" w:rsidRPr="00332AD5" w14:paraId="52B0D06B" w14:textId="77777777" w:rsidTr="00C47639">
        <w:trPr>
          <w:tblHeader/>
        </w:trPr>
        <w:tc>
          <w:tcPr>
            <w:tcW w:w="5000" w:type="pct"/>
            <w:gridSpan w:val="3"/>
            <w:shd w:val="clear" w:color="auto" w:fill="FFFFCC"/>
            <w:tcMar>
              <w:top w:w="57" w:type="dxa"/>
              <w:bottom w:w="57" w:type="dxa"/>
            </w:tcMar>
          </w:tcPr>
          <w:p w14:paraId="082D7366" w14:textId="77777777" w:rsidR="00C47639" w:rsidRPr="00332AD5" w:rsidRDefault="00C47639" w:rsidP="00C47639">
            <w:pPr>
              <w:pStyle w:val="Standaard-Tabellen"/>
              <w:jc w:val="center"/>
              <w:rPr>
                <w:b/>
              </w:rPr>
            </w:pPr>
            <w:r w:rsidRPr="00332AD5">
              <w:rPr>
                <w:b/>
              </w:rPr>
              <w:t xml:space="preserve">Description of Scenario </w:t>
            </w:r>
            <w:r>
              <w:rPr>
                <w:b/>
              </w:rPr>
              <w:t>5</w:t>
            </w:r>
          </w:p>
        </w:tc>
      </w:tr>
      <w:tr w:rsidR="00C47639" w:rsidRPr="00FD2055" w14:paraId="2A605C33" w14:textId="77777777" w:rsidTr="00C47639">
        <w:trPr>
          <w:tblHeader/>
        </w:trPr>
        <w:tc>
          <w:tcPr>
            <w:tcW w:w="5000" w:type="pct"/>
            <w:gridSpan w:val="3"/>
            <w:shd w:val="clear" w:color="auto" w:fill="auto"/>
            <w:tcMar>
              <w:top w:w="57" w:type="dxa"/>
              <w:bottom w:w="57" w:type="dxa"/>
            </w:tcMar>
          </w:tcPr>
          <w:p w14:paraId="643873D5" w14:textId="77777777" w:rsidR="00C47639" w:rsidRPr="00243DBA" w:rsidRDefault="00C47639" w:rsidP="00C47639">
            <w:pPr>
              <w:spacing w:before="0" w:after="0"/>
            </w:pPr>
            <w:r w:rsidRPr="00243DBA">
              <w:t>This scenario is not based on the one available in the CAR of IR3535® because it’s has been demonstrated that the SVC could exceed 1% in a number of case</w:t>
            </w:r>
            <w:r>
              <w:t>s.</w:t>
            </w:r>
            <w:r w:rsidRPr="00243DBA">
              <w:t xml:space="preserve"> Considering HEEG opinion 13 (Assessment of Inhalation Exposure of Volatilized Biocide Active Substance), the inhalation of </w:t>
            </w:r>
            <w:proofErr w:type="spellStart"/>
            <w:r w:rsidRPr="00243DBA">
              <w:t>volatilised</w:t>
            </w:r>
            <w:proofErr w:type="spellEnd"/>
            <w:r w:rsidRPr="00243DBA">
              <w:t xml:space="preserve"> residues after application has to be taken into account</w:t>
            </w:r>
            <w:r>
              <w:t xml:space="preserve"> for this product</w:t>
            </w:r>
            <w:r w:rsidRPr="00243DBA">
              <w:t xml:space="preserve">. </w:t>
            </w:r>
          </w:p>
          <w:p w14:paraId="64C09FD9" w14:textId="77777777" w:rsidR="00C47639" w:rsidRPr="00243DBA" w:rsidRDefault="00C47639" w:rsidP="00C47639">
            <w:pPr>
              <w:spacing w:before="0" w:after="0"/>
            </w:pPr>
          </w:p>
          <w:p w14:paraId="4CC13022" w14:textId="77777777" w:rsidR="00C47639" w:rsidRPr="00CC147D" w:rsidRDefault="00C47639" w:rsidP="00C47639">
            <w:pPr>
              <w:spacing w:before="0" w:after="0"/>
            </w:pPr>
            <w:r w:rsidRPr="00243DBA">
              <w:t xml:space="preserve">The scenario is based on </w:t>
            </w:r>
            <w:proofErr w:type="spellStart"/>
            <w:proofErr w:type="gramStart"/>
            <w:r w:rsidRPr="00243DBA">
              <w:t>ConsExpo</w:t>
            </w:r>
            <w:proofErr w:type="spellEnd"/>
            <w:r w:rsidRPr="00243DBA">
              <w:t xml:space="preserve"> :</w:t>
            </w:r>
            <w:proofErr w:type="gramEnd"/>
            <w:r w:rsidRPr="00243DBA">
              <w:t xml:space="preserve"> inhalation of </w:t>
            </w:r>
            <w:proofErr w:type="spellStart"/>
            <w:r w:rsidRPr="00243DBA">
              <w:t>vapour</w:t>
            </w:r>
            <w:proofErr w:type="spellEnd"/>
            <w:r w:rsidRPr="00243DBA">
              <w:t>, instantaneous release as a worst case and based on the document: Biocide Human Health Exposure Methodology (Oct 2015).</w:t>
            </w:r>
          </w:p>
        </w:tc>
      </w:tr>
      <w:tr w:rsidR="00C47639" w:rsidRPr="00FD2055" w14:paraId="08C8EBEB" w14:textId="77777777" w:rsidTr="00C47639">
        <w:trPr>
          <w:tblHeader/>
        </w:trPr>
        <w:tc>
          <w:tcPr>
            <w:tcW w:w="5000" w:type="pct"/>
            <w:gridSpan w:val="3"/>
            <w:shd w:val="clear" w:color="auto" w:fill="auto"/>
            <w:tcMar>
              <w:top w:w="57" w:type="dxa"/>
              <w:bottom w:w="57" w:type="dxa"/>
            </w:tcMar>
          </w:tcPr>
          <w:p w14:paraId="4DBDCDD1" w14:textId="77777777" w:rsidR="00C47639" w:rsidRPr="00243DBA" w:rsidRDefault="00C47639" w:rsidP="00C47639">
            <w:pPr>
              <w:spacing w:before="0" w:after="0"/>
            </w:pPr>
            <w:r w:rsidRPr="00243DBA">
              <w:t>Inhalation of volatilized residues after application is relevant considering the HEEG opinion on Assessment of Inhalation Exposure of Volatili</w:t>
            </w:r>
            <w:r>
              <w:t xml:space="preserve">zed Biocide Active Substance: </w:t>
            </w:r>
          </w:p>
          <w:p w14:paraId="058DBB19" w14:textId="77777777" w:rsidR="00C47639" w:rsidRDefault="00F26AF2" w:rsidP="00C47639">
            <w:pPr>
              <w:pStyle w:val="Explanatorynotes"/>
              <w:rPr>
                <w:rFonts w:ascii="Verdana" w:hAnsi="Verdana"/>
                <w:i w:val="0"/>
              </w:rPr>
            </w:pPr>
            <m:oMathPara>
              <m:oMath>
                <m:f>
                  <m:fPr>
                    <m:ctrlPr>
                      <w:rPr>
                        <w:rFonts w:ascii="Cambria Math" w:hAnsi="Cambria Math"/>
                        <w:sz w:val="22"/>
                        <w:szCs w:val="16"/>
                      </w:rPr>
                    </m:ctrlPr>
                  </m:fPr>
                  <m:num>
                    <m:r>
                      <w:rPr>
                        <w:rFonts w:ascii="Cambria Math" w:hAnsi="Cambria Math"/>
                        <w:sz w:val="22"/>
                        <w:szCs w:val="16"/>
                      </w:rPr>
                      <m:t>0.328</m:t>
                    </m:r>
                    <m:r>
                      <w:rPr>
                        <w:rFonts w:ascii="Cambria Math" w:hAnsi="Cambria Math" w:cs="Symbol"/>
                        <w:sz w:val="22"/>
                        <w:szCs w:val="16"/>
                      </w:rPr>
                      <m:t>× 215.29×</m:t>
                    </m:r>
                    <m:r>
                      <w:rPr>
                        <w:rFonts w:ascii="Cambria Math" w:hAnsi="Cambria Math"/>
                        <w:sz w:val="22"/>
                        <w:szCs w:val="16"/>
                      </w:rPr>
                      <m:t>0.15</m:t>
                    </m:r>
                  </m:num>
                  <m:den>
                    <m:r>
                      <w:rPr>
                        <w:rFonts w:ascii="Cambria Math" w:hAnsi="Cambria Math"/>
                        <w:sz w:val="22"/>
                        <w:szCs w:val="16"/>
                      </w:rPr>
                      <m:t>5</m:t>
                    </m:r>
                  </m:den>
                </m:f>
                <m:r>
                  <w:rPr>
                    <w:rFonts w:ascii="Cambria Math" w:hAnsi="Cambria Math" w:cs="Symbol"/>
                    <w:sz w:val="22"/>
                    <w:szCs w:val="16"/>
                  </w:rPr>
                  <m:t xml:space="preserve">=2.12 </m:t>
                </m:r>
              </m:oMath>
            </m:oMathPara>
          </w:p>
          <w:p w14:paraId="294F5E56" w14:textId="77777777" w:rsidR="00C47639" w:rsidRDefault="00C47639" w:rsidP="00C47639">
            <w:pPr>
              <w:spacing w:before="0" w:after="0"/>
            </w:pPr>
            <w:r w:rsidRPr="00243DBA">
              <w:t xml:space="preserve">The result of this equation is superior to 1 which means that the inhalation exposure couldn’t be considered as negligible. </w:t>
            </w:r>
          </w:p>
          <w:p w14:paraId="64E2E22E" w14:textId="77777777" w:rsidR="00C47639" w:rsidRPr="00243DBA" w:rsidRDefault="00C47639" w:rsidP="00C47639">
            <w:pPr>
              <w:spacing w:before="0" w:after="0"/>
            </w:pPr>
            <w:r>
              <w:t>So this exposure</w:t>
            </w:r>
            <w:r w:rsidRPr="00243DBA">
              <w:t xml:space="preserve"> was assessed using </w:t>
            </w:r>
            <w:proofErr w:type="spellStart"/>
            <w:r w:rsidRPr="00243DBA">
              <w:t>ConsExpo</w:t>
            </w:r>
            <w:proofErr w:type="spellEnd"/>
            <w:r w:rsidRPr="00243DBA">
              <w:t xml:space="preserve"> – exposure to </w:t>
            </w:r>
            <w:proofErr w:type="spellStart"/>
            <w:r w:rsidRPr="00243DBA">
              <w:t>vapour</w:t>
            </w:r>
            <w:proofErr w:type="spellEnd"/>
            <w:r w:rsidRPr="00243DBA">
              <w:t xml:space="preserve"> – instantaneous release. </w:t>
            </w:r>
          </w:p>
          <w:p w14:paraId="6F0BEFDA" w14:textId="77777777" w:rsidR="00C47639" w:rsidRPr="00243DBA" w:rsidRDefault="00C47639" w:rsidP="00C47639">
            <w:pPr>
              <w:spacing w:before="0" w:after="0"/>
            </w:pPr>
          </w:p>
          <w:p w14:paraId="37FD62AD" w14:textId="77777777" w:rsidR="00C47639" w:rsidRPr="000F2217" w:rsidRDefault="00C47639" w:rsidP="00C47639">
            <w:pPr>
              <w:spacing w:before="0" w:after="0"/>
              <w:rPr>
                <w:b/>
              </w:rPr>
            </w:pPr>
            <w:r w:rsidRPr="000F2217">
              <w:rPr>
                <w:b/>
              </w:rPr>
              <w:t>General input</w:t>
            </w:r>
            <w:r>
              <w:rPr>
                <w:b/>
              </w:rPr>
              <w:t>s</w:t>
            </w:r>
            <w:r w:rsidRPr="000F2217">
              <w:rPr>
                <w:b/>
              </w:rPr>
              <w:t xml:space="preserve"> to the model : </w:t>
            </w:r>
          </w:p>
          <w:p w14:paraId="0EBF50A8" w14:textId="77777777" w:rsidR="00C47639" w:rsidRPr="00243DBA" w:rsidRDefault="00C47639" w:rsidP="00C47639">
            <w:pPr>
              <w:spacing w:before="0" w:after="0"/>
            </w:pPr>
            <w:r w:rsidRPr="00243DBA">
              <w:t>Exposure duration: 24 hours (all day)</w:t>
            </w:r>
          </w:p>
          <w:p w14:paraId="5C85ED49" w14:textId="77777777" w:rsidR="00C47639" w:rsidRPr="00243DBA" w:rsidRDefault="00C47639" w:rsidP="00C47639">
            <w:pPr>
              <w:spacing w:before="0" w:after="0"/>
            </w:pPr>
            <w:r w:rsidRPr="00243DBA">
              <w:t xml:space="preserve">Product amount: calculated </w:t>
            </w:r>
            <w:proofErr w:type="spellStart"/>
            <w:r w:rsidRPr="00243DBA">
              <w:t>dependant</w:t>
            </w:r>
            <w:proofErr w:type="spellEnd"/>
            <w:r w:rsidRPr="00243DBA">
              <w:t xml:space="preserve"> of the amount applied per day and per age categories</w:t>
            </w:r>
          </w:p>
          <w:p w14:paraId="18ECE276" w14:textId="77777777" w:rsidR="00C47639" w:rsidRPr="00243DBA" w:rsidRDefault="00C47639" w:rsidP="00C47639">
            <w:pPr>
              <w:spacing w:before="0" w:after="0"/>
            </w:pPr>
            <w:r w:rsidRPr="00243DBA">
              <w:t>Weight fraction compound: 20% (biocidal product information)</w:t>
            </w:r>
          </w:p>
          <w:p w14:paraId="52B893A5" w14:textId="77777777" w:rsidR="00C47639" w:rsidRPr="00243DBA" w:rsidRDefault="00C47639" w:rsidP="00C47639">
            <w:pPr>
              <w:spacing w:before="0" w:after="0"/>
            </w:pPr>
            <w:r w:rsidRPr="00243DBA">
              <w:t>Room volume: 20m</w:t>
            </w:r>
            <w:r w:rsidRPr="000F2217">
              <w:rPr>
                <w:vertAlign w:val="superscript"/>
              </w:rPr>
              <w:t>3</w:t>
            </w:r>
            <w:r w:rsidRPr="00243DBA">
              <w:t xml:space="preserve"> (default value of </w:t>
            </w:r>
            <w:proofErr w:type="spellStart"/>
            <w:r w:rsidRPr="00243DBA">
              <w:t>ConsExpo</w:t>
            </w:r>
            <w:proofErr w:type="spellEnd"/>
            <w:r w:rsidRPr="00243DBA">
              <w:t>)</w:t>
            </w:r>
          </w:p>
          <w:p w14:paraId="0E05056C" w14:textId="77777777" w:rsidR="00C47639" w:rsidRPr="00243DBA" w:rsidRDefault="00C47639" w:rsidP="00C47639">
            <w:pPr>
              <w:spacing w:before="0" w:after="0"/>
            </w:pPr>
            <w:r w:rsidRPr="00243DBA">
              <w:t xml:space="preserve">Ventilation rate: 0.6 /h (default value of </w:t>
            </w:r>
            <w:proofErr w:type="spellStart"/>
            <w:r w:rsidRPr="00243DBA">
              <w:t>ConsExpo</w:t>
            </w:r>
            <w:proofErr w:type="spellEnd"/>
            <w:r w:rsidRPr="00243DBA">
              <w:t>)</w:t>
            </w:r>
          </w:p>
          <w:p w14:paraId="71ADC9F6" w14:textId="77777777" w:rsidR="00C47639" w:rsidRPr="00243DBA" w:rsidRDefault="00C47639" w:rsidP="00C47639">
            <w:pPr>
              <w:spacing w:before="0" w:after="0"/>
            </w:pPr>
          </w:p>
          <w:p w14:paraId="3329D861" w14:textId="77777777" w:rsidR="00C47639" w:rsidRPr="000F2217" w:rsidRDefault="00C47639" w:rsidP="00C47639">
            <w:pPr>
              <w:spacing w:before="0" w:after="0"/>
              <w:rPr>
                <w:lang w:val="fr-BE"/>
              </w:rPr>
            </w:pPr>
            <w:proofErr w:type="spellStart"/>
            <w:r w:rsidRPr="000F2217">
              <w:rPr>
                <w:lang w:val="fr-BE"/>
              </w:rPr>
              <w:t>Vapour</w:t>
            </w:r>
            <w:proofErr w:type="spellEnd"/>
            <w:r w:rsidRPr="000F2217">
              <w:rPr>
                <w:lang w:val="fr-BE"/>
              </w:rPr>
              <w:t xml:space="preserve"> pressure: 0.15 Pa (at 20 °C) (active substance information)</w:t>
            </w:r>
          </w:p>
          <w:p w14:paraId="675EDE5F" w14:textId="77777777" w:rsidR="00C47639" w:rsidRPr="00243DBA" w:rsidRDefault="00C47639" w:rsidP="00C47639">
            <w:pPr>
              <w:spacing w:before="0" w:after="0"/>
            </w:pPr>
            <w:r w:rsidRPr="00243DBA">
              <w:t>Molecular weight: 215.29 g/</w:t>
            </w:r>
            <w:proofErr w:type="spellStart"/>
            <w:r w:rsidRPr="00243DBA">
              <w:t>mol</w:t>
            </w:r>
            <w:proofErr w:type="spellEnd"/>
            <w:r w:rsidRPr="00243DBA">
              <w:t xml:space="preserve"> (active substance information)</w:t>
            </w:r>
          </w:p>
          <w:p w14:paraId="3D85DA3F" w14:textId="77777777" w:rsidR="00C47639" w:rsidRDefault="00C47639" w:rsidP="00C47639">
            <w:pPr>
              <w:pStyle w:val="Standaard-Tabellen"/>
            </w:pPr>
            <w:r w:rsidRPr="000F2217">
              <w:rPr>
                <w:sz w:val="20"/>
                <w:szCs w:val="20"/>
              </w:rPr>
              <w:t xml:space="preserve">Temperature : 25°c (ambient temperature) </w:t>
            </w:r>
          </w:p>
          <w:p w14:paraId="531286C4" w14:textId="77777777" w:rsidR="00C47639" w:rsidRPr="00FD2055" w:rsidRDefault="00C47639" w:rsidP="00C47639">
            <w:pPr>
              <w:pStyle w:val="Standaard-Tabellen"/>
            </w:pPr>
          </w:p>
        </w:tc>
      </w:tr>
      <w:tr w:rsidR="00C47639" w:rsidRPr="00F34321" w14:paraId="3F050AAA" w14:textId="77777777" w:rsidTr="00C47639">
        <w:trPr>
          <w:tblHeader/>
        </w:trPr>
        <w:tc>
          <w:tcPr>
            <w:tcW w:w="1473" w:type="pct"/>
            <w:shd w:val="clear" w:color="auto" w:fill="BFBFBF" w:themeFill="background1" w:themeFillShade="BF"/>
            <w:tcMar>
              <w:top w:w="57" w:type="dxa"/>
              <w:bottom w:w="57" w:type="dxa"/>
            </w:tcMar>
          </w:tcPr>
          <w:p w14:paraId="1F0F3A44" w14:textId="77777777" w:rsidR="00C47639" w:rsidRPr="00F34321" w:rsidRDefault="00C47639" w:rsidP="00C47639">
            <w:pPr>
              <w:pStyle w:val="Standaard-Tabellen"/>
              <w:rPr>
                <w:b/>
              </w:rPr>
            </w:pPr>
          </w:p>
        </w:tc>
        <w:tc>
          <w:tcPr>
            <w:tcW w:w="2377" w:type="pct"/>
            <w:shd w:val="clear" w:color="auto" w:fill="BFBFBF" w:themeFill="background1" w:themeFillShade="BF"/>
            <w:tcMar>
              <w:top w:w="57" w:type="dxa"/>
              <w:bottom w:w="57" w:type="dxa"/>
            </w:tcMar>
          </w:tcPr>
          <w:p w14:paraId="263AF668" w14:textId="77777777" w:rsidR="00C47639" w:rsidRPr="00F34321" w:rsidRDefault="00C47639" w:rsidP="00C47639">
            <w:pPr>
              <w:pStyle w:val="Standaard-Tabellen"/>
              <w:rPr>
                <w:b/>
              </w:rPr>
            </w:pPr>
            <w:r w:rsidRPr="00F34321">
              <w:rPr>
                <w:b/>
              </w:rPr>
              <w:t>Parameters</w:t>
            </w:r>
          </w:p>
        </w:tc>
        <w:tc>
          <w:tcPr>
            <w:tcW w:w="1150" w:type="pct"/>
            <w:shd w:val="clear" w:color="auto" w:fill="BFBFBF" w:themeFill="background1" w:themeFillShade="BF"/>
            <w:tcMar>
              <w:top w:w="57" w:type="dxa"/>
              <w:bottom w:w="57" w:type="dxa"/>
            </w:tcMar>
          </w:tcPr>
          <w:p w14:paraId="3F0BB3FF" w14:textId="77777777" w:rsidR="00C47639" w:rsidRPr="00F34321" w:rsidRDefault="00C47639" w:rsidP="00C47639">
            <w:pPr>
              <w:pStyle w:val="Standaard-Tabellen"/>
              <w:rPr>
                <w:b/>
              </w:rPr>
            </w:pPr>
            <w:r w:rsidRPr="00F34321">
              <w:rPr>
                <w:b/>
              </w:rPr>
              <w:t>Value</w:t>
            </w:r>
          </w:p>
        </w:tc>
      </w:tr>
      <w:tr w:rsidR="00C47639" w:rsidRPr="00F34321" w14:paraId="4EBEB333" w14:textId="77777777" w:rsidTr="00C47639">
        <w:trPr>
          <w:tblHeader/>
        </w:trPr>
        <w:tc>
          <w:tcPr>
            <w:tcW w:w="1473" w:type="pct"/>
            <w:vMerge w:val="restart"/>
            <w:tcMar>
              <w:top w:w="57" w:type="dxa"/>
              <w:bottom w:w="57" w:type="dxa"/>
            </w:tcMar>
          </w:tcPr>
          <w:p w14:paraId="3F76EB1B" w14:textId="77777777" w:rsidR="00C47639" w:rsidRPr="00F34321" w:rsidRDefault="00C47639" w:rsidP="00C47639">
            <w:pPr>
              <w:pStyle w:val="Standaard-Tabellen"/>
            </w:pPr>
            <w:r w:rsidRPr="000B65BB">
              <w:t>Tier 1- Adult</w:t>
            </w:r>
          </w:p>
        </w:tc>
        <w:tc>
          <w:tcPr>
            <w:tcW w:w="2377" w:type="pct"/>
            <w:shd w:val="clear" w:color="auto" w:fill="auto"/>
            <w:tcMar>
              <w:top w:w="57" w:type="dxa"/>
              <w:bottom w:w="57" w:type="dxa"/>
            </w:tcMar>
          </w:tcPr>
          <w:p w14:paraId="5026525C" w14:textId="77777777" w:rsidR="00C47639" w:rsidRPr="00F34321" w:rsidRDefault="00C47639" w:rsidP="00C47639">
            <w:pPr>
              <w:pStyle w:val="Standaard-Tabellen"/>
            </w:pPr>
            <w:r>
              <w:t>Product amount</w:t>
            </w:r>
            <w:r>
              <w:rPr>
                <w:vertAlign w:val="superscript"/>
              </w:rPr>
              <w:t>1</w:t>
            </w:r>
          </w:p>
        </w:tc>
        <w:tc>
          <w:tcPr>
            <w:tcW w:w="1150" w:type="pct"/>
            <w:shd w:val="clear" w:color="auto" w:fill="auto"/>
            <w:tcMar>
              <w:top w:w="57" w:type="dxa"/>
              <w:bottom w:w="57" w:type="dxa"/>
            </w:tcMar>
          </w:tcPr>
          <w:p w14:paraId="69326E4F" w14:textId="77777777" w:rsidR="00C47639" w:rsidRPr="00F34321" w:rsidRDefault="00C47639" w:rsidP="00C47639">
            <w:pPr>
              <w:pStyle w:val="Standaard-Tabellen"/>
            </w:pPr>
            <w:r w:rsidRPr="000908EA">
              <w:t>6.1</w:t>
            </w:r>
            <w:r>
              <w:t>2</w:t>
            </w:r>
            <w:r w:rsidRPr="000908EA">
              <w:t xml:space="preserve"> g</w:t>
            </w:r>
          </w:p>
        </w:tc>
      </w:tr>
      <w:tr w:rsidR="00C47639" w:rsidRPr="00F34321" w14:paraId="0569F8BA" w14:textId="77777777" w:rsidTr="00C47639">
        <w:trPr>
          <w:tblHeader/>
        </w:trPr>
        <w:tc>
          <w:tcPr>
            <w:tcW w:w="1473" w:type="pct"/>
            <w:vMerge/>
            <w:tcMar>
              <w:top w:w="57" w:type="dxa"/>
              <w:bottom w:w="57" w:type="dxa"/>
            </w:tcMar>
          </w:tcPr>
          <w:p w14:paraId="04ED97F4" w14:textId="77777777" w:rsidR="00C47639" w:rsidRPr="00F34321" w:rsidRDefault="00C47639" w:rsidP="00C47639">
            <w:pPr>
              <w:pStyle w:val="Standaard-Tabellen"/>
            </w:pPr>
          </w:p>
        </w:tc>
        <w:tc>
          <w:tcPr>
            <w:tcW w:w="2377" w:type="pct"/>
            <w:shd w:val="clear" w:color="auto" w:fill="auto"/>
            <w:tcMar>
              <w:top w:w="57" w:type="dxa"/>
              <w:bottom w:w="57" w:type="dxa"/>
            </w:tcMar>
          </w:tcPr>
          <w:p w14:paraId="29EB18C0" w14:textId="77777777" w:rsidR="00C47639" w:rsidRPr="00F34321" w:rsidRDefault="00C47639" w:rsidP="00C47639">
            <w:pPr>
              <w:pStyle w:val="Standaard-Tabellen"/>
            </w:pPr>
            <w:r w:rsidRPr="00F34321">
              <w:t>Body weight</w:t>
            </w:r>
            <w:r>
              <w:rPr>
                <w:vertAlign w:val="superscript"/>
              </w:rPr>
              <w:t>2</w:t>
            </w:r>
            <w:r w:rsidRPr="00F34321">
              <w:rPr>
                <w:vertAlign w:val="superscript"/>
              </w:rPr>
              <w:t xml:space="preserve"> </w:t>
            </w:r>
          </w:p>
        </w:tc>
        <w:tc>
          <w:tcPr>
            <w:tcW w:w="1150" w:type="pct"/>
            <w:shd w:val="clear" w:color="auto" w:fill="auto"/>
            <w:tcMar>
              <w:top w:w="57" w:type="dxa"/>
              <w:bottom w:w="57" w:type="dxa"/>
            </w:tcMar>
          </w:tcPr>
          <w:p w14:paraId="3B213E90" w14:textId="77777777" w:rsidR="00C47639" w:rsidRPr="00F34321" w:rsidRDefault="00C47639" w:rsidP="00C47639">
            <w:pPr>
              <w:pStyle w:val="Standaard-Tabellen"/>
            </w:pPr>
            <w:r w:rsidRPr="00F34321">
              <w:t>60 kg</w:t>
            </w:r>
          </w:p>
        </w:tc>
      </w:tr>
      <w:tr w:rsidR="00C47639" w:rsidRPr="00F34321" w14:paraId="01C3A50E" w14:textId="77777777" w:rsidTr="00C47639">
        <w:trPr>
          <w:tblHeader/>
        </w:trPr>
        <w:tc>
          <w:tcPr>
            <w:tcW w:w="1473" w:type="pct"/>
            <w:vMerge/>
            <w:tcMar>
              <w:top w:w="57" w:type="dxa"/>
              <w:bottom w:w="57" w:type="dxa"/>
            </w:tcMar>
          </w:tcPr>
          <w:p w14:paraId="4D77A5F3" w14:textId="77777777" w:rsidR="00C47639" w:rsidRPr="00F34321" w:rsidRDefault="00C47639" w:rsidP="00C47639">
            <w:pPr>
              <w:pStyle w:val="Standaard-Tabellen"/>
            </w:pPr>
          </w:p>
        </w:tc>
        <w:tc>
          <w:tcPr>
            <w:tcW w:w="2377" w:type="pct"/>
            <w:shd w:val="clear" w:color="auto" w:fill="auto"/>
            <w:tcMar>
              <w:top w:w="57" w:type="dxa"/>
              <w:bottom w:w="57" w:type="dxa"/>
            </w:tcMar>
          </w:tcPr>
          <w:p w14:paraId="022645D4" w14:textId="77777777" w:rsidR="00C47639" w:rsidRPr="00F34321" w:rsidRDefault="00C47639" w:rsidP="00C47639">
            <w:pPr>
              <w:pStyle w:val="Standaard-Tabellen"/>
            </w:pPr>
            <w:r w:rsidRPr="00F34321">
              <w:t>Respiration rate [m</w:t>
            </w:r>
            <w:r w:rsidRPr="00F34321">
              <w:rPr>
                <w:vertAlign w:val="superscript"/>
              </w:rPr>
              <w:t>3</w:t>
            </w:r>
            <w:r w:rsidRPr="00F34321">
              <w:t>/air/hour]</w:t>
            </w:r>
            <w:r>
              <w:rPr>
                <w:vertAlign w:val="superscript"/>
              </w:rPr>
              <w:t>2</w:t>
            </w:r>
          </w:p>
        </w:tc>
        <w:tc>
          <w:tcPr>
            <w:tcW w:w="1150" w:type="pct"/>
            <w:shd w:val="clear" w:color="auto" w:fill="auto"/>
            <w:tcMar>
              <w:top w:w="57" w:type="dxa"/>
              <w:bottom w:w="57" w:type="dxa"/>
            </w:tcMar>
          </w:tcPr>
          <w:p w14:paraId="115194BC" w14:textId="77777777" w:rsidR="00C47639" w:rsidRPr="00F34321" w:rsidRDefault="00C47639" w:rsidP="00C47639">
            <w:pPr>
              <w:pStyle w:val="Standaard-Tabellen"/>
            </w:pPr>
            <w:r>
              <w:t>1.</w:t>
            </w:r>
            <w:r w:rsidRPr="00F34321">
              <w:t>25 m³/h</w:t>
            </w:r>
          </w:p>
        </w:tc>
      </w:tr>
      <w:tr w:rsidR="00C47639" w:rsidRPr="00F34321" w14:paraId="1C56A12B" w14:textId="77777777" w:rsidTr="00C47639">
        <w:trPr>
          <w:tblHeader/>
        </w:trPr>
        <w:tc>
          <w:tcPr>
            <w:tcW w:w="1473" w:type="pct"/>
            <w:vMerge w:val="restart"/>
            <w:tcMar>
              <w:top w:w="57" w:type="dxa"/>
              <w:bottom w:w="57" w:type="dxa"/>
            </w:tcMar>
          </w:tcPr>
          <w:p w14:paraId="499FA968" w14:textId="77777777" w:rsidR="00C47639" w:rsidRPr="00F34321" w:rsidRDefault="00C47639" w:rsidP="00C47639">
            <w:pPr>
              <w:pStyle w:val="Standaard-Tabellen"/>
            </w:pPr>
            <w:r w:rsidRPr="000B65BB">
              <w:t xml:space="preserve">Tier 1- </w:t>
            </w:r>
            <w:r w:rsidRPr="00994E49">
              <w:t>C</w:t>
            </w:r>
            <w:r>
              <w:t>hild</w:t>
            </w:r>
            <w:r w:rsidRPr="00994E49">
              <w:t xml:space="preserve"> 6 to &lt; 12 years old</w:t>
            </w:r>
          </w:p>
        </w:tc>
        <w:tc>
          <w:tcPr>
            <w:tcW w:w="2377" w:type="pct"/>
            <w:shd w:val="clear" w:color="auto" w:fill="auto"/>
            <w:tcMar>
              <w:top w:w="57" w:type="dxa"/>
              <w:bottom w:w="57" w:type="dxa"/>
            </w:tcMar>
          </w:tcPr>
          <w:p w14:paraId="0D32D1C7" w14:textId="77777777" w:rsidR="00C47639" w:rsidRPr="00F34321" w:rsidRDefault="00C47639" w:rsidP="00C47639">
            <w:pPr>
              <w:pStyle w:val="Standaard-Tabellen"/>
            </w:pPr>
            <w:r>
              <w:t>Product amount</w:t>
            </w:r>
            <w:r>
              <w:rPr>
                <w:vertAlign w:val="superscript"/>
              </w:rPr>
              <w:t>1</w:t>
            </w:r>
          </w:p>
        </w:tc>
        <w:tc>
          <w:tcPr>
            <w:tcW w:w="1150" w:type="pct"/>
            <w:shd w:val="clear" w:color="auto" w:fill="auto"/>
            <w:tcMar>
              <w:top w:w="57" w:type="dxa"/>
              <w:bottom w:w="57" w:type="dxa"/>
            </w:tcMar>
          </w:tcPr>
          <w:p w14:paraId="71A68559" w14:textId="77777777" w:rsidR="00C47639" w:rsidRPr="00F34321" w:rsidRDefault="00C47639" w:rsidP="00C47639">
            <w:pPr>
              <w:pStyle w:val="Standaard-Tabellen"/>
            </w:pPr>
            <w:r w:rsidRPr="000908EA">
              <w:t>3.39 g</w:t>
            </w:r>
          </w:p>
        </w:tc>
      </w:tr>
      <w:tr w:rsidR="00C47639" w:rsidRPr="00F34321" w14:paraId="014C5297" w14:textId="77777777" w:rsidTr="00C47639">
        <w:trPr>
          <w:tblHeader/>
        </w:trPr>
        <w:tc>
          <w:tcPr>
            <w:tcW w:w="1473" w:type="pct"/>
            <w:vMerge/>
            <w:tcMar>
              <w:top w:w="57" w:type="dxa"/>
              <w:bottom w:w="57" w:type="dxa"/>
            </w:tcMar>
          </w:tcPr>
          <w:p w14:paraId="4271AF96" w14:textId="77777777" w:rsidR="00C47639" w:rsidRPr="00F34321" w:rsidRDefault="00C47639" w:rsidP="00C47639">
            <w:pPr>
              <w:pStyle w:val="Standaard-Tabellen"/>
            </w:pPr>
          </w:p>
        </w:tc>
        <w:tc>
          <w:tcPr>
            <w:tcW w:w="2377" w:type="pct"/>
            <w:shd w:val="clear" w:color="auto" w:fill="auto"/>
            <w:tcMar>
              <w:top w:w="57" w:type="dxa"/>
              <w:bottom w:w="57" w:type="dxa"/>
            </w:tcMar>
          </w:tcPr>
          <w:p w14:paraId="1E69D37A" w14:textId="77777777" w:rsidR="00C47639" w:rsidRPr="00F34321" w:rsidRDefault="00C47639" w:rsidP="00C47639">
            <w:pPr>
              <w:pStyle w:val="Standaard-Tabellen"/>
            </w:pPr>
            <w:r w:rsidRPr="00F34321">
              <w:t>Body weight</w:t>
            </w:r>
            <w:r>
              <w:rPr>
                <w:vertAlign w:val="superscript"/>
              </w:rPr>
              <w:t>2</w:t>
            </w:r>
          </w:p>
        </w:tc>
        <w:tc>
          <w:tcPr>
            <w:tcW w:w="1150" w:type="pct"/>
            <w:shd w:val="clear" w:color="auto" w:fill="auto"/>
            <w:tcMar>
              <w:top w:w="57" w:type="dxa"/>
              <w:bottom w:w="57" w:type="dxa"/>
            </w:tcMar>
          </w:tcPr>
          <w:p w14:paraId="5CE2BBD2" w14:textId="77777777" w:rsidR="00C47639" w:rsidRPr="00F34321" w:rsidRDefault="00C47639" w:rsidP="00C47639">
            <w:pPr>
              <w:pStyle w:val="Standaard-Tabellen"/>
            </w:pPr>
            <w:r w:rsidRPr="00F34321">
              <w:t>23</w:t>
            </w:r>
            <w:r>
              <w:t>.</w:t>
            </w:r>
            <w:r w:rsidRPr="00F34321">
              <w:t>9 kg</w:t>
            </w:r>
          </w:p>
        </w:tc>
      </w:tr>
      <w:tr w:rsidR="00C47639" w:rsidRPr="00F34321" w14:paraId="348592D4" w14:textId="77777777" w:rsidTr="00C47639">
        <w:trPr>
          <w:tblHeader/>
        </w:trPr>
        <w:tc>
          <w:tcPr>
            <w:tcW w:w="1473" w:type="pct"/>
            <w:vMerge/>
            <w:tcMar>
              <w:top w:w="57" w:type="dxa"/>
              <w:bottom w:w="57" w:type="dxa"/>
            </w:tcMar>
          </w:tcPr>
          <w:p w14:paraId="68092286" w14:textId="77777777" w:rsidR="00C47639" w:rsidRPr="00F34321" w:rsidRDefault="00C47639" w:rsidP="00C47639">
            <w:pPr>
              <w:pStyle w:val="Standaard-Tabellen"/>
            </w:pPr>
          </w:p>
        </w:tc>
        <w:tc>
          <w:tcPr>
            <w:tcW w:w="2377" w:type="pct"/>
            <w:shd w:val="clear" w:color="auto" w:fill="auto"/>
            <w:tcMar>
              <w:top w:w="57" w:type="dxa"/>
              <w:bottom w:w="57" w:type="dxa"/>
            </w:tcMar>
          </w:tcPr>
          <w:p w14:paraId="417E6D4F" w14:textId="77777777" w:rsidR="00C47639" w:rsidRPr="00F34321" w:rsidRDefault="00C47639" w:rsidP="00C47639">
            <w:pPr>
              <w:pStyle w:val="Standaard-Tabellen"/>
            </w:pPr>
            <w:r w:rsidRPr="00F34321">
              <w:t>Respiration rate [m</w:t>
            </w:r>
            <w:r w:rsidRPr="00F34321">
              <w:rPr>
                <w:vertAlign w:val="superscript"/>
              </w:rPr>
              <w:t>3</w:t>
            </w:r>
            <w:r w:rsidRPr="00F34321">
              <w:t>/air/hour]</w:t>
            </w:r>
            <w:r>
              <w:rPr>
                <w:vertAlign w:val="superscript"/>
              </w:rPr>
              <w:t>2</w:t>
            </w:r>
          </w:p>
        </w:tc>
        <w:tc>
          <w:tcPr>
            <w:tcW w:w="1150" w:type="pct"/>
            <w:shd w:val="clear" w:color="auto" w:fill="auto"/>
            <w:tcMar>
              <w:top w:w="57" w:type="dxa"/>
              <w:bottom w:w="57" w:type="dxa"/>
            </w:tcMar>
          </w:tcPr>
          <w:p w14:paraId="2A3453F4" w14:textId="77777777" w:rsidR="00C47639" w:rsidRPr="00F34321" w:rsidRDefault="00C47639" w:rsidP="00C47639">
            <w:pPr>
              <w:pStyle w:val="Standaard-Tabellen"/>
            </w:pPr>
            <w:r>
              <w:t>1.</w:t>
            </w:r>
            <w:r w:rsidRPr="00F34321">
              <w:t>32 m³/h</w:t>
            </w:r>
          </w:p>
        </w:tc>
      </w:tr>
      <w:tr w:rsidR="00C47639" w:rsidRPr="00F34321" w14:paraId="2B17B5C2" w14:textId="77777777" w:rsidTr="00C47639">
        <w:trPr>
          <w:tblHeader/>
        </w:trPr>
        <w:tc>
          <w:tcPr>
            <w:tcW w:w="1473" w:type="pct"/>
            <w:vMerge w:val="restart"/>
            <w:tcMar>
              <w:top w:w="57" w:type="dxa"/>
              <w:bottom w:w="57" w:type="dxa"/>
            </w:tcMar>
          </w:tcPr>
          <w:p w14:paraId="035EAB08" w14:textId="77777777" w:rsidR="00C47639" w:rsidRPr="00F34321" w:rsidRDefault="00C47639" w:rsidP="00C47639">
            <w:pPr>
              <w:pStyle w:val="Standaard-Tabellen"/>
            </w:pPr>
            <w:r w:rsidRPr="000B65BB">
              <w:t xml:space="preserve">Tier 1- </w:t>
            </w:r>
            <w:r w:rsidRPr="00994E49">
              <w:t>C</w:t>
            </w:r>
            <w:r>
              <w:t>hild</w:t>
            </w:r>
            <w:r w:rsidRPr="00994E49">
              <w:t xml:space="preserve"> </w:t>
            </w:r>
            <w:r>
              <w:t>2 to &lt; 6</w:t>
            </w:r>
            <w:r w:rsidRPr="00994E49">
              <w:t xml:space="preserve"> years old</w:t>
            </w:r>
          </w:p>
        </w:tc>
        <w:tc>
          <w:tcPr>
            <w:tcW w:w="2377" w:type="pct"/>
            <w:shd w:val="clear" w:color="auto" w:fill="auto"/>
            <w:tcMar>
              <w:top w:w="57" w:type="dxa"/>
              <w:bottom w:w="57" w:type="dxa"/>
            </w:tcMar>
          </w:tcPr>
          <w:p w14:paraId="61D4077A" w14:textId="77777777" w:rsidR="00C47639" w:rsidRPr="00F34321" w:rsidRDefault="00C47639" w:rsidP="00C47639">
            <w:pPr>
              <w:pStyle w:val="Standaard-Tabellen"/>
            </w:pPr>
            <w:r>
              <w:t>Product amount</w:t>
            </w:r>
            <w:r>
              <w:rPr>
                <w:vertAlign w:val="superscript"/>
              </w:rPr>
              <w:t>1</w:t>
            </w:r>
          </w:p>
        </w:tc>
        <w:tc>
          <w:tcPr>
            <w:tcW w:w="1150" w:type="pct"/>
            <w:shd w:val="clear" w:color="auto" w:fill="auto"/>
            <w:tcMar>
              <w:top w:w="57" w:type="dxa"/>
              <w:bottom w:w="57" w:type="dxa"/>
            </w:tcMar>
          </w:tcPr>
          <w:p w14:paraId="1E2FCEA8" w14:textId="77777777" w:rsidR="00C47639" w:rsidRDefault="00C47639" w:rsidP="00C47639">
            <w:pPr>
              <w:pStyle w:val="Standaard-Tabellen"/>
            </w:pPr>
            <w:r w:rsidRPr="000908EA">
              <w:t>2.5</w:t>
            </w:r>
            <w:r>
              <w:t>1</w:t>
            </w:r>
            <w:r w:rsidRPr="000908EA">
              <w:t xml:space="preserve"> g</w:t>
            </w:r>
          </w:p>
        </w:tc>
      </w:tr>
      <w:tr w:rsidR="00C47639" w:rsidRPr="00F34321" w14:paraId="58163324" w14:textId="77777777" w:rsidTr="00C47639">
        <w:trPr>
          <w:tblHeader/>
        </w:trPr>
        <w:tc>
          <w:tcPr>
            <w:tcW w:w="1473" w:type="pct"/>
            <w:vMerge/>
            <w:tcMar>
              <w:top w:w="57" w:type="dxa"/>
              <w:bottom w:w="57" w:type="dxa"/>
            </w:tcMar>
          </w:tcPr>
          <w:p w14:paraId="47A4AC31" w14:textId="77777777" w:rsidR="00C47639" w:rsidRPr="00F34321" w:rsidRDefault="00C47639" w:rsidP="00C47639">
            <w:pPr>
              <w:pStyle w:val="Standaard-Tabellen"/>
            </w:pPr>
          </w:p>
        </w:tc>
        <w:tc>
          <w:tcPr>
            <w:tcW w:w="2377" w:type="pct"/>
            <w:shd w:val="clear" w:color="auto" w:fill="auto"/>
            <w:tcMar>
              <w:top w:w="57" w:type="dxa"/>
              <w:bottom w:w="57" w:type="dxa"/>
            </w:tcMar>
          </w:tcPr>
          <w:p w14:paraId="136EB00A" w14:textId="77777777" w:rsidR="00C47639" w:rsidRPr="00F34321" w:rsidRDefault="00C47639" w:rsidP="00C47639">
            <w:pPr>
              <w:pStyle w:val="Standaard-Tabellen"/>
            </w:pPr>
            <w:r w:rsidRPr="00F34321">
              <w:t>Body weight</w:t>
            </w:r>
            <w:r>
              <w:rPr>
                <w:vertAlign w:val="superscript"/>
              </w:rPr>
              <w:t>2</w:t>
            </w:r>
          </w:p>
        </w:tc>
        <w:tc>
          <w:tcPr>
            <w:tcW w:w="1150" w:type="pct"/>
            <w:shd w:val="clear" w:color="auto" w:fill="auto"/>
            <w:tcMar>
              <w:top w:w="57" w:type="dxa"/>
              <w:bottom w:w="57" w:type="dxa"/>
            </w:tcMar>
          </w:tcPr>
          <w:p w14:paraId="18643A1D" w14:textId="77777777" w:rsidR="00C47639" w:rsidRDefault="00C47639" w:rsidP="00C47639">
            <w:pPr>
              <w:pStyle w:val="Standaard-Tabellen"/>
            </w:pPr>
            <w:r>
              <w:t>15.6</w:t>
            </w:r>
            <w:r w:rsidRPr="00F34321">
              <w:t xml:space="preserve"> kg</w:t>
            </w:r>
          </w:p>
        </w:tc>
      </w:tr>
      <w:tr w:rsidR="00C47639" w:rsidRPr="00F34321" w14:paraId="47834234" w14:textId="77777777" w:rsidTr="00C47639">
        <w:trPr>
          <w:tblHeader/>
        </w:trPr>
        <w:tc>
          <w:tcPr>
            <w:tcW w:w="1473" w:type="pct"/>
            <w:vMerge/>
            <w:tcMar>
              <w:top w:w="57" w:type="dxa"/>
              <w:bottom w:w="57" w:type="dxa"/>
            </w:tcMar>
          </w:tcPr>
          <w:p w14:paraId="66B4C64A" w14:textId="77777777" w:rsidR="00C47639" w:rsidRPr="00F34321" w:rsidRDefault="00C47639" w:rsidP="00C47639">
            <w:pPr>
              <w:pStyle w:val="Standaard-Tabellen"/>
            </w:pPr>
          </w:p>
        </w:tc>
        <w:tc>
          <w:tcPr>
            <w:tcW w:w="2377" w:type="pct"/>
            <w:shd w:val="clear" w:color="auto" w:fill="auto"/>
            <w:tcMar>
              <w:top w:w="57" w:type="dxa"/>
              <w:bottom w:w="57" w:type="dxa"/>
            </w:tcMar>
          </w:tcPr>
          <w:p w14:paraId="4027F966" w14:textId="77777777" w:rsidR="00C47639" w:rsidRPr="00F34321" w:rsidRDefault="00C47639" w:rsidP="00C47639">
            <w:pPr>
              <w:pStyle w:val="Standaard-Tabellen"/>
            </w:pPr>
            <w:r w:rsidRPr="00F34321">
              <w:t>Respiration rate [m</w:t>
            </w:r>
            <w:r w:rsidRPr="00F34321">
              <w:rPr>
                <w:vertAlign w:val="superscript"/>
              </w:rPr>
              <w:t>3</w:t>
            </w:r>
            <w:r w:rsidRPr="00F34321">
              <w:t>/air/hour]</w:t>
            </w:r>
            <w:r>
              <w:rPr>
                <w:vertAlign w:val="superscript"/>
              </w:rPr>
              <w:t>2</w:t>
            </w:r>
          </w:p>
        </w:tc>
        <w:tc>
          <w:tcPr>
            <w:tcW w:w="1150" w:type="pct"/>
            <w:shd w:val="clear" w:color="auto" w:fill="auto"/>
            <w:tcMar>
              <w:top w:w="57" w:type="dxa"/>
              <w:bottom w:w="57" w:type="dxa"/>
            </w:tcMar>
          </w:tcPr>
          <w:p w14:paraId="589782D6" w14:textId="77777777" w:rsidR="00C47639" w:rsidRDefault="00C47639" w:rsidP="00C47639">
            <w:pPr>
              <w:pStyle w:val="Standaard-Tabellen"/>
            </w:pPr>
            <w:r>
              <w:t xml:space="preserve">1.26 </w:t>
            </w:r>
            <w:r w:rsidRPr="00F34321">
              <w:t>m³/h</w:t>
            </w:r>
          </w:p>
        </w:tc>
      </w:tr>
      <w:tr w:rsidR="00C47639" w:rsidRPr="00F34321" w14:paraId="1FA64F4D" w14:textId="77777777" w:rsidTr="00C47639">
        <w:trPr>
          <w:tblHeader/>
        </w:trPr>
        <w:tc>
          <w:tcPr>
            <w:tcW w:w="1473" w:type="pct"/>
            <w:vMerge w:val="restart"/>
            <w:tcMar>
              <w:top w:w="57" w:type="dxa"/>
              <w:bottom w:w="57" w:type="dxa"/>
            </w:tcMar>
          </w:tcPr>
          <w:p w14:paraId="118FA567" w14:textId="77777777" w:rsidR="00C47639" w:rsidRPr="00F34321" w:rsidRDefault="00C47639" w:rsidP="00C47639">
            <w:pPr>
              <w:pStyle w:val="Standaard-Tabellen"/>
            </w:pPr>
            <w:r w:rsidRPr="000B65BB">
              <w:t>Tier 1- Toddler</w:t>
            </w:r>
          </w:p>
        </w:tc>
        <w:tc>
          <w:tcPr>
            <w:tcW w:w="2377" w:type="pct"/>
            <w:shd w:val="clear" w:color="auto" w:fill="auto"/>
            <w:tcMar>
              <w:top w:w="57" w:type="dxa"/>
              <w:bottom w:w="57" w:type="dxa"/>
            </w:tcMar>
          </w:tcPr>
          <w:p w14:paraId="4EC91218" w14:textId="77777777" w:rsidR="00C47639" w:rsidRPr="00F34321" w:rsidRDefault="00C47639" w:rsidP="00C47639">
            <w:pPr>
              <w:pStyle w:val="Standaard-Tabellen"/>
            </w:pPr>
            <w:r>
              <w:t>Product amount</w:t>
            </w:r>
            <w:r>
              <w:rPr>
                <w:vertAlign w:val="superscript"/>
              </w:rPr>
              <w:t>1</w:t>
            </w:r>
          </w:p>
        </w:tc>
        <w:tc>
          <w:tcPr>
            <w:tcW w:w="1150" w:type="pct"/>
            <w:shd w:val="clear" w:color="auto" w:fill="auto"/>
            <w:tcMar>
              <w:top w:w="57" w:type="dxa"/>
              <w:bottom w:w="57" w:type="dxa"/>
            </w:tcMar>
          </w:tcPr>
          <w:p w14:paraId="12C80CF8" w14:textId="77777777" w:rsidR="00C47639" w:rsidRPr="00F34321" w:rsidRDefault="00C47639" w:rsidP="00C47639">
            <w:pPr>
              <w:pStyle w:val="Standaard-Tabellen"/>
            </w:pPr>
            <w:r w:rsidRPr="000908EA">
              <w:t>1.7</w:t>
            </w:r>
            <w:r>
              <w:t>7</w:t>
            </w:r>
            <w:r w:rsidRPr="000908EA">
              <w:t xml:space="preserve"> g</w:t>
            </w:r>
          </w:p>
        </w:tc>
      </w:tr>
      <w:tr w:rsidR="00C47639" w:rsidRPr="00F34321" w14:paraId="05A705E8" w14:textId="77777777" w:rsidTr="00C47639">
        <w:trPr>
          <w:tblHeader/>
        </w:trPr>
        <w:tc>
          <w:tcPr>
            <w:tcW w:w="1473" w:type="pct"/>
            <w:vMerge/>
            <w:tcMar>
              <w:top w:w="57" w:type="dxa"/>
              <w:bottom w:w="57" w:type="dxa"/>
            </w:tcMar>
          </w:tcPr>
          <w:p w14:paraId="4A3D0235" w14:textId="77777777" w:rsidR="00C47639" w:rsidRPr="00F34321" w:rsidRDefault="00C47639" w:rsidP="00C47639">
            <w:pPr>
              <w:pStyle w:val="Standaard-Tabellen"/>
            </w:pPr>
          </w:p>
        </w:tc>
        <w:tc>
          <w:tcPr>
            <w:tcW w:w="2377" w:type="pct"/>
            <w:shd w:val="clear" w:color="auto" w:fill="auto"/>
            <w:tcMar>
              <w:top w:w="57" w:type="dxa"/>
              <w:bottom w:w="57" w:type="dxa"/>
            </w:tcMar>
          </w:tcPr>
          <w:p w14:paraId="218A7ECD" w14:textId="77777777" w:rsidR="00C47639" w:rsidRPr="00F34321" w:rsidRDefault="00C47639" w:rsidP="00C47639">
            <w:pPr>
              <w:pStyle w:val="Standaard-Tabellen"/>
            </w:pPr>
            <w:r w:rsidRPr="00F34321">
              <w:t>Body weight</w:t>
            </w:r>
            <w:r>
              <w:rPr>
                <w:vertAlign w:val="superscript"/>
              </w:rPr>
              <w:t>2</w:t>
            </w:r>
          </w:p>
        </w:tc>
        <w:tc>
          <w:tcPr>
            <w:tcW w:w="1150" w:type="pct"/>
            <w:shd w:val="clear" w:color="auto" w:fill="auto"/>
            <w:tcMar>
              <w:top w:w="57" w:type="dxa"/>
              <w:bottom w:w="57" w:type="dxa"/>
            </w:tcMar>
          </w:tcPr>
          <w:p w14:paraId="592F4641" w14:textId="77777777" w:rsidR="00C47639" w:rsidRPr="00F34321" w:rsidRDefault="00C47639" w:rsidP="00C47639">
            <w:pPr>
              <w:pStyle w:val="Standaard-Tabellen"/>
            </w:pPr>
            <w:r w:rsidRPr="00F34321">
              <w:t>10 kg</w:t>
            </w:r>
          </w:p>
        </w:tc>
      </w:tr>
      <w:tr w:rsidR="00C47639" w:rsidRPr="00F34321" w14:paraId="61295A7C" w14:textId="77777777" w:rsidTr="00C47639">
        <w:trPr>
          <w:tblHeader/>
        </w:trPr>
        <w:tc>
          <w:tcPr>
            <w:tcW w:w="1473" w:type="pct"/>
            <w:vMerge/>
            <w:tcMar>
              <w:top w:w="57" w:type="dxa"/>
              <w:bottom w:w="57" w:type="dxa"/>
            </w:tcMar>
          </w:tcPr>
          <w:p w14:paraId="739A4409" w14:textId="77777777" w:rsidR="00C47639" w:rsidRPr="00F34321" w:rsidRDefault="00C47639" w:rsidP="00C47639">
            <w:pPr>
              <w:pStyle w:val="Standaard-Tabellen"/>
            </w:pPr>
          </w:p>
        </w:tc>
        <w:tc>
          <w:tcPr>
            <w:tcW w:w="2377" w:type="pct"/>
            <w:shd w:val="clear" w:color="auto" w:fill="auto"/>
            <w:tcMar>
              <w:top w:w="57" w:type="dxa"/>
              <w:bottom w:w="57" w:type="dxa"/>
            </w:tcMar>
          </w:tcPr>
          <w:p w14:paraId="0030F44D" w14:textId="77777777" w:rsidR="00C47639" w:rsidRPr="00F34321" w:rsidRDefault="00C47639" w:rsidP="00C47639">
            <w:pPr>
              <w:pStyle w:val="Standaard-Tabellen"/>
            </w:pPr>
            <w:r w:rsidRPr="00F34321">
              <w:t>Respiration rate [m</w:t>
            </w:r>
            <w:r w:rsidRPr="00F34321">
              <w:rPr>
                <w:vertAlign w:val="superscript"/>
              </w:rPr>
              <w:t>3</w:t>
            </w:r>
            <w:r w:rsidRPr="00F34321">
              <w:t>/air/hour]</w:t>
            </w:r>
            <w:r>
              <w:rPr>
                <w:vertAlign w:val="superscript"/>
              </w:rPr>
              <w:t>2</w:t>
            </w:r>
          </w:p>
        </w:tc>
        <w:tc>
          <w:tcPr>
            <w:tcW w:w="1150" w:type="pct"/>
            <w:shd w:val="clear" w:color="auto" w:fill="auto"/>
            <w:tcMar>
              <w:top w:w="57" w:type="dxa"/>
              <w:bottom w:w="57" w:type="dxa"/>
            </w:tcMar>
          </w:tcPr>
          <w:p w14:paraId="7118D828" w14:textId="77777777" w:rsidR="00C47639" w:rsidRPr="00F34321" w:rsidRDefault="00C47639" w:rsidP="00C47639">
            <w:pPr>
              <w:pStyle w:val="Standaard-Tabellen"/>
            </w:pPr>
            <w:r>
              <w:t>1.</w:t>
            </w:r>
            <w:r w:rsidRPr="00F34321">
              <w:t>26 m³/h</w:t>
            </w:r>
          </w:p>
        </w:tc>
      </w:tr>
      <w:tr w:rsidR="00C47639" w:rsidRPr="00F34321" w14:paraId="2DD2DF01" w14:textId="77777777" w:rsidTr="00C47639">
        <w:trPr>
          <w:tblHeader/>
        </w:trPr>
        <w:tc>
          <w:tcPr>
            <w:tcW w:w="1473" w:type="pct"/>
            <w:vMerge w:val="restart"/>
            <w:tcMar>
              <w:top w:w="57" w:type="dxa"/>
              <w:bottom w:w="57" w:type="dxa"/>
            </w:tcMar>
          </w:tcPr>
          <w:p w14:paraId="0A813B1D" w14:textId="77777777" w:rsidR="00C47639" w:rsidRPr="00F34321" w:rsidRDefault="00C47639" w:rsidP="00C47639">
            <w:pPr>
              <w:pStyle w:val="Standaard-Tabellen"/>
            </w:pPr>
            <w:r w:rsidRPr="000B65BB">
              <w:t>Tier 1- Infant</w:t>
            </w:r>
          </w:p>
        </w:tc>
        <w:tc>
          <w:tcPr>
            <w:tcW w:w="2377" w:type="pct"/>
            <w:shd w:val="clear" w:color="auto" w:fill="auto"/>
            <w:tcMar>
              <w:top w:w="57" w:type="dxa"/>
              <w:bottom w:w="57" w:type="dxa"/>
            </w:tcMar>
          </w:tcPr>
          <w:p w14:paraId="1AC588E0" w14:textId="77777777" w:rsidR="00C47639" w:rsidRPr="00F34321" w:rsidRDefault="00C47639" w:rsidP="00C47639">
            <w:pPr>
              <w:pStyle w:val="Standaard-Tabellen"/>
            </w:pPr>
            <w:r>
              <w:t>Product amount</w:t>
            </w:r>
            <w:r>
              <w:rPr>
                <w:vertAlign w:val="superscript"/>
              </w:rPr>
              <w:t>1</w:t>
            </w:r>
          </w:p>
        </w:tc>
        <w:tc>
          <w:tcPr>
            <w:tcW w:w="1150" w:type="pct"/>
            <w:shd w:val="clear" w:color="auto" w:fill="auto"/>
            <w:tcMar>
              <w:top w:w="57" w:type="dxa"/>
              <w:bottom w:w="57" w:type="dxa"/>
            </w:tcMar>
          </w:tcPr>
          <w:p w14:paraId="2720BBD7" w14:textId="77777777" w:rsidR="00C47639" w:rsidRPr="00F34321" w:rsidRDefault="00C47639" w:rsidP="00C47639">
            <w:pPr>
              <w:pStyle w:val="Standaard-Tabellen"/>
            </w:pPr>
            <w:r w:rsidRPr="000908EA">
              <w:t>1.51 g</w:t>
            </w:r>
          </w:p>
        </w:tc>
      </w:tr>
      <w:tr w:rsidR="00C47639" w:rsidRPr="00F34321" w14:paraId="7B9C581C" w14:textId="77777777" w:rsidTr="00C47639">
        <w:trPr>
          <w:tblHeader/>
        </w:trPr>
        <w:tc>
          <w:tcPr>
            <w:tcW w:w="1473" w:type="pct"/>
            <w:vMerge/>
            <w:tcMar>
              <w:top w:w="57" w:type="dxa"/>
              <w:bottom w:w="57" w:type="dxa"/>
            </w:tcMar>
          </w:tcPr>
          <w:p w14:paraId="0DC1F02D" w14:textId="77777777" w:rsidR="00C47639" w:rsidRPr="00F34321" w:rsidRDefault="00C47639" w:rsidP="00C47639">
            <w:pPr>
              <w:pStyle w:val="Standaard-Tabellen"/>
            </w:pPr>
          </w:p>
        </w:tc>
        <w:tc>
          <w:tcPr>
            <w:tcW w:w="2377" w:type="pct"/>
            <w:shd w:val="clear" w:color="auto" w:fill="auto"/>
            <w:tcMar>
              <w:top w:w="57" w:type="dxa"/>
              <w:bottom w:w="57" w:type="dxa"/>
            </w:tcMar>
          </w:tcPr>
          <w:p w14:paraId="64279469" w14:textId="77777777" w:rsidR="00C47639" w:rsidRPr="00F34321" w:rsidRDefault="00C47639" w:rsidP="00C47639">
            <w:pPr>
              <w:pStyle w:val="Standaard-Tabellen"/>
            </w:pPr>
            <w:r w:rsidRPr="00F34321">
              <w:t>Body weight</w:t>
            </w:r>
            <w:r>
              <w:rPr>
                <w:vertAlign w:val="superscript"/>
              </w:rPr>
              <w:t>2</w:t>
            </w:r>
          </w:p>
        </w:tc>
        <w:tc>
          <w:tcPr>
            <w:tcW w:w="1150" w:type="pct"/>
            <w:shd w:val="clear" w:color="auto" w:fill="auto"/>
            <w:tcMar>
              <w:top w:w="57" w:type="dxa"/>
              <w:bottom w:w="57" w:type="dxa"/>
            </w:tcMar>
          </w:tcPr>
          <w:p w14:paraId="5D756479" w14:textId="77777777" w:rsidR="00C47639" w:rsidRPr="00F34321" w:rsidRDefault="00C47639" w:rsidP="00C47639">
            <w:pPr>
              <w:pStyle w:val="Standaard-Tabellen"/>
            </w:pPr>
            <w:r w:rsidRPr="00F34321">
              <w:t>8 kg</w:t>
            </w:r>
          </w:p>
        </w:tc>
      </w:tr>
      <w:tr w:rsidR="00C47639" w:rsidRPr="00F34321" w14:paraId="3C905418" w14:textId="77777777" w:rsidTr="00C47639">
        <w:trPr>
          <w:tblHeader/>
        </w:trPr>
        <w:tc>
          <w:tcPr>
            <w:tcW w:w="1473" w:type="pct"/>
            <w:vMerge/>
            <w:tcMar>
              <w:top w:w="57" w:type="dxa"/>
              <w:bottom w:w="57" w:type="dxa"/>
            </w:tcMar>
          </w:tcPr>
          <w:p w14:paraId="37ED286D" w14:textId="77777777" w:rsidR="00C47639" w:rsidRPr="00F34321" w:rsidRDefault="00C47639" w:rsidP="00C47639">
            <w:pPr>
              <w:pStyle w:val="Standaard-Tabellen"/>
            </w:pPr>
          </w:p>
        </w:tc>
        <w:tc>
          <w:tcPr>
            <w:tcW w:w="2377" w:type="pct"/>
            <w:shd w:val="clear" w:color="auto" w:fill="auto"/>
            <w:tcMar>
              <w:top w:w="57" w:type="dxa"/>
              <w:bottom w:w="57" w:type="dxa"/>
            </w:tcMar>
          </w:tcPr>
          <w:p w14:paraId="2034B9FD" w14:textId="77777777" w:rsidR="00C47639" w:rsidRPr="00F34321" w:rsidRDefault="00C47639" w:rsidP="00C47639">
            <w:pPr>
              <w:pStyle w:val="Standaard-Tabellen"/>
            </w:pPr>
            <w:r w:rsidRPr="00F34321">
              <w:t>Respiration rate [m</w:t>
            </w:r>
            <w:r w:rsidRPr="00F34321">
              <w:rPr>
                <w:vertAlign w:val="superscript"/>
              </w:rPr>
              <w:t>3</w:t>
            </w:r>
            <w:r w:rsidRPr="00F34321">
              <w:t>/air/hour]</w:t>
            </w:r>
            <w:r>
              <w:rPr>
                <w:vertAlign w:val="superscript"/>
              </w:rPr>
              <w:t>2</w:t>
            </w:r>
          </w:p>
        </w:tc>
        <w:tc>
          <w:tcPr>
            <w:tcW w:w="1150" w:type="pct"/>
            <w:shd w:val="clear" w:color="auto" w:fill="auto"/>
            <w:tcMar>
              <w:top w:w="57" w:type="dxa"/>
              <w:bottom w:w="57" w:type="dxa"/>
            </w:tcMar>
          </w:tcPr>
          <w:p w14:paraId="21CFD0F7" w14:textId="77777777" w:rsidR="00C47639" w:rsidRPr="00F34321" w:rsidRDefault="00C47639" w:rsidP="00C47639">
            <w:pPr>
              <w:pStyle w:val="Standaard-Tabellen"/>
            </w:pPr>
            <w:r>
              <w:t>0.</w:t>
            </w:r>
            <w:r w:rsidRPr="00F34321">
              <w:t>84 m³/h</w:t>
            </w:r>
          </w:p>
        </w:tc>
      </w:tr>
    </w:tbl>
    <w:p w14:paraId="07F6F7AF" w14:textId="77777777" w:rsidR="00C47639" w:rsidRDefault="00C47639" w:rsidP="00C47639">
      <w:pPr>
        <w:pStyle w:val="Voetnoot"/>
      </w:pPr>
      <w:r w:rsidRPr="00F34321">
        <w:rPr>
          <w:rStyle w:val="Appelnotedebasdep"/>
          <w:position w:val="4"/>
          <w:vertAlign w:val="superscript"/>
        </w:rPr>
        <w:lastRenderedPageBreak/>
        <w:t>1</w:t>
      </w:r>
      <w:r w:rsidRPr="00F34321">
        <w:rPr>
          <w:rStyle w:val="Appelnotedebasdep"/>
          <w:position w:val="4"/>
        </w:rPr>
        <w:t xml:space="preserve"> </w:t>
      </w:r>
      <w:r>
        <w:t xml:space="preserve">According the primary exposure, only one application per day can be authorized. Therefore, the product amount corresponds to 1 application/day. </w:t>
      </w:r>
    </w:p>
    <w:p w14:paraId="2888BBAF" w14:textId="77777777" w:rsidR="00C47639" w:rsidRDefault="00C47639" w:rsidP="00C47639">
      <w:pPr>
        <w:pStyle w:val="Voetnoot"/>
      </w:pPr>
      <w:r>
        <w:rPr>
          <w:rStyle w:val="Appelnotedebasdep"/>
          <w:position w:val="4"/>
          <w:vertAlign w:val="superscript"/>
        </w:rPr>
        <w:t>2</w:t>
      </w:r>
      <w:r w:rsidRPr="00F34321">
        <w:rPr>
          <w:rStyle w:val="Appelnotedebasdep"/>
          <w:position w:val="4"/>
        </w:rPr>
        <w:t xml:space="preserve"> General information, see justification above</w:t>
      </w:r>
    </w:p>
    <w:p w14:paraId="2094EA83" w14:textId="77777777" w:rsidR="00C47639" w:rsidRDefault="00C47639" w:rsidP="00C47639">
      <w:pPr>
        <w:pStyle w:val="Voetnoot"/>
      </w:pPr>
    </w:p>
    <w:p w14:paraId="0BF57770" w14:textId="77777777" w:rsidR="00C47639" w:rsidRDefault="00C47639" w:rsidP="00C47639"/>
    <w:p w14:paraId="62F3C0FA" w14:textId="77777777" w:rsidR="00C47639" w:rsidRDefault="00C47639" w:rsidP="00C47639">
      <w:pPr>
        <w:spacing w:before="0" w:after="160" w:line="259" w:lineRule="auto"/>
      </w:pPr>
      <w:r>
        <w:br w:type="page"/>
      </w:r>
    </w:p>
    <w:p w14:paraId="3C3F26FD" w14:textId="77777777" w:rsidR="00C47639" w:rsidRPr="00C20709" w:rsidRDefault="00C47639" w:rsidP="00C47639">
      <w:pPr>
        <w:pStyle w:val="Titre7"/>
        <w:rPr>
          <w:lang w:val="en-US"/>
        </w:rPr>
      </w:pPr>
      <w:r w:rsidRPr="00C20709">
        <w:rPr>
          <w:lang w:val="en-US"/>
        </w:rPr>
        <w:lastRenderedPageBreak/>
        <w:t xml:space="preserve">Calculations for scenario </w:t>
      </w:r>
      <w:r>
        <w:rPr>
          <w:lang w:val="en-US"/>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1"/>
        <w:gridCol w:w="1456"/>
        <w:gridCol w:w="5899"/>
      </w:tblGrid>
      <w:tr w:rsidR="00C47639" w:rsidRPr="00F34321" w14:paraId="4BB3A9FC" w14:textId="77777777" w:rsidTr="00C47639">
        <w:trPr>
          <w:cantSplit/>
          <w:trHeight w:val="472"/>
          <w:tblHeader/>
        </w:trPr>
        <w:tc>
          <w:tcPr>
            <w:tcW w:w="5000" w:type="pct"/>
            <w:gridSpan w:val="3"/>
            <w:shd w:val="clear" w:color="auto" w:fill="FFFFCC"/>
          </w:tcPr>
          <w:p w14:paraId="5DC78E87" w14:textId="77777777" w:rsidR="00C47639" w:rsidRPr="00F34321" w:rsidRDefault="00C47639" w:rsidP="00C47639">
            <w:pPr>
              <w:pStyle w:val="Standaard-Tabellen"/>
              <w:jc w:val="center"/>
              <w:rPr>
                <w:b/>
              </w:rPr>
            </w:pPr>
            <w:r w:rsidRPr="00F34321">
              <w:rPr>
                <w:b/>
              </w:rPr>
              <w:t xml:space="preserve">Summary table: estimated exposure for inhalation of </w:t>
            </w:r>
            <w:proofErr w:type="spellStart"/>
            <w:r w:rsidRPr="00F34321">
              <w:rPr>
                <w:b/>
              </w:rPr>
              <w:t>volatilised</w:t>
            </w:r>
            <w:proofErr w:type="spellEnd"/>
            <w:r w:rsidRPr="00F34321">
              <w:rPr>
                <w:b/>
              </w:rPr>
              <w:t xml:space="preserve"> residues after application (</w:t>
            </w:r>
            <w:proofErr w:type="spellStart"/>
            <w:r w:rsidRPr="00F34321">
              <w:rPr>
                <w:b/>
              </w:rPr>
              <w:t>inhalative</w:t>
            </w:r>
            <w:proofErr w:type="spellEnd"/>
            <w:r w:rsidRPr="00F34321">
              <w:rPr>
                <w:b/>
              </w:rPr>
              <w:t xml:space="preserve"> exposure)</w:t>
            </w:r>
          </w:p>
        </w:tc>
      </w:tr>
      <w:tr w:rsidR="00C47639" w:rsidRPr="00F34321" w14:paraId="6579A6C7" w14:textId="77777777" w:rsidTr="00C47639">
        <w:trPr>
          <w:cantSplit/>
          <w:trHeight w:val="422"/>
          <w:tblHeader/>
        </w:trPr>
        <w:tc>
          <w:tcPr>
            <w:tcW w:w="1086" w:type="pct"/>
            <w:shd w:val="clear" w:color="auto" w:fill="BFBFBF" w:themeFill="background1" w:themeFillShade="BF"/>
          </w:tcPr>
          <w:p w14:paraId="468CF353" w14:textId="77777777" w:rsidR="00C47639" w:rsidRPr="00F34321" w:rsidRDefault="00C47639" w:rsidP="00C47639">
            <w:pPr>
              <w:pStyle w:val="Standaard-Tabellen"/>
              <w:rPr>
                <w:b/>
              </w:rPr>
            </w:pPr>
            <w:r w:rsidRPr="00F34321">
              <w:rPr>
                <w:b/>
              </w:rPr>
              <w:t>Exposure scenario</w:t>
            </w:r>
          </w:p>
        </w:tc>
        <w:tc>
          <w:tcPr>
            <w:tcW w:w="775" w:type="pct"/>
            <w:shd w:val="clear" w:color="auto" w:fill="BFBFBF" w:themeFill="background1" w:themeFillShade="BF"/>
          </w:tcPr>
          <w:p w14:paraId="285F9BA2" w14:textId="77777777" w:rsidR="00C47639" w:rsidRPr="00F34321" w:rsidRDefault="00C47639" w:rsidP="00C47639">
            <w:pPr>
              <w:pStyle w:val="Standaard-Tabellen"/>
              <w:rPr>
                <w:b/>
              </w:rPr>
            </w:pPr>
            <w:r w:rsidRPr="00F34321">
              <w:rPr>
                <w:b/>
              </w:rPr>
              <w:t>Tier/PPE</w:t>
            </w:r>
          </w:p>
        </w:tc>
        <w:tc>
          <w:tcPr>
            <w:tcW w:w="3139" w:type="pct"/>
            <w:shd w:val="clear" w:color="auto" w:fill="BFBFBF" w:themeFill="background1" w:themeFillShade="BF"/>
          </w:tcPr>
          <w:p w14:paraId="76E25F94" w14:textId="77777777" w:rsidR="00C47639" w:rsidRPr="00F34321" w:rsidRDefault="00C47639" w:rsidP="00C47639">
            <w:pPr>
              <w:pStyle w:val="Standaard-Tabellen"/>
              <w:rPr>
                <w:b/>
              </w:rPr>
            </w:pPr>
            <w:r w:rsidRPr="00F34321">
              <w:rPr>
                <w:b/>
              </w:rPr>
              <w:t xml:space="preserve">Estimated inhalation uptake of </w:t>
            </w:r>
            <w:proofErr w:type="spellStart"/>
            <w:r w:rsidRPr="00F34321">
              <w:rPr>
                <w:b/>
              </w:rPr>
              <w:t>volatilised</w:t>
            </w:r>
            <w:proofErr w:type="spellEnd"/>
            <w:r w:rsidRPr="00F34321">
              <w:rPr>
                <w:b/>
              </w:rPr>
              <w:t xml:space="preserve"> residues after application</w:t>
            </w:r>
          </w:p>
        </w:tc>
      </w:tr>
      <w:tr w:rsidR="00C47639" w:rsidRPr="00F34321" w14:paraId="7DD836B0" w14:textId="77777777" w:rsidTr="00C47639">
        <w:trPr>
          <w:cantSplit/>
          <w:trHeight w:val="371"/>
          <w:tblHeader/>
        </w:trPr>
        <w:tc>
          <w:tcPr>
            <w:tcW w:w="1086" w:type="pct"/>
            <w:shd w:val="clear" w:color="auto" w:fill="auto"/>
            <w:vAlign w:val="center"/>
          </w:tcPr>
          <w:p w14:paraId="06FFFD6F" w14:textId="77777777" w:rsidR="00C47639" w:rsidRPr="00F34321" w:rsidRDefault="00C47639" w:rsidP="00C47639">
            <w:pPr>
              <w:pStyle w:val="Standaard-Tabellen"/>
            </w:pPr>
            <w:r w:rsidRPr="00CF46C5">
              <w:t xml:space="preserve">Scenario </w:t>
            </w:r>
            <w:r>
              <w:t>5</w:t>
            </w:r>
            <w:r w:rsidRPr="00CF46C5">
              <w:t xml:space="preserve"> – ADULT</w:t>
            </w:r>
          </w:p>
        </w:tc>
        <w:tc>
          <w:tcPr>
            <w:tcW w:w="775" w:type="pct"/>
            <w:vAlign w:val="center"/>
          </w:tcPr>
          <w:p w14:paraId="25AA3656" w14:textId="77777777" w:rsidR="00C47639" w:rsidRPr="00412894" w:rsidRDefault="00C47639" w:rsidP="00C47639">
            <w:pPr>
              <w:pStyle w:val="Standaard-Tabellen"/>
            </w:pPr>
            <w:r w:rsidRPr="00412894">
              <w:t>Tier 1 /</w:t>
            </w:r>
          </w:p>
          <w:p w14:paraId="0DF33EC3" w14:textId="77777777" w:rsidR="00C47639" w:rsidRPr="00412894" w:rsidRDefault="00C47639" w:rsidP="00C47639">
            <w:pPr>
              <w:pStyle w:val="Standaard-Tabellen"/>
            </w:pPr>
            <w:r w:rsidRPr="00412894">
              <w:t>no PPE</w:t>
            </w:r>
          </w:p>
        </w:tc>
        <w:tc>
          <w:tcPr>
            <w:tcW w:w="3139" w:type="pct"/>
            <w:vAlign w:val="center"/>
          </w:tcPr>
          <w:p w14:paraId="47BB7730" w14:textId="77777777" w:rsidR="00C47639" w:rsidRPr="00412894" w:rsidRDefault="00C47639" w:rsidP="00C47639">
            <w:pPr>
              <w:pStyle w:val="Standaard-Tabellen"/>
            </w:pPr>
            <w:r w:rsidRPr="00B42FAC">
              <w:t>2.12</w:t>
            </w:r>
            <w:r w:rsidRPr="00412894">
              <w:t xml:space="preserve"> mg/kg </w:t>
            </w:r>
            <w:proofErr w:type="spellStart"/>
            <w:r w:rsidRPr="00412894">
              <w:t>bw</w:t>
            </w:r>
            <w:proofErr w:type="spellEnd"/>
            <w:r w:rsidRPr="00412894">
              <w:t>/day</w:t>
            </w:r>
          </w:p>
        </w:tc>
      </w:tr>
      <w:tr w:rsidR="00C47639" w:rsidRPr="00F34321" w14:paraId="30F56C9A" w14:textId="77777777" w:rsidTr="00C47639">
        <w:trPr>
          <w:cantSplit/>
          <w:trHeight w:val="371"/>
          <w:tblHeader/>
        </w:trPr>
        <w:tc>
          <w:tcPr>
            <w:tcW w:w="1086" w:type="pct"/>
            <w:shd w:val="clear" w:color="auto" w:fill="auto"/>
            <w:vAlign w:val="center"/>
          </w:tcPr>
          <w:p w14:paraId="6AB6FE5D" w14:textId="77777777" w:rsidR="00C47639" w:rsidRPr="00F34321" w:rsidRDefault="00C47639" w:rsidP="00C47639">
            <w:pPr>
              <w:pStyle w:val="Standaard-Tabellen"/>
            </w:pPr>
            <w:r>
              <w:t>Scenario 5</w:t>
            </w:r>
            <w:r w:rsidRPr="00CF46C5">
              <w:t xml:space="preserve"> – CHILD</w:t>
            </w:r>
            <w:r>
              <w:t xml:space="preserve"> (6-12)</w:t>
            </w:r>
          </w:p>
        </w:tc>
        <w:tc>
          <w:tcPr>
            <w:tcW w:w="775" w:type="pct"/>
            <w:vAlign w:val="center"/>
          </w:tcPr>
          <w:p w14:paraId="09491C84" w14:textId="77777777" w:rsidR="00C47639" w:rsidRPr="00412894" w:rsidRDefault="00C47639" w:rsidP="00C47639">
            <w:pPr>
              <w:pStyle w:val="Standaard-Tabellen"/>
            </w:pPr>
            <w:r w:rsidRPr="00412894">
              <w:t>Tier 1 /</w:t>
            </w:r>
          </w:p>
          <w:p w14:paraId="54D7A88D" w14:textId="77777777" w:rsidR="00C47639" w:rsidRPr="00412894" w:rsidRDefault="00C47639" w:rsidP="00C47639">
            <w:pPr>
              <w:pStyle w:val="Standaard-Tabellen"/>
            </w:pPr>
            <w:r w:rsidRPr="00412894">
              <w:t>no PPE</w:t>
            </w:r>
          </w:p>
        </w:tc>
        <w:tc>
          <w:tcPr>
            <w:tcW w:w="3139" w:type="pct"/>
            <w:vAlign w:val="center"/>
          </w:tcPr>
          <w:p w14:paraId="706A16B1" w14:textId="77777777" w:rsidR="00C47639" w:rsidRPr="00412894" w:rsidRDefault="00C47639" w:rsidP="00C47639">
            <w:pPr>
              <w:pStyle w:val="Standaard-Tabellen"/>
            </w:pPr>
            <w:r w:rsidRPr="00B42FAC">
              <w:t xml:space="preserve">3.12 mg/kg </w:t>
            </w:r>
            <w:proofErr w:type="spellStart"/>
            <w:r w:rsidRPr="00B42FAC">
              <w:t>bw</w:t>
            </w:r>
            <w:proofErr w:type="spellEnd"/>
            <w:r w:rsidRPr="00B42FAC">
              <w:t>/day</w:t>
            </w:r>
          </w:p>
        </w:tc>
      </w:tr>
      <w:tr w:rsidR="00C47639" w:rsidRPr="00F34321" w14:paraId="173708BE" w14:textId="77777777" w:rsidTr="00C47639">
        <w:trPr>
          <w:cantSplit/>
          <w:trHeight w:val="278"/>
          <w:tblHeader/>
        </w:trPr>
        <w:tc>
          <w:tcPr>
            <w:tcW w:w="1086" w:type="pct"/>
            <w:shd w:val="clear" w:color="auto" w:fill="auto"/>
            <w:vAlign w:val="center"/>
          </w:tcPr>
          <w:p w14:paraId="525423CA" w14:textId="77777777" w:rsidR="00C47639" w:rsidRPr="00F34321" w:rsidRDefault="00C47639" w:rsidP="00C47639">
            <w:pPr>
              <w:pStyle w:val="Standaard-Tabellen"/>
            </w:pPr>
            <w:r>
              <w:t>Scenario 5</w:t>
            </w:r>
            <w:r w:rsidRPr="00CF46C5">
              <w:t xml:space="preserve"> – CHILD</w:t>
            </w:r>
            <w:r>
              <w:t xml:space="preserve"> (2-6)</w:t>
            </w:r>
          </w:p>
        </w:tc>
        <w:tc>
          <w:tcPr>
            <w:tcW w:w="775" w:type="pct"/>
            <w:vAlign w:val="center"/>
          </w:tcPr>
          <w:p w14:paraId="00EDE00B" w14:textId="77777777" w:rsidR="00C47639" w:rsidRPr="00412894" w:rsidRDefault="00C47639" w:rsidP="00C47639">
            <w:pPr>
              <w:pStyle w:val="Standaard-Tabellen"/>
            </w:pPr>
            <w:r w:rsidRPr="00412894">
              <w:t>Tier 1 /</w:t>
            </w:r>
          </w:p>
          <w:p w14:paraId="40B8A970" w14:textId="77777777" w:rsidR="00C47639" w:rsidRPr="00412894" w:rsidRDefault="00C47639" w:rsidP="00C47639">
            <w:pPr>
              <w:pStyle w:val="Standaard-Tabellen"/>
            </w:pPr>
            <w:r w:rsidRPr="00412894">
              <w:t>no PPE</w:t>
            </w:r>
          </w:p>
        </w:tc>
        <w:tc>
          <w:tcPr>
            <w:tcW w:w="3139" w:type="pct"/>
            <w:vAlign w:val="center"/>
          </w:tcPr>
          <w:p w14:paraId="0749044F" w14:textId="77777777" w:rsidR="00C47639" w:rsidRPr="00412894" w:rsidRDefault="00C47639" w:rsidP="00C47639">
            <w:pPr>
              <w:pStyle w:val="Standaard-Tabellen"/>
            </w:pPr>
            <w:r w:rsidRPr="00B42FAC">
              <w:t>3.37</w:t>
            </w:r>
            <w:r w:rsidRPr="00412894">
              <w:t xml:space="preserve"> mg/kg </w:t>
            </w:r>
            <w:proofErr w:type="spellStart"/>
            <w:r w:rsidRPr="00412894">
              <w:t>bw</w:t>
            </w:r>
            <w:proofErr w:type="spellEnd"/>
            <w:r w:rsidRPr="00412894">
              <w:t>/day</w:t>
            </w:r>
          </w:p>
        </w:tc>
      </w:tr>
      <w:tr w:rsidR="00C47639" w:rsidRPr="00F34321" w14:paraId="4DDA0A58" w14:textId="77777777" w:rsidTr="00C47639">
        <w:trPr>
          <w:cantSplit/>
          <w:trHeight w:val="409"/>
          <w:tblHeader/>
        </w:trPr>
        <w:tc>
          <w:tcPr>
            <w:tcW w:w="1086" w:type="pct"/>
            <w:shd w:val="clear" w:color="auto" w:fill="auto"/>
            <w:vAlign w:val="center"/>
          </w:tcPr>
          <w:p w14:paraId="355723C9" w14:textId="77777777" w:rsidR="00C47639" w:rsidRPr="00F34321" w:rsidRDefault="00C47639" w:rsidP="00C47639">
            <w:pPr>
              <w:pStyle w:val="Standaard-Tabellen"/>
            </w:pPr>
            <w:r>
              <w:t>Scenario 5</w:t>
            </w:r>
            <w:r w:rsidRPr="00CF46C5">
              <w:t xml:space="preserve"> – TODDLER</w:t>
            </w:r>
          </w:p>
        </w:tc>
        <w:tc>
          <w:tcPr>
            <w:tcW w:w="775" w:type="pct"/>
            <w:vAlign w:val="center"/>
          </w:tcPr>
          <w:p w14:paraId="6B04A9C9" w14:textId="77777777" w:rsidR="00C47639" w:rsidRPr="00412894" w:rsidRDefault="00C47639" w:rsidP="00C47639">
            <w:pPr>
              <w:pStyle w:val="Standaard-Tabellen"/>
            </w:pPr>
            <w:r w:rsidRPr="00412894">
              <w:t>Tier 1 /</w:t>
            </w:r>
          </w:p>
          <w:p w14:paraId="2CF28712" w14:textId="77777777" w:rsidR="00C47639" w:rsidRPr="00412894" w:rsidRDefault="00C47639" w:rsidP="00C47639">
            <w:pPr>
              <w:pStyle w:val="Standaard-Tabellen"/>
            </w:pPr>
            <w:r w:rsidRPr="00412894">
              <w:t>no PPE</w:t>
            </w:r>
          </w:p>
        </w:tc>
        <w:tc>
          <w:tcPr>
            <w:tcW w:w="3139" w:type="pct"/>
            <w:vAlign w:val="center"/>
          </w:tcPr>
          <w:p w14:paraId="6F348B89" w14:textId="77777777" w:rsidR="00C47639" w:rsidRPr="00412894" w:rsidRDefault="00C47639" w:rsidP="00C47639">
            <w:pPr>
              <w:pStyle w:val="Standaard-Tabellen"/>
            </w:pPr>
            <w:r w:rsidRPr="00B42FAC">
              <w:t>3.71</w:t>
            </w:r>
            <w:r w:rsidRPr="00412894">
              <w:t xml:space="preserve"> mg/kg </w:t>
            </w:r>
            <w:proofErr w:type="spellStart"/>
            <w:r w:rsidRPr="00412894">
              <w:t>bw</w:t>
            </w:r>
            <w:proofErr w:type="spellEnd"/>
            <w:r w:rsidRPr="00412894">
              <w:t>/day</w:t>
            </w:r>
          </w:p>
        </w:tc>
      </w:tr>
      <w:tr w:rsidR="00C47639" w:rsidRPr="00F34321" w14:paraId="3D8B0851" w14:textId="77777777" w:rsidTr="00C47639">
        <w:trPr>
          <w:cantSplit/>
          <w:trHeight w:val="415"/>
          <w:tblHeader/>
        </w:trPr>
        <w:tc>
          <w:tcPr>
            <w:tcW w:w="1086" w:type="pct"/>
            <w:shd w:val="clear" w:color="auto" w:fill="auto"/>
            <w:vAlign w:val="center"/>
          </w:tcPr>
          <w:p w14:paraId="40CBAA4F" w14:textId="77777777" w:rsidR="00C47639" w:rsidRPr="00F34321" w:rsidRDefault="00C47639" w:rsidP="00C47639">
            <w:pPr>
              <w:pStyle w:val="Standaard-Tabellen"/>
            </w:pPr>
            <w:r>
              <w:t>Scenario 5</w:t>
            </w:r>
            <w:r w:rsidRPr="00CF46C5">
              <w:t xml:space="preserve"> – INFANT</w:t>
            </w:r>
          </w:p>
        </w:tc>
        <w:tc>
          <w:tcPr>
            <w:tcW w:w="775" w:type="pct"/>
            <w:vAlign w:val="center"/>
          </w:tcPr>
          <w:p w14:paraId="60517875" w14:textId="77777777" w:rsidR="00C47639" w:rsidRPr="00412894" w:rsidRDefault="00C47639" w:rsidP="00C47639">
            <w:pPr>
              <w:pStyle w:val="Standaard-Tabellen"/>
            </w:pPr>
            <w:r w:rsidRPr="00412894">
              <w:t>Tier 1 /</w:t>
            </w:r>
          </w:p>
          <w:p w14:paraId="3086FF97" w14:textId="77777777" w:rsidR="00C47639" w:rsidRPr="00412894" w:rsidRDefault="00C47639" w:rsidP="00C47639">
            <w:pPr>
              <w:pStyle w:val="Standaard-Tabellen"/>
            </w:pPr>
            <w:r w:rsidRPr="00412894">
              <w:t>no PPE</w:t>
            </w:r>
          </w:p>
        </w:tc>
        <w:tc>
          <w:tcPr>
            <w:tcW w:w="3139" w:type="pct"/>
            <w:vAlign w:val="center"/>
          </w:tcPr>
          <w:p w14:paraId="46080A96" w14:textId="77777777" w:rsidR="00C47639" w:rsidRPr="00412894" w:rsidRDefault="00C47639" w:rsidP="00C47639">
            <w:pPr>
              <w:pStyle w:val="Standaard-Tabellen"/>
            </w:pPr>
            <w:r w:rsidRPr="00B42FAC">
              <w:t>2.64</w:t>
            </w:r>
            <w:r w:rsidRPr="00412894">
              <w:t xml:space="preserve"> mg/kg </w:t>
            </w:r>
            <w:proofErr w:type="spellStart"/>
            <w:r w:rsidRPr="00412894">
              <w:t>bw</w:t>
            </w:r>
            <w:proofErr w:type="spellEnd"/>
            <w:r w:rsidRPr="00412894">
              <w:t>/day</w:t>
            </w:r>
          </w:p>
        </w:tc>
      </w:tr>
    </w:tbl>
    <w:p w14:paraId="19CACD84" w14:textId="77777777" w:rsidR="00C47639" w:rsidRPr="00FD2055" w:rsidRDefault="00C47639" w:rsidP="00C47639"/>
    <w:p w14:paraId="143AFC60" w14:textId="77777777" w:rsidR="00C47639" w:rsidRDefault="00C47639" w:rsidP="00C47639">
      <w:pPr>
        <w:pStyle w:val="Titre6"/>
        <w:rPr>
          <w:lang w:val="en-US"/>
        </w:rPr>
      </w:pPr>
      <w:r w:rsidRPr="0085669D">
        <w:rPr>
          <w:lang w:val="en-US"/>
        </w:rPr>
        <w:t xml:space="preserve">Combined </w:t>
      </w:r>
      <w:proofErr w:type="gramStart"/>
      <w:r w:rsidRPr="0085669D">
        <w:rPr>
          <w:lang w:val="en-US"/>
        </w:rPr>
        <w:t>scenarios</w:t>
      </w:r>
      <w:r>
        <w:rPr>
          <w:lang w:val="en-US"/>
        </w:rPr>
        <w:t xml:space="preserve"> :</w:t>
      </w:r>
      <w:proofErr w:type="gramEnd"/>
      <w:r>
        <w:rPr>
          <w:lang w:val="en-US"/>
        </w:rPr>
        <w:t xml:space="preserve"> Total primary exposure, combination of scenario 1 and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816"/>
        <w:gridCol w:w="1926"/>
        <w:gridCol w:w="1391"/>
        <w:gridCol w:w="1391"/>
        <w:gridCol w:w="1392"/>
      </w:tblGrid>
      <w:tr w:rsidR="00C47639" w:rsidRPr="000377DD" w14:paraId="6BCD85A6" w14:textId="77777777" w:rsidTr="00C47639">
        <w:trPr>
          <w:cantSplit/>
          <w:trHeight w:val="293"/>
          <w:tblHeader/>
        </w:trPr>
        <w:tc>
          <w:tcPr>
            <w:tcW w:w="5000" w:type="pct"/>
            <w:gridSpan w:val="6"/>
            <w:shd w:val="clear" w:color="auto" w:fill="FFFFCC"/>
          </w:tcPr>
          <w:p w14:paraId="35F0A3ED" w14:textId="77777777" w:rsidR="00C47639" w:rsidRPr="000377DD" w:rsidRDefault="00C47639" w:rsidP="00C47639">
            <w:pPr>
              <w:pStyle w:val="Standaard-Tabellen"/>
              <w:jc w:val="center"/>
              <w:rPr>
                <w:b/>
              </w:rPr>
            </w:pPr>
            <w:r w:rsidRPr="000377DD">
              <w:rPr>
                <w:b/>
              </w:rPr>
              <w:t>Summary table: estimated exposure for combined scenarios 1+2</w:t>
            </w:r>
          </w:p>
        </w:tc>
      </w:tr>
      <w:tr w:rsidR="00C47639" w:rsidRPr="000377DD" w14:paraId="58D43B20" w14:textId="77777777" w:rsidTr="00C47639">
        <w:trPr>
          <w:cantSplit/>
          <w:trHeight w:val="444"/>
          <w:tblHeader/>
        </w:trPr>
        <w:tc>
          <w:tcPr>
            <w:tcW w:w="1320" w:type="pct"/>
            <w:shd w:val="clear" w:color="auto" w:fill="BFBFBF" w:themeFill="background1" w:themeFillShade="BF"/>
          </w:tcPr>
          <w:p w14:paraId="468D273E" w14:textId="77777777" w:rsidR="00C47639" w:rsidRPr="000377DD" w:rsidRDefault="00C47639" w:rsidP="00C47639">
            <w:pPr>
              <w:pStyle w:val="Standaard-Tabellen"/>
              <w:rPr>
                <w:b/>
              </w:rPr>
            </w:pPr>
            <w:r w:rsidRPr="000377DD">
              <w:rPr>
                <w:b/>
              </w:rPr>
              <w:t>Exposure scenario</w:t>
            </w:r>
          </w:p>
        </w:tc>
        <w:tc>
          <w:tcPr>
            <w:tcW w:w="434" w:type="pct"/>
            <w:shd w:val="clear" w:color="auto" w:fill="BFBFBF" w:themeFill="background1" w:themeFillShade="BF"/>
          </w:tcPr>
          <w:p w14:paraId="30274BC4" w14:textId="77777777" w:rsidR="00C47639" w:rsidRDefault="00C47639" w:rsidP="00C47639">
            <w:pPr>
              <w:pStyle w:val="Standaard-Tabellen"/>
              <w:rPr>
                <w:b/>
              </w:rPr>
            </w:pPr>
            <w:r w:rsidRPr="000377DD">
              <w:rPr>
                <w:b/>
              </w:rPr>
              <w:t>Tier</w:t>
            </w:r>
            <w:r>
              <w:rPr>
                <w:b/>
              </w:rPr>
              <w:t xml:space="preserve"> </w:t>
            </w:r>
            <w:r w:rsidRPr="000377DD">
              <w:rPr>
                <w:b/>
              </w:rPr>
              <w:t>/</w:t>
            </w:r>
          </w:p>
          <w:p w14:paraId="6E927AAA" w14:textId="77777777" w:rsidR="00C47639" w:rsidRPr="000377DD" w:rsidRDefault="00C47639" w:rsidP="00C47639">
            <w:pPr>
              <w:pStyle w:val="Standaard-Tabellen"/>
              <w:rPr>
                <w:b/>
              </w:rPr>
            </w:pPr>
            <w:r w:rsidRPr="000377DD">
              <w:rPr>
                <w:b/>
              </w:rPr>
              <w:t>PPE</w:t>
            </w:r>
          </w:p>
        </w:tc>
        <w:tc>
          <w:tcPr>
            <w:tcW w:w="1025" w:type="pct"/>
            <w:shd w:val="clear" w:color="auto" w:fill="BFBFBF" w:themeFill="background1" w:themeFillShade="BF"/>
          </w:tcPr>
          <w:p w14:paraId="0478AB25" w14:textId="77777777" w:rsidR="00C47639" w:rsidRDefault="00C47639" w:rsidP="00C47639">
            <w:pPr>
              <w:pStyle w:val="Standaard-Tabellen"/>
              <w:rPr>
                <w:b/>
              </w:rPr>
            </w:pPr>
            <w:r w:rsidRPr="000377DD">
              <w:rPr>
                <w:b/>
              </w:rPr>
              <w:t>Estimated dermal</w:t>
            </w:r>
          </w:p>
          <w:p w14:paraId="244A66C3" w14:textId="77777777" w:rsidR="00C47639" w:rsidRDefault="00C47639" w:rsidP="00C47639">
            <w:pPr>
              <w:pStyle w:val="Standaard-Tabellen"/>
              <w:rPr>
                <w:b/>
              </w:rPr>
            </w:pPr>
            <w:r w:rsidRPr="000377DD">
              <w:rPr>
                <w:b/>
              </w:rPr>
              <w:t>uptake</w:t>
            </w:r>
          </w:p>
          <w:p w14:paraId="555502C8" w14:textId="77777777" w:rsidR="00C47639" w:rsidRPr="000377DD" w:rsidRDefault="00C47639" w:rsidP="00C47639">
            <w:pPr>
              <w:pStyle w:val="Standaard-Tabellen"/>
              <w:rPr>
                <w:b/>
              </w:rPr>
            </w:pPr>
            <w:r>
              <w:rPr>
                <w:b/>
              </w:rPr>
              <w:t>[mg/kg </w:t>
            </w:r>
            <w:proofErr w:type="spellStart"/>
            <w:r>
              <w:rPr>
                <w:b/>
              </w:rPr>
              <w:t>bw</w:t>
            </w:r>
            <w:proofErr w:type="spellEnd"/>
            <w:r>
              <w:rPr>
                <w:b/>
              </w:rPr>
              <w:t>/day]</w:t>
            </w:r>
          </w:p>
        </w:tc>
        <w:tc>
          <w:tcPr>
            <w:tcW w:w="740" w:type="pct"/>
            <w:shd w:val="clear" w:color="auto" w:fill="BFBFBF" w:themeFill="background1" w:themeFillShade="BF"/>
          </w:tcPr>
          <w:p w14:paraId="3958987C" w14:textId="77777777" w:rsidR="00C47639" w:rsidRDefault="00C47639" w:rsidP="00C47639">
            <w:pPr>
              <w:pStyle w:val="Standaard-Tabellen"/>
              <w:rPr>
                <w:b/>
              </w:rPr>
            </w:pPr>
            <w:r w:rsidRPr="000377DD">
              <w:rPr>
                <w:b/>
              </w:rPr>
              <w:t>Estimated</w:t>
            </w:r>
          </w:p>
          <w:p w14:paraId="16DEA11F" w14:textId="77777777" w:rsidR="00C47639" w:rsidRDefault="00C47639" w:rsidP="00C47639">
            <w:pPr>
              <w:pStyle w:val="Standaard-Tabellen"/>
              <w:rPr>
                <w:b/>
              </w:rPr>
            </w:pPr>
            <w:r w:rsidRPr="000377DD">
              <w:rPr>
                <w:b/>
              </w:rPr>
              <w:t>inhalation</w:t>
            </w:r>
          </w:p>
          <w:p w14:paraId="75D7CE18" w14:textId="77777777" w:rsidR="00C47639" w:rsidRDefault="00C47639" w:rsidP="00C47639">
            <w:pPr>
              <w:pStyle w:val="Standaard-Tabellen"/>
              <w:rPr>
                <w:b/>
              </w:rPr>
            </w:pPr>
            <w:r w:rsidRPr="000377DD">
              <w:rPr>
                <w:b/>
              </w:rPr>
              <w:t>uptake</w:t>
            </w:r>
          </w:p>
          <w:p w14:paraId="730A5285" w14:textId="77777777" w:rsidR="00C47639" w:rsidRPr="000377DD" w:rsidRDefault="00C47639" w:rsidP="00C47639">
            <w:pPr>
              <w:pStyle w:val="Standaard-Tabellen"/>
              <w:rPr>
                <w:b/>
              </w:rPr>
            </w:pPr>
            <w:r>
              <w:rPr>
                <w:b/>
              </w:rPr>
              <w:t>[mg/kg </w:t>
            </w:r>
            <w:proofErr w:type="spellStart"/>
            <w:r>
              <w:rPr>
                <w:b/>
              </w:rPr>
              <w:t>bw</w:t>
            </w:r>
            <w:proofErr w:type="spellEnd"/>
            <w:r>
              <w:rPr>
                <w:b/>
              </w:rPr>
              <w:t>]</w:t>
            </w:r>
          </w:p>
        </w:tc>
        <w:tc>
          <w:tcPr>
            <w:tcW w:w="740" w:type="pct"/>
            <w:shd w:val="clear" w:color="auto" w:fill="BFBFBF" w:themeFill="background1" w:themeFillShade="BF"/>
          </w:tcPr>
          <w:p w14:paraId="6E0CB66B" w14:textId="77777777" w:rsidR="00C47639" w:rsidRDefault="00C47639" w:rsidP="00C47639">
            <w:pPr>
              <w:pStyle w:val="Standaard-Tabellen"/>
              <w:rPr>
                <w:b/>
              </w:rPr>
            </w:pPr>
            <w:r w:rsidRPr="000377DD">
              <w:rPr>
                <w:b/>
              </w:rPr>
              <w:t>Estimated</w:t>
            </w:r>
          </w:p>
          <w:p w14:paraId="78BF1BAE" w14:textId="77777777" w:rsidR="00C47639" w:rsidRDefault="00C47639" w:rsidP="00C47639">
            <w:pPr>
              <w:pStyle w:val="Standaard-Tabellen"/>
              <w:rPr>
                <w:b/>
              </w:rPr>
            </w:pPr>
            <w:r>
              <w:rPr>
                <w:b/>
              </w:rPr>
              <w:t>oral</w:t>
            </w:r>
          </w:p>
          <w:p w14:paraId="5695E94E" w14:textId="77777777" w:rsidR="00C47639" w:rsidRDefault="00C47639" w:rsidP="00C47639">
            <w:pPr>
              <w:pStyle w:val="Standaard-Tabellen"/>
              <w:rPr>
                <w:b/>
              </w:rPr>
            </w:pPr>
            <w:r w:rsidRPr="000377DD">
              <w:rPr>
                <w:b/>
              </w:rPr>
              <w:t>uptake</w:t>
            </w:r>
          </w:p>
          <w:p w14:paraId="5024425B" w14:textId="77777777" w:rsidR="00C47639" w:rsidRPr="000377DD" w:rsidRDefault="00C47639" w:rsidP="00C47639">
            <w:pPr>
              <w:pStyle w:val="Standaard-Tabellen"/>
              <w:rPr>
                <w:b/>
              </w:rPr>
            </w:pPr>
            <w:r>
              <w:rPr>
                <w:b/>
              </w:rPr>
              <w:t>[mg/kg </w:t>
            </w:r>
            <w:proofErr w:type="spellStart"/>
            <w:r>
              <w:rPr>
                <w:b/>
              </w:rPr>
              <w:t>bw</w:t>
            </w:r>
            <w:proofErr w:type="spellEnd"/>
            <w:r>
              <w:rPr>
                <w:b/>
              </w:rPr>
              <w:t>]</w:t>
            </w:r>
          </w:p>
        </w:tc>
        <w:tc>
          <w:tcPr>
            <w:tcW w:w="741" w:type="pct"/>
            <w:shd w:val="clear" w:color="auto" w:fill="BFBFBF" w:themeFill="background1" w:themeFillShade="BF"/>
          </w:tcPr>
          <w:p w14:paraId="1A1281EA" w14:textId="77777777" w:rsidR="00C47639" w:rsidRDefault="00C47639" w:rsidP="00C47639">
            <w:pPr>
              <w:pStyle w:val="Standaard-Tabellen"/>
              <w:rPr>
                <w:b/>
              </w:rPr>
            </w:pPr>
            <w:r w:rsidRPr="000377DD">
              <w:rPr>
                <w:b/>
              </w:rPr>
              <w:t xml:space="preserve">Estimated </w:t>
            </w:r>
          </w:p>
          <w:p w14:paraId="530EB437" w14:textId="77777777" w:rsidR="00C47639" w:rsidRDefault="00C47639" w:rsidP="00C47639">
            <w:pPr>
              <w:pStyle w:val="Standaard-Tabellen"/>
              <w:rPr>
                <w:b/>
              </w:rPr>
            </w:pPr>
            <w:r w:rsidRPr="000377DD">
              <w:rPr>
                <w:b/>
              </w:rPr>
              <w:t>total acute</w:t>
            </w:r>
          </w:p>
          <w:p w14:paraId="76248362" w14:textId="77777777" w:rsidR="00C47639" w:rsidRDefault="00C47639" w:rsidP="00C47639">
            <w:pPr>
              <w:pStyle w:val="Standaard-Tabellen"/>
              <w:rPr>
                <w:b/>
              </w:rPr>
            </w:pPr>
            <w:r w:rsidRPr="000377DD">
              <w:rPr>
                <w:b/>
              </w:rPr>
              <w:t>uptake for</w:t>
            </w:r>
          </w:p>
          <w:p w14:paraId="71D14BE5" w14:textId="77777777" w:rsidR="00C47639" w:rsidRDefault="00C47639" w:rsidP="00C47639">
            <w:pPr>
              <w:pStyle w:val="Standaard-Tabellen"/>
              <w:rPr>
                <w:b/>
              </w:rPr>
            </w:pPr>
            <w:r w:rsidRPr="000377DD">
              <w:rPr>
                <w:b/>
              </w:rPr>
              <w:t xml:space="preserve">primary use </w:t>
            </w:r>
          </w:p>
          <w:p w14:paraId="055995CB" w14:textId="77777777" w:rsidR="00C47639" w:rsidRPr="000377DD" w:rsidRDefault="00C47639" w:rsidP="00C47639">
            <w:pPr>
              <w:pStyle w:val="Standaard-Tabellen"/>
              <w:rPr>
                <w:b/>
              </w:rPr>
            </w:pPr>
            <w:r>
              <w:rPr>
                <w:b/>
              </w:rPr>
              <w:t>[mg/kg </w:t>
            </w:r>
            <w:proofErr w:type="spellStart"/>
            <w:r>
              <w:rPr>
                <w:b/>
              </w:rPr>
              <w:t>bw</w:t>
            </w:r>
            <w:proofErr w:type="spellEnd"/>
            <w:r>
              <w:rPr>
                <w:b/>
              </w:rPr>
              <w:t>]</w:t>
            </w:r>
          </w:p>
        </w:tc>
      </w:tr>
      <w:tr w:rsidR="00C47639" w:rsidRPr="00524057" w14:paraId="2BB43842" w14:textId="77777777" w:rsidTr="00C47639">
        <w:trPr>
          <w:cantSplit/>
          <w:trHeight w:val="587"/>
          <w:tblHeader/>
        </w:trPr>
        <w:tc>
          <w:tcPr>
            <w:tcW w:w="1320" w:type="pct"/>
            <w:shd w:val="clear" w:color="auto" w:fill="auto"/>
            <w:vAlign w:val="center"/>
          </w:tcPr>
          <w:p w14:paraId="60ED252C" w14:textId="77777777" w:rsidR="00C47639" w:rsidRPr="00CF46C5" w:rsidRDefault="00C47639" w:rsidP="00C47639">
            <w:pPr>
              <w:pStyle w:val="Standaard-Tabellen"/>
            </w:pPr>
            <w:r w:rsidRPr="00CF46C5">
              <w:t>Scenario 1</w:t>
            </w:r>
            <w:r>
              <w:t xml:space="preserve">+2 </w:t>
            </w:r>
            <w:r w:rsidRPr="00CF46C5">
              <w:t>– ADULT</w:t>
            </w:r>
          </w:p>
          <w:p w14:paraId="04B7EE11" w14:textId="77777777" w:rsidR="00C47639" w:rsidRPr="00FD2055" w:rsidRDefault="00C47639" w:rsidP="00C47639">
            <w:pPr>
              <w:pStyle w:val="Standaard-Tabellen"/>
            </w:pPr>
            <w:r w:rsidRPr="00CF46C5">
              <w:t>3 applications/day</w:t>
            </w:r>
          </w:p>
        </w:tc>
        <w:tc>
          <w:tcPr>
            <w:tcW w:w="434" w:type="pct"/>
            <w:vAlign w:val="center"/>
          </w:tcPr>
          <w:p w14:paraId="1F34B6ED" w14:textId="77777777" w:rsidR="00C47639" w:rsidRPr="00CF46C5" w:rsidRDefault="00C47639" w:rsidP="00C47639">
            <w:pPr>
              <w:pStyle w:val="Standaard-Tabellen"/>
            </w:pPr>
            <w:r w:rsidRPr="00CF46C5">
              <w:t>Tier 1 /</w:t>
            </w:r>
          </w:p>
          <w:p w14:paraId="445A7724" w14:textId="77777777" w:rsidR="00C47639" w:rsidRDefault="00C47639" w:rsidP="00C47639">
            <w:pPr>
              <w:pStyle w:val="Standaard-Tabellen"/>
            </w:pPr>
            <w:r w:rsidRPr="00CF46C5">
              <w:t>no PPE</w:t>
            </w:r>
          </w:p>
        </w:tc>
        <w:tc>
          <w:tcPr>
            <w:tcW w:w="1025" w:type="pct"/>
            <w:vAlign w:val="center"/>
          </w:tcPr>
          <w:p w14:paraId="5D998022" w14:textId="77777777" w:rsidR="00C47639" w:rsidRPr="009C3B8B" w:rsidRDefault="00C47639" w:rsidP="00C47639">
            <w:pPr>
              <w:pStyle w:val="Standaard-Tabellen"/>
              <w:rPr>
                <w:rFonts w:cs="Arial"/>
              </w:rPr>
            </w:pPr>
            <w:r w:rsidRPr="00775D86">
              <w:rPr>
                <w:color w:val="FF0000"/>
              </w:rPr>
              <w:t xml:space="preserve">8.56 </w:t>
            </w:r>
          </w:p>
        </w:tc>
        <w:tc>
          <w:tcPr>
            <w:tcW w:w="740" w:type="pct"/>
            <w:vAlign w:val="center"/>
          </w:tcPr>
          <w:p w14:paraId="64D5934F" w14:textId="77777777" w:rsidR="00C47639" w:rsidRDefault="00C47639" w:rsidP="00C47639">
            <w:pPr>
              <w:pStyle w:val="Standaard-Tabellen"/>
              <w:rPr>
                <w:rFonts w:cs="Arial"/>
              </w:rPr>
            </w:pPr>
            <w:r w:rsidRPr="00775D86">
              <w:rPr>
                <w:rFonts w:cs="Arial"/>
              </w:rPr>
              <w:t xml:space="preserve">0.000981 </w:t>
            </w:r>
          </w:p>
        </w:tc>
        <w:tc>
          <w:tcPr>
            <w:tcW w:w="740" w:type="pct"/>
            <w:vAlign w:val="center"/>
          </w:tcPr>
          <w:p w14:paraId="70811A4F" w14:textId="77777777" w:rsidR="00C47639" w:rsidRDefault="00C47639" w:rsidP="00C47639">
            <w:pPr>
              <w:pStyle w:val="Standaard-Tabellen"/>
              <w:rPr>
                <w:rFonts w:cs="Arial"/>
              </w:rPr>
            </w:pPr>
            <w:r w:rsidRPr="00775D86">
              <w:rPr>
                <w:rFonts w:cs="Arial"/>
              </w:rPr>
              <w:t xml:space="preserve">0.00777 </w:t>
            </w:r>
          </w:p>
        </w:tc>
        <w:tc>
          <w:tcPr>
            <w:tcW w:w="741" w:type="pct"/>
            <w:vAlign w:val="center"/>
          </w:tcPr>
          <w:p w14:paraId="23DB3606" w14:textId="77777777" w:rsidR="00C47639" w:rsidRDefault="00C47639" w:rsidP="00C47639">
            <w:pPr>
              <w:pStyle w:val="Standaard-Tabellen"/>
              <w:rPr>
                <w:rFonts w:cs="Arial"/>
              </w:rPr>
            </w:pPr>
            <w:r>
              <w:rPr>
                <w:color w:val="FF0000"/>
              </w:rPr>
              <w:t>8.57</w:t>
            </w:r>
            <w:r w:rsidRPr="00775D86">
              <w:rPr>
                <w:color w:val="FF0000"/>
              </w:rPr>
              <w:t xml:space="preserve"> </w:t>
            </w:r>
          </w:p>
        </w:tc>
      </w:tr>
      <w:tr w:rsidR="00C47639" w14:paraId="1D861AE8" w14:textId="77777777" w:rsidTr="00C47639">
        <w:trPr>
          <w:cantSplit/>
          <w:trHeight w:val="435"/>
          <w:tblHeader/>
        </w:trPr>
        <w:tc>
          <w:tcPr>
            <w:tcW w:w="1320" w:type="pct"/>
            <w:shd w:val="clear" w:color="auto" w:fill="auto"/>
            <w:vAlign w:val="center"/>
          </w:tcPr>
          <w:p w14:paraId="3BDEF8AB" w14:textId="77777777" w:rsidR="00C47639" w:rsidRPr="00CF46C5" w:rsidRDefault="00C47639" w:rsidP="00C47639">
            <w:pPr>
              <w:pStyle w:val="Standaard-Tabellen"/>
            </w:pPr>
            <w:r w:rsidRPr="00CF46C5">
              <w:t>Scenario 1</w:t>
            </w:r>
            <w:r>
              <w:t xml:space="preserve">+2 </w:t>
            </w:r>
            <w:r w:rsidRPr="00CF46C5">
              <w:t>– CHILD</w:t>
            </w:r>
            <w:r>
              <w:t xml:space="preserve"> (6-12)</w:t>
            </w:r>
          </w:p>
          <w:p w14:paraId="73F696E7" w14:textId="77777777" w:rsidR="00C47639" w:rsidRPr="00FD2055" w:rsidRDefault="00C47639" w:rsidP="00C47639">
            <w:pPr>
              <w:pStyle w:val="Standaard-Tabellen"/>
            </w:pPr>
            <w:r w:rsidRPr="00CF46C5">
              <w:t>2 applications/day</w:t>
            </w:r>
          </w:p>
        </w:tc>
        <w:tc>
          <w:tcPr>
            <w:tcW w:w="434" w:type="pct"/>
            <w:vAlign w:val="center"/>
          </w:tcPr>
          <w:p w14:paraId="56081381" w14:textId="77777777" w:rsidR="00C47639" w:rsidRPr="00CF46C5" w:rsidRDefault="00C47639" w:rsidP="00C47639">
            <w:pPr>
              <w:pStyle w:val="Standaard-Tabellen"/>
            </w:pPr>
            <w:r w:rsidRPr="00CF46C5">
              <w:t>Tier 1 /</w:t>
            </w:r>
          </w:p>
          <w:p w14:paraId="0EE111CF" w14:textId="77777777" w:rsidR="00C47639" w:rsidRPr="00B41694" w:rsidRDefault="00C47639" w:rsidP="00C47639">
            <w:pPr>
              <w:pStyle w:val="Standaard-Tabellen"/>
            </w:pPr>
            <w:r w:rsidRPr="00CF46C5">
              <w:t>no PPE</w:t>
            </w:r>
          </w:p>
        </w:tc>
        <w:tc>
          <w:tcPr>
            <w:tcW w:w="1025" w:type="pct"/>
            <w:vAlign w:val="center"/>
          </w:tcPr>
          <w:p w14:paraId="6B74F2C9" w14:textId="77777777" w:rsidR="00C47639" w:rsidRPr="009C3B8B" w:rsidRDefault="00C47639" w:rsidP="00C47639">
            <w:pPr>
              <w:pStyle w:val="Standaard-Tabellen"/>
              <w:rPr>
                <w:rFonts w:cs="Arial"/>
              </w:rPr>
            </w:pPr>
            <w:r w:rsidRPr="00775D86">
              <w:rPr>
                <w:color w:val="FF0000"/>
              </w:rPr>
              <w:t xml:space="preserve">7.94 </w:t>
            </w:r>
          </w:p>
        </w:tc>
        <w:tc>
          <w:tcPr>
            <w:tcW w:w="740" w:type="pct"/>
            <w:vAlign w:val="center"/>
          </w:tcPr>
          <w:p w14:paraId="0092F8E4" w14:textId="77777777" w:rsidR="00C47639" w:rsidRPr="009C3B8B" w:rsidRDefault="00C47639" w:rsidP="00C47639">
            <w:pPr>
              <w:pStyle w:val="Standaard-Tabellen"/>
              <w:rPr>
                <w:rFonts w:cs="Arial"/>
              </w:rPr>
            </w:pPr>
            <w:r w:rsidRPr="00775D86">
              <w:rPr>
                <w:rFonts w:cs="Arial"/>
              </w:rPr>
              <w:t xml:space="preserve">0.00173 </w:t>
            </w:r>
          </w:p>
        </w:tc>
        <w:tc>
          <w:tcPr>
            <w:tcW w:w="740" w:type="pct"/>
            <w:vAlign w:val="center"/>
          </w:tcPr>
          <w:p w14:paraId="2162FDA6" w14:textId="77777777" w:rsidR="00C47639" w:rsidRPr="009C3B8B" w:rsidRDefault="00C47639" w:rsidP="00C47639">
            <w:pPr>
              <w:pStyle w:val="Standaard-Tabellen"/>
              <w:rPr>
                <w:rFonts w:cs="Arial"/>
              </w:rPr>
            </w:pPr>
            <w:r w:rsidRPr="00775D86">
              <w:rPr>
                <w:rFonts w:cs="Arial"/>
              </w:rPr>
              <w:t xml:space="preserve">0.0137 </w:t>
            </w:r>
          </w:p>
        </w:tc>
        <w:tc>
          <w:tcPr>
            <w:tcW w:w="741" w:type="pct"/>
            <w:vAlign w:val="center"/>
          </w:tcPr>
          <w:p w14:paraId="6DA99355" w14:textId="77777777" w:rsidR="00C47639" w:rsidRPr="009C3B8B" w:rsidRDefault="00C47639" w:rsidP="00C47639">
            <w:pPr>
              <w:pStyle w:val="Standaard-Tabellen"/>
              <w:rPr>
                <w:rFonts w:cs="Arial"/>
              </w:rPr>
            </w:pPr>
            <w:r>
              <w:rPr>
                <w:color w:val="FF0000"/>
              </w:rPr>
              <w:t>7.96</w:t>
            </w:r>
            <w:r w:rsidRPr="00775D86">
              <w:rPr>
                <w:color w:val="FF0000"/>
              </w:rPr>
              <w:t xml:space="preserve"> </w:t>
            </w:r>
          </w:p>
        </w:tc>
      </w:tr>
      <w:tr w:rsidR="00C47639" w14:paraId="201C3F2C" w14:textId="77777777" w:rsidTr="00C47639">
        <w:trPr>
          <w:cantSplit/>
          <w:trHeight w:val="435"/>
          <w:tblHeader/>
        </w:trPr>
        <w:tc>
          <w:tcPr>
            <w:tcW w:w="1320" w:type="pct"/>
            <w:shd w:val="clear" w:color="auto" w:fill="auto"/>
            <w:vAlign w:val="center"/>
          </w:tcPr>
          <w:p w14:paraId="3CC2EB42" w14:textId="77777777" w:rsidR="00C47639" w:rsidRPr="00CF46C5" w:rsidRDefault="00C47639" w:rsidP="00C47639">
            <w:pPr>
              <w:pStyle w:val="Standaard-Tabellen"/>
            </w:pPr>
            <w:r w:rsidRPr="00CF46C5">
              <w:t>Scenario 1</w:t>
            </w:r>
            <w:r>
              <w:t>+2</w:t>
            </w:r>
            <w:r w:rsidRPr="00CF46C5">
              <w:t xml:space="preserve"> – CHILD</w:t>
            </w:r>
            <w:r>
              <w:t xml:space="preserve"> (2-6)</w:t>
            </w:r>
          </w:p>
          <w:p w14:paraId="1CC80690" w14:textId="77777777" w:rsidR="00C47639" w:rsidRPr="00D024CB" w:rsidRDefault="00C47639" w:rsidP="00C47639">
            <w:pPr>
              <w:pStyle w:val="Standaard-Tabellen"/>
            </w:pPr>
            <w:r w:rsidRPr="00CF46C5">
              <w:t>2 applications/day</w:t>
            </w:r>
          </w:p>
        </w:tc>
        <w:tc>
          <w:tcPr>
            <w:tcW w:w="434" w:type="pct"/>
            <w:vAlign w:val="center"/>
          </w:tcPr>
          <w:p w14:paraId="40B09602" w14:textId="77777777" w:rsidR="00C47639" w:rsidRPr="00CF46C5" w:rsidRDefault="00C47639" w:rsidP="00C47639">
            <w:pPr>
              <w:pStyle w:val="Standaard-Tabellen"/>
            </w:pPr>
            <w:r w:rsidRPr="00CF46C5">
              <w:t>Tier 1 /</w:t>
            </w:r>
          </w:p>
          <w:p w14:paraId="5177A072" w14:textId="77777777" w:rsidR="00C47639" w:rsidRPr="00B41694" w:rsidRDefault="00C47639" w:rsidP="00C47639">
            <w:pPr>
              <w:pStyle w:val="Standaard-Tabellen"/>
            </w:pPr>
            <w:r w:rsidRPr="00CF46C5">
              <w:t>no PPE</w:t>
            </w:r>
          </w:p>
        </w:tc>
        <w:tc>
          <w:tcPr>
            <w:tcW w:w="1025" w:type="pct"/>
            <w:vAlign w:val="center"/>
          </w:tcPr>
          <w:p w14:paraId="75530775" w14:textId="77777777" w:rsidR="00C47639" w:rsidRPr="00837BBB" w:rsidRDefault="00C47639" w:rsidP="00C47639">
            <w:pPr>
              <w:pStyle w:val="Standaard-Tabellen"/>
              <w:rPr>
                <w:rFonts w:cs="Arial"/>
              </w:rPr>
            </w:pPr>
            <w:r w:rsidRPr="00775D86">
              <w:rPr>
                <w:color w:val="FF0000"/>
              </w:rPr>
              <w:t xml:space="preserve">8.99 </w:t>
            </w:r>
          </w:p>
        </w:tc>
        <w:tc>
          <w:tcPr>
            <w:tcW w:w="740" w:type="pct"/>
            <w:vAlign w:val="center"/>
          </w:tcPr>
          <w:p w14:paraId="0D520FBD" w14:textId="77777777" w:rsidR="00C47639" w:rsidRDefault="00C47639" w:rsidP="00C47639">
            <w:pPr>
              <w:pStyle w:val="Standaard-Tabellen"/>
              <w:rPr>
                <w:rFonts w:cs="Arial"/>
              </w:rPr>
            </w:pPr>
            <w:r w:rsidRPr="00775D86">
              <w:rPr>
                <w:rFonts w:cs="Arial"/>
              </w:rPr>
              <w:t xml:space="preserve">0.00253 </w:t>
            </w:r>
          </w:p>
        </w:tc>
        <w:tc>
          <w:tcPr>
            <w:tcW w:w="740" w:type="pct"/>
            <w:vAlign w:val="center"/>
          </w:tcPr>
          <w:p w14:paraId="20327F6F" w14:textId="77777777" w:rsidR="00C47639" w:rsidRDefault="00C47639" w:rsidP="00C47639">
            <w:pPr>
              <w:pStyle w:val="Standaard-Tabellen"/>
              <w:rPr>
                <w:rFonts w:cs="Arial"/>
              </w:rPr>
            </w:pPr>
            <w:r w:rsidRPr="00775D86">
              <w:rPr>
                <w:rFonts w:cs="Arial"/>
              </w:rPr>
              <w:t xml:space="preserve">0.0201 </w:t>
            </w:r>
          </w:p>
        </w:tc>
        <w:tc>
          <w:tcPr>
            <w:tcW w:w="741" w:type="pct"/>
            <w:vAlign w:val="center"/>
          </w:tcPr>
          <w:p w14:paraId="4C4F7A86" w14:textId="77777777" w:rsidR="00C47639" w:rsidRPr="00837BBB" w:rsidRDefault="00C47639" w:rsidP="00C47639">
            <w:pPr>
              <w:pStyle w:val="Standaard-Tabellen"/>
              <w:rPr>
                <w:rFonts w:cs="Arial"/>
              </w:rPr>
            </w:pPr>
            <w:r>
              <w:rPr>
                <w:color w:val="FF0000"/>
              </w:rPr>
              <w:t>9.02</w:t>
            </w:r>
            <w:r w:rsidRPr="00775D86">
              <w:rPr>
                <w:color w:val="FF0000"/>
              </w:rPr>
              <w:t xml:space="preserve"> </w:t>
            </w:r>
          </w:p>
        </w:tc>
      </w:tr>
      <w:tr w:rsidR="00C47639" w:rsidRPr="00524057" w14:paraId="5E502D37" w14:textId="77777777" w:rsidTr="00C47639">
        <w:trPr>
          <w:cantSplit/>
          <w:trHeight w:val="595"/>
          <w:tblHeader/>
        </w:trPr>
        <w:tc>
          <w:tcPr>
            <w:tcW w:w="1320" w:type="pct"/>
            <w:shd w:val="clear" w:color="auto" w:fill="auto"/>
            <w:vAlign w:val="center"/>
          </w:tcPr>
          <w:p w14:paraId="76B04250" w14:textId="77777777" w:rsidR="00C47639" w:rsidRPr="00CF46C5" w:rsidRDefault="00C47639" w:rsidP="00C47639">
            <w:pPr>
              <w:pStyle w:val="Standaard-Tabellen"/>
            </w:pPr>
            <w:r w:rsidRPr="00CF46C5">
              <w:t>Scenario 1</w:t>
            </w:r>
            <w:r>
              <w:t>+2</w:t>
            </w:r>
            <w:r w:rsidRPr="00CF46C5">
              <w:t xml:space="preserve"> – TODDLER</w:t>
            </w:r>
          </w:p>
          <w:p w14:paraId="62ECF444" w14:textId="77777777" w:rsidR="00C47639" w:rsidRPr="00FD2055" w:rsidRDefault="00C47639" w:rsidP="00C47639">
            <w:pPr>
              <w:pStyle w:val="Standaard-Tabellen"/>
            </w:pPr>
            <w:r w:rsidRPr="00CF46C5">
              <w:t>1 application/day</w:t>
            </w:r>
          </w:p>
        </w:tc>
        <w:tc>
          <w:tcPr>
            <w:tcW w:w="434" w:type="pct"/>
            <w:vAlign w:val="center"/>
          </w:tcPr>
          <w:p w14:paraId="3763C2A0" w14:textId="77777777" w:rsidR="00C47639" w:rsidRPr="00CF46C5" w:rsidRDefault="00C47639" w:rsidP="00C47639">
            <w:pPr>
              <w:pStyle w:val="Standaard-Tabellen"/>
            </w:pPr>
            <w:r w:rsidRPr="00CF46C5">
              <w:t>Tier 1 /</w:t>
            </w:r>
          </w:p>
          <w:p w14:paraId="092E3983" w14:textId="77777777" w:rsidR="00C47639" w:rsidRPr="00FD2055" w:rsidRDefault="00C47639" w:rsidP="00C47639">
            <w:pPr>
              <w:pStyle w:val="Standaard-Tabellen"/>
            </w:pPr>
            <w:r w:rsidRPr="00CF46C5">
              <w:t>no PPE</w:t>
            </w:r>
          </w:p>
        </w:tc>
        <w:tc>
          <w:tcPr>
            <w:tcW w:w="1025" w:type="pct"/>
            <w:vAlign w:val="center"/>
          </w:tcPr>
          <w:p w14:paraId="4D6111B5" w14:textId="77777777" w:rsidR="00C47639" w:rsidRPr="009C3B8B" w:rsidRDefault="00C47639" w:rsidP="00C47639">
            <w:pPr>
              <w:pStyle w:val="Standaard-Tabellen"/>
              <w:rPr>
                <w:rFonts w:cs="Arial"/>
              </w:rPr>
            </w:pPr>
            <w:r w:rsidRPr="00775D86">
              <w:t xml:space="preserve">4.95 </w:t>
            </w:r>
          </w:p>
        </w:tc>
        <w:tc>
          <w:tcPr>
            <w:tcW w:w="740" w:type="pct"/>
            <w:vAlign w:val="center"/>
          </w:tcPr>
          <w:p w14:paraId="1FF132A9" w14:textId="77777777" w:rsidR="00C47639" w:rsidRPr="009C3B8B" w:rsidRDefault="00C47639" w:rsidP="00C47639">
            <w:pPr>
              <w:pStyle w:val="Standaard-Tabellen"/>
              <w:rPr>
                <w:rFonts w:cs="Arial"/>
              </w:rPr>
            </w:pPr>
            <w:r w:rsidRPr="00775D86">
              <w:rPr>
                <w:rFonts w:cs="Arial"/>
              </w:rPr>
              <w:t xml:space="preserve">0.00198 </w:t>
            </w:r>
          </w:p>
        </w:tc>
        <w:tc>
          <w:tcPr>
            <w:tcW w:w="740" w:type="pct"/>
            <w:vAlign w:val="center"/>
          </w:tcPr>
          <w:p w14:paraId="03313213" w14:textId="77777777" w:rsidR="00C47639" w:rsidRPr="009C3B8B" w:rsidRDefault="00C47639" w:rsidP="00C47639">
            <w:pPr>
              <w:pStyle w:val="Standaard-Tabellen"/>
              <w:rPr>
                <w:rFonts w:cs="Arial"/>
              </w:rPr>
            </w:pPr>
            <w:r w:rsidRPr="00775D86">
              <w:rPr>
                <w:rFonts w:cs="Arial"/>
              </w:rPr>
              <w:t xml:space="preserve">0.0157 </w:t>
            </w:r>
          </w:p>
        </w:tc>
        <w:tc>
          <w:tcPr>
            <w:tcW w:w="741" w:type="pct"/>
            <w:vAlign w:val="center"/>
          </w:tcPr>
          <w:p w14:paraId="115AAA9E" w14:textId="77777777" w:rsidR="00C47639" w:rsidRPr="00412894" w:rsidRDefault="00C47639" w:rsidP="00C47639">
            <w:pPr>
              <w:pStyle w:val="Standaard-Tabellen"/>
              <w:rPr>
                <w:rFonts w:cs="Arial"/>
              </w:rPr>
            </w:pPr>
            <w:r w:rsidRPr="00412894">
              <w:t>4.9</w:t>
            </w:r>
            <w:r w:rsidRPr="00B42FAC">
              <w:t>7</w:t>
            </w:r>
            <w:r w:rsidRPr="00412894">
              <w:t xml:space="preserve"> </w:t>
            </w:r>
          </w:p>
        </w:tc>
      </w:tr>
      <w:tr w:rsidR="00C47639" w:rsidRPr="00524057" w14:paraId="63782997" w14:textId="77777777" w:rsidTr="00C47639">
        <w:trPr>
          <w:cantSplit/>
          <w:trHeight w:val="587"/>
          <w:tblHeader/>
        </w:trPr>
        <w:tc>
          <w:tcPr>
            <w:tcW w:w="1320" w:type="pct"/>
            <w:shd w:val="clear" w:color="auto" w:fill="auto"/>
            <w:vAlign w:val="center"/>
          </w:tcPr>
          <w:p w14:paraId="44E38234" w14:textId="77777777" w:rsidR="00C47639" w:rsidRPr="00CF46C5" w:rsidRDefault="00C47639" w:rsidP="00C47639">
            <w:pPr>
              <w:pStyle w:val="Standaard-Tabellen"/>
            </w:pPr>
            <w:r w:rsidRPr="00CF46C5">
              <w:t>Scenario 1</w:t>
            </w:r>
            <w:r>
              <w:t>+2</w:t>
            </w:r>
            <w:r w:rsidRPr="00CF46C5">
              <w:t xml:space="preserve"> – INFANT</w:t>
            </w:r>
          </w:p>
          <w:p w14:paraId="6706DBF5" w14:textId="77777777" w:rsidR="00C47639" w:rsidRPr="00FD2055" w:rsidRDefault="00C47639" w:rsidP="00C47639">
            <w:pPr>
              <w:pStyle w:val="Standaard-Tabellen"/>
            </w:pPr>
            <w:r w:rsidRPr="00CF46C5">
              <w:t>1 application/day</w:t>
            </w:r>
          </w:p>
        </w:tc>
        <w:tc>
          <w:tcPr>
            <w:tcW w:w="434" w:type="pct"/>
            <w:vAlign w:val="center"/>
          </w:tcPr>
          <w:p w14:paraId="0D312265" w14:textId="77777777" w:rsidR="00C47639" w:rsidRPr="00CF46C5" w:rsidRDefault="00C47639" w:rsidP="00C47639">
            <w:pPr>
              <w:pStyle w:val="Standaard-Tabellen"/>
            </w:pPr>
            <w:r w:rsidRPr="00CF46C5">
              <w:t>Tier 1 /</w:t>
            </w:r>
          </w:p>
          <w:p w14:paraId="31012EBF" w14:textId="77777777" w:rsidR="00C47639" w:rsidRPr="00FD2055" w:rsidRDefault="00C47639" w:rsidP="00C47639">
            <w:pPr>
              <w:pStyle w:val="Standaard-Tabellen"/>
            </w:pPr>
            <w:r w:rsidRPr="00CF46C5">
              <w:t>no PPE</w:t>
            </w:r>
          </w:p>
        </w:tc>
        <w:tc>
          <w:tcPr>
            <w:tcW w:w="1025" w:type="pct"/>
            <w:vAlign w:val="center"/>
          </w:tcPr>
          <w:p w14:paraId="156B15C1" w14:textId="77777777" w:rsidR="00C47639" w:rsidRPr="009C3B8B" w:rsidRDefault="00C47639" w:rsidP="00C47639">
            <w:pPr>
              <w:pStyle w:val="Standaard-Tabellen"/>
              <w:rPr>
                <w:rFonts w:cs="Arial"/>
              </w:rPr>
            </w:pPr>
            <w:r w:rsidRPr="00775D86">
              <w:rPr>
                <w:color w:val="FF0000"/>
              </w:rPr>
              <w:t>5.29</w:t>
            </w:r>
            <w:r w:rsidRPr="00775D86">
              <w:t xml:space="preserve"> </w:t>
            </w:r>
          </w:p>
        </w:tc>
        <w:tc>
          <w:tcPr>
            <w:tcW w:w="740" w:type="pct"/>
            <w:vAlign w:val="center"/>
          </w:tcPr>
          <w:p w14:paraId="482E41B6" w14:textId="77777777" w:rsidR="00C47639" w:rsidRPr="009C3B8B" w:rsidRDefault="00C47639" w:rsidP="00C47639">
            <w:pPr>
              <w:pStyle w:val="Standaard-Tabellen"/>
              <w:rPr>
                <w:rFonts w:cs="Arial"/>
              </w:rPr>
            </w:pPr>
            <w:r w:rsidRPr="00775D86">
              <w:rPr>
                <w:rFonts w:cs="Arial"/>
              </w:rPr>
              <w:t xml:space="preserve">0.00165 </w:t>
            </w:r>
          </w:p>
        </w:tc>
        <w:tc>
          <w:tcPr>
            <w:tcW w:w="740" w:type="pct"/>
            <w:vAlign w:val="center"/>
          </w:tcPr>
          <w:p w14:paraId="319BD097" w14:textId="77777777" w:rsidR="00C47639" w:rsidRPr="009C3B8B" w:rsidRDefault="00C47639" w:rsidP="00C47639">
            <w:pPr>
              <w:pStyle w:val="Standaard-Tabellen"/>
              <w:rPr>
                <w:rFonts w:cs="Arial"/>
              </w:rPr>
            </w:pPr>
            <w:r w:rsidRPr="00775D86">
              <w:rPr>
                <w:rFonts w:cs="Arial"/>
              </w:rPr>
              <w:t xml:space="preserve">0.0131 </w:t>
            </w:r>
          </w:p>
        </w:tc>
        <w:tc>
          <w:tcPr>
            <w:tcW w:w="741" w:type="pct"/>
            <w:vAlign w:val="center"/>
          </w:tcPr>
          <w:p w14:paraId="419DF2CB" w14:textId="77777777" w:rsidR="00C47639" w:rsidRPr="00960010" w:rsidRDefault="00C47639" w:rsidP="00C47639">
            <w:pPr>
              <w:pStyle w:val="Standaard-Tabellen"/>
              <w:rPr>
                <w:rFonts w:cs="Arial"/>
              </w:rPr>
            </w:pPr>
            <w:r w:rsidRPr="00B42FAC">
              <w:rPr>
                <w:color w:val="FF0000"/>
              </w:rPr>
              <w:t>5.30</w:t>
            </w:r>
            <w:r w:rsidRPr="00412894">
              <w:t xml:space="preserve"> </w:t>
            </w:r>
          </w:p>
        </w:tc>
      </w:tr>
      <w:tr w:rsidR="00C47639" w:rsidRPr="00524057" w14:paraId="0FE95B5E" w14:textId="77777777" w:rsidTr="00C47639">
        <w:trPr>
          <w:cantSplit/>
          <w:trHeight w:val="587"/>
          <w:tblHeader/>
        </w:trPr>
        <w:tc>
          <w:tcPr>
            <w:tcW w:w="1320" w:type="pct"/>
            <w:shd w:val="clear" w:color="auto" w:fill="auto"/>
            <w:vAlign w:val="center"/>
          </w:tcPr>
          <w:p w14:paraId="13E06983" w14:textId="77777777" w:rsidR="00C47639" w:rsidRPr="00CF46C5" w:rsidRDefault="00C47639" w:rsidP="00C47639">
            <w:pPr>
              <w:pStyle w:val="Standaard-Tabellen"/>
            </w:pPr>
            <w:r w:rsidRPr="00CF46C5">
              <w:t>Scenario 1</w:t>
            </w:r>
            <w:r>
              <w:t>+2</w:t>
            </w:r>
            <w:r w:rsidRPr="00CF46C5">
              <w:t xml:space="preserve"> – ADULT</w:t>
            </w:r>
          </w:p>
          <w:p w14:paraId="233C9065" w14:textId="77777777" w:rsidR="00C47639" w:rsidRDefault="00C47639" w:rsidP="00C47639">
            <w:pPr>
              <w:pStyle w:val="Standaard-Tabellen"/>
            </w:pPr>
            <w:r>
              <w:t>2</w:t>
            </w:r>
            <w:r w:rsidRPr="00CF46C5">
              <w:t xml:space="preserve"> applications/day</w:t>
            </w:r>
          </w:p>
        </w:tc>
        <w:tc>
          <w:tcPr>
            <w:tcW w:w="434" w:type="pct"/>
            <w:vAlign w:val="center"/>
          </w:tcPr>
          <w:p w14:paraId="657C494E" w14:textId="77777777" w:rsidR="00C47639" w:rsidRPr="00CF46C5" w:rsidRDefault="00C47639" w:rsidP="00C47639">
            <w:pPr>
              <w:pStyle w:val="Standaard-Tabellen"/>
            </w:pPr>
            <w:r w:rsidRPr="00CF46C5">
              <w:t xml:space="preserve">Tier </w:t>
            </w:r>
            <w:r>
              <w:t>2</w:t>
            </w:r>
            <w:r w:rsidRPr="00CF46C5">
              <w:t xml:space="preserve"> /</w:t>
            </w:r>
          </w:p>
          <w:p w14:paraId="6C1534A3" w14:textId="77777777" w:rsidR="00C47639" w:rsidRPr="00B41694" w:rsidRDefault="00C47639" w:rsidP="00C47639">
            <w:pPr>
              <w:pStyle w:val="Standaard-Tabellen"/>
            </w:pPr>
            <w:r w:rsidRPr="00CF46C5">
              <w:t>no PPE</w:t>
            </w:r>
          </w:p>
        </w:tc>
        <w:tc>
          <w:tcPr>
            <w:tcW w:w="1025" w:type="pct"/>
            <w:vAlign w:val="center"/>
          </w:tcPr>
          <w:p w14:paraId="0491425C" w14:textId="77777777" w:rsidR="00C47639" w:rsidRPr="00837BBB" w:rsidRDefault="00C47639" w:rsidP="00C47639">
            <w:pPr>
              <w:pStyle w:val="Standaard-Tabellen"/>
              <w:rPr>
                <w:rFonts w:cs="Arial"/>
              </w:rPr>
            </w:pPr>
            <w:r w:rsidRPr="00775D86">
              <w:rPr>
                <w:color w:val="FF0000"/>
              </w:rPr>
              <w:t xml:space="preserve">5.71 </w:t>
            </w:r>
          </w:p>
        </w:tc>
        <w:tc>
          <w:tcPr>
            <w:tcW w:w="740" w:type="pct"/>
            <w:vAlign w:val="center"/>
          </w:tcPr>
          <w:p w14:paraId="53AB81B0" w14:textId="77777777" w:rsidR="00C47639" w:rsidRPr="00755918" w:rsidRDefault="00C47639" w:rsidP="00C47639">
            <w:pPr>
              <w:pStyle w:val="Standaard-Tabellen"/>
              <w:rPr>
                <w:rFonts w:cs="Arial"/>
              </w:rPr>
            </w:pPr>
            <w:r w:rsidRPr="00775D86">
              <w:rPr>
                <w:rFonts w:cs="Arial"/>
              </w:rPr>
              <w:t xml:space="preserve">0.000654 </w:t>
            </w:r>
          </w:p>
        </w:tc>
        <w:tc>
          <w:tcPr>
            <w:tcW w:w="740" w:type="pct"/>
            <w:vAlign w:val="center"/>
          </w:tcPr>
          <w:p w14:paraId="759B149A" w14:textId="77777777" w:rsidR="00C47639" w:rsidRDefault="00C47639" w:rsidP="00C47639">
            <w:pPr>
              <w:pStyle w:val="Standaard-Tabellen"/>
              <w:rPr>
                <w:rFonts w:cs="Arial"/>
              </w:rPr>
            </w:pPr>
            <w:r w:rsidRPr="00775D86">
              <w:rPr>
                <w:rFonts w:cs="Arial"/>
              </w:rPr>
              <w:t xml:space="preserve">0.0052 </w:t>
            </w:r>
          </w:p>
        </w:tc>
        <w:tc>
          <w:tcPr>
            <w:tcW w:w="741" w:type="pct"/>
            <w:vAlign w:val="center"/>
          </w:tcPr>
          <w:p w14:paraId="597245B7" w14:textId="77777777" w:rsidR="00C47639" w:rsidRPr="00412894" w:rsidRDefault="00C47639" w:rsidP="00C47639">
            <w:pPr>
              <w:pStyle w:val="Standaard-Tabellen"/>
              <w:rPr>
                <w:rFonts w:cs="Arial"/>
              </w:rPr>
            </w:pPr>
            <w:r w:rsidRPr="00412894">
              <w:rPr>
                <w:color w:val="FF0000"/>
              </w:rPr>
              <w:t>5.</w:t>
            </w:r>
            <w:r w:rsidRPr="00B42FAC">
              <w:rPr>
                <w:color w:val="FF0000"/>
              </w:rPr>
              <w:t>71</w:t>
            </w:r>
          </w:p>
        </w:tc>
      </w:tr>
      <w:tr w:rsidR="00C47639" w:rsidRPr="00524057" w14:paraId="15ED80A1" w14:textId="77777777" w:rsidTr="00C47639">
        <w:trPr>
          <w:cantSplit/>
          <w:trHeight w:val="587"/>
          <w:tblHeader/>
        </w:trPr>
        <w:tc>
          <w:tcPr>
            <w:tcW w:w="1320" w:type="pct"/>
            <w:shd w:val="clear" w:color="auto" w:fill="auto"/>
            <w:vAlign w:val="center"/>
          </w:tcPr>
          <w:p w14:paraId="0662EF7B" w14:textId="77777777" w:rsidR="00C47639" w:rsidRPr="00CF46C5" w:rsidRDefault="00C47639" w:rsidP="00C47639">
            <w:pPr>
              <w:pStyle w:val="Standaard-Tabellen"/>
            </w:pPr>
            <w:r w:rsidRPr="00CF46C5">
              <w:t>Scenario 1</w:t>
            </w:r>
            <w:r>
              <w:t>+2</w:t>
            </w:r>
            <w:r w:rsidRPr="00CF46C5">
              <w:t xml:space="preserve"> – CHILD</w:t>
            </w:r>
            <w:r>
              <w:t xml:space="preserve"> (6-12)</w:t>
            </w:r>
          </w:p>
          <w:p w14:paraId="1C89FC5B" w14:textId="77777777" w:rsidR="00C47639" w:rsidRDefault="00C47639" w:rsidP="00C47639">
            <w:pPr>
              <w:pStyle w:val="Standaard-Tabellen"/>
            </w:pPr>
            <w:r>
              <w:t>1 application</w:t>
            </w:r>
            <w:r w:rsidRPr="00CF46C5">
              <w:t>/day</w:t>
            </w:r>
          </w:p>
        </w:tc>
        <w:tc>
          <w:tcPr>
            <w:tcW w:w="434" w:type="pct"/>
            <w:vAlign w:val="center"/>
          </w:tcPr>
          <w:p w14:paraId="74A2EB26" w14:textId="77777777" w:rsidR="00C47639" w:rsidRPr="00CF46C5" w:rsidRDefault="00C47639" w:rsidP="00C47639">
            <w:pPr>
              <w:pStyle w:val="Standaard-Tabellen"/>
            </w:pPr>
            <w:r>
              <w:t>Tier 2</w:t>
            </w:r>
            <w:r w:rsidRPr="00CF46C5">
              <w:t xml:space="preserve"> /</w:t>
            </w:r>
          </w:p>
          <w:p w14:paraId="29240492" w14:textId="77777777" w:rsidR="00C47639" w:rsidRPr="00B41694" w:rsidRDefault="00C47639" w:rsidP="00C47639">
            <w:pPr>
              <w:pStyle w:val="Standaard-Tabellen"/>
            </w:pPr>
            <w:r w:rsidRPr="00CF46C5">
              <w:t>no PPE</w:t>
            </w:r>
          </w:p>
        </w:tc>
        <w:tc>
          <w:tcPr>
            <w:tcW w:w="1025" w:type="pct"/>
            <w:vAlign w:val="center"/>
          </w:tcPr>
          <w:p w14:paraId="65D020F0" w14:textId="77777777" w:rsidR="00C47639" w:rsidRPr="00837BBB" w:rsidRDefault="00C47639" w:rsidP="00C47639">
            <w:pPr>
              <w:pStyle w:val="Standaard-Tabellen"/>
              <w:rPr>
                <w:rFonts w:cs="Arial"/>
              </w:rPr>
            </w:pPr>
            <w:r w:rsidRPr="00775D86">
              <w:t xml:space="preserve">3.97 </w:t>
            </w:r>
          </w:p>
        </w:tc>
        <w:tc>
          <w:tcPr>
            <w:tcW w:w="740" w:type="pct"/>
            <w:vAlign w:val="center"/>
          </w:tcPr>
          <w:p w14:paraId="7C8C9776" w14:textId="77777777" w:rsidR="00C47639" w:rsidRPr="00755918" w:rsidRDefault="00C47639" w:rsidP="00C47639">
            <w:pPr>
              <w:pStyle w:val="Standaard-Tabellen"/>
              <w:rPr>
                <w:rFonts w:cs="Arial"/>
              </w:rPr>
            </w:pPr>
            <w:r w:rsidRPr="00775D86">
              <w:rPr>
                <w:rFonts w:cs="Arial"/>
              </w:rPr>
              <w:t xml:space="preserve">0.000867 </w:t>
            </w:r>
          </w:p>
        </w:tc>
        <w:tc>
          <w:tcPr>
            <w:tcW w:w="740" w:type="pct"/>
            <w:vAlign w:val="center"/>
          </w:tcPr>
          <w:p w14:paraId="389B88DF" w14:textId="77777777" w:rsidR="00C47639" w:rsidRDefault="00C47639" w:rsidP="00C47639">
            <w:pPr>
              <w:pStyle w:val="Standaard-Tabellen"/>
              <w:rPr>
                <w:rFonts w:cs="Arial"/>
              </w:rPr>
            </w:pPr>
            <w:r w:rsidRPr="00775D86">
              <w:rPr>
                <w:rFonts w:cs="Arial"/>
              </w:rPr>
              <w:t xml:space="preserve">0.0069 </w:t>
            </w:r>
          </w:p>
        </w:tc>
        <w:tc>
          <w:tcPr>
            <w:tcW w:w="741" w:type="pct"/>
            <w:vAlign w:val="center"/>
          </w:tcPr>
          <w:p w14:paraId="41DEA85B" w14:textId="77777777" w:rsidR="00C47639" w:rsidRPr="00412894" w:rsidRDefault="00C47639" w:rsidP="00C47639">
            <w:pPr>
              <w:pStyle w:val="Standaard-Tabellen"/>
              <w:rPr>
                <w:rFonts w:cs="Arial"/>
              </w:rPr>
            </w:pPr>
            <w:r w:rsidRPr="00412894">
              <w:t>3.</w:t>
            </w:r>
            <w:r w:rsidRPr="00B42FAC">
              <w:t>98</w:t>
            </w:r>
            <w:r w:rsidRPr="00412894">
              <w:t xml:space="preserve"> </w:t>
            </w:r>
          </w:p>
        </w:tc>
      </w:tr>
      <w:tr w:rsidR="00C47639" w:rsidRPr="00524057" w14:paraId="7F13C8BA" w14:textId="77777777" w:rsidTr="00C47639">
        <w:trPr>
          <w:cantSplit/>
          <w:trHeight w:val="587"/>
          <w:tblHeader/>
        </w:trPr>
        <w:tc>
          <w:tcPr>
            <w:tcW w:w="1320" w:type="pct"/>
            <w:shd w:val="clear" w:color="auto" w:fill="auto"/>
            <w:vAlign w:val="center"/>
          </w:tcPr>
          <w:p w14:paraId="536C6499" w14:textId="77777777" w:rsidR="00C47639" w:rsidRPr="00CF46C5" w:rsidRDefault="00C47639" w:rsidP="00C47639">
            <w:pPr>
              <w:pStyle w:val="Standaard-Tabellen"/>
            </w:pPr>
            <w:r w:rsidRPr="00CF46C5">
              <w:t>Scenario 1</w:t>
            </w:r>
            <w:r>
              <w:t>+2</w:t>
            </w:r>
            <w:r w:rsidRPr="00CF46C5">
              <w:t xml:space="preserve"> – CHILD</w:t>
            </w:r>
            <w:r>
              <w:t xml:space="preserve"> (2-6)</w:t>
            </w:r>
          </w:p>
          <w:p w14:paraId="005C1FB2" w14:textId="77777777" w:rsidR="00C47639" w:rsidRDefault="00C47639" w:rsidP="00C47639">
            <w:pPr>
              <w:pStyle w:val="Standaard-Tabellen"/>
            </w:pPr>
            <w:r>
              <w:t>1 application</w:t>
            </w:r>
            <w:r w:rsidRPr="00CF46C5">
              <w:t>/day</w:t>
            </w:r>
          </w:p>
        </w:tc>
        <w:tc>
          <w:tcPr>
            <w:tcW w:w="434" w:type="pct"/>
            <w:vAlign w:val="center"/>
          </w:tcPr>
          <w:p w14:paraId="6938A888" w14:textId="77777777" w:rsidR="00C47639" w:rsidRPr="00CF46C5" w:rsidRDefault="00C47639" w:rsidP="00C47639">
            <w:pPr>
              <w:pStyle w:val="Standaard-Tabellen"/>
            </w:pPr>
            <w:r>
              <w:t>Tier 2</w:t>
            </w:r>
            <w:r w:rsidRPr="00CF46C5">
              <w:t xml:space="preserve"> /</w:t>
            </w:r>
          </w:p>
          <w:p w14:paraId="3DA66471" w14:textId="77777777" w:rsidR="00C47639" w:rsidRPr="00B41694" w:rsidRDefault="00C47639" w:rsidP="00C47639">
            <w:pPr>
              <w:pStyle w:val="Standaard-Tabellen"/>
            </w:pPr>
            <w:r w:rsidRPr="00CF46C5">
              <w:t>no PPE</w:t>
            </w:r>
          </w:p>
        </w:tc>
        <w:tc>
          <w:tcPr>
            <w:tcW w:w="1025" w:type="pct"/>
            <w:vAlign w:val="center"/>
          </w:tcPr>
          <w:p w14:paraId="33680EA8" w14:textId="77777777" w:rsidR="00C47639" w:rsidRPr="00837BBB" w:rsidRDefault="00C47639" w:rsidP="00C47639">
            <w:pPr>
              <w:pStyle w:val="Standaard-Tabellen"/>
              <w:rPr>
                <w:rFonts w:cs="Arial"/>
              </w:rPr>
            </w:pPr>
            <w:r w:rsidRPr="00775D86">
              <w:t xml:space="preserve">4.50 </w:t>
            </w:r>
          </w:p>
        </w:tc>
        <w:tc>
          <w:tcPr>
            <w:tcW w:w="740" w:type="pct"/>
            <w:vAlign w:val="center"/>
          </w:tcPr>
          <w:p w14:paraId="3A070113" w14:textId="77777777" w:rsidR="00C47639" w:rsidRPr="00755918" w:rsidRDefault="00C47639" w:rsidP="00C47639">
            <w:pPr>
              <w:pStyle w:val="Standaard-Tabellen"/>
              <w:rPr>
                <w:rFonts w:cs="Arial"/>
              </w:rPr>
            </w:pPr>
            <w:r w:rsidRPr="00775D86">
              <w:rPr>
                <w:rFonts w:cs="Arial"/>
              </w:rPr>
              <w:t xml:space="preserve">0.000127 </w:t>
            </w:r>
          </w:p>
        </w:tc>
        <w:tc>
          <w:tcPr>
            <w:tcW w:w="740" w:type="pct"/>
            <w:vAlign w:val="center"/>
          </w:tcPr>
          <w:p w14:paraId="39C0F8AA" w14:textId="77777777" w:rsidR="00C47639" w:rsidRDefault="00C47639" w:rsidP="00C47639">
            <w:pPr>
              <w:pStyle w:val="Standaard-Tabellen"/>
              <w:rPr>
                <w:rFonts w:cs="Arial"/>
              </w:rPr>
            </w:pPr>
            <w:r w:rsidRPr="00775D86">
              <w:rPr>
                <w:rFonts w:cs="Arial"/>
              </w:rPr>
              <w:t xml:space="preserve">0.0100 </w:t>
            </w:r>
          </w:p>
        </w:tc>
        <w:tc>
          <w:tcPr>
            <w:tcW w:w="741" w:type="pct"/>
            <w:vAlign w:val="center"/>
          </w:tcPr>
          <w:p w14:paraId="3B106587" w14:textId="77777777" w:rsidR="00C47639" w:rsidRPr="00412894" w:rsidRDefault="00C47639" w:rsidP="00C47639">
            <w:pPr>
              <w:pStyle w:val="Standaard-Tabellen"/>
              <w:rPr>
                <w:rFonts w:cs="Arial"/>
              </w:rPr>
            </w:pPr>
            <w:r w:rsidRPr="00412894">
              <w:t>4.</w:t>
            </w:r>
            <w:r w:rsidRPr="00B42FAC">
              <w:t>51</w:t>
            </w:r>
          </w:p>
        </w:tc>
      </w:tr>
      <w:tr w:rsidR="00C47639" w:rsidRPr="00524057" w14:paraId="0DBB5577" w14:textId="77777777" w:rsidTr="00C47639">
        <w:trPr>
          <w:cantSplit/>
          <w:trHeight w:val="587"/>
          <w:tblHeader/>
        </w:trPr>
        <w:tc>
          <w:tcPr>
            <w:tcW w:w="1320" w:type="pct"/>
            <w:shd w:val="clear" w:color="auto" w:fill="auto"/>
            <w:vAlign w:val="center"/>
          </w:tcPr>
          <w:p w14:paraId="35087BDC" w14:textId="77777777" w:rsidR="00C47639" w:rsidRPr="00CF46C5" w:rsidRDefault="00C47639" w:rsidP="00C47639">
            <w:pPr>
              <w:pStyle w:val="Standaard-Tabellen"/>
            </w:pPr>
            <w:r w:rsidRPr="00CF46C5">
              <w:t>Scenario 1</w:t>
            </w:r>
            <w:r>
              <w:t>+2</w:t>
            </w:r>
            <w:r w:rsidRPr="00CF46C5">
              <w:t xml:space="preserve"> – ADULT</w:t>
            </w:r>
          </w:p>
          <w:p w14:paraId="21847D2B" w14:textId="77777777" w:rsidR="00C47639" w:rsidRDefault="00C47639" w:rsidP="00C47639">
            <w:pPr>
              <w:pStyle w:val="Standaard-Tabellen"/>
            </w:pPr>
            <w:r>
              <w:t>1 application</w:t>
            </w:r>
            <w:r w:rsidRPr="00CF46C5">
              <w:t>/day</w:t>
            </w:r>
          </w:p>
        </w:tc>
        <w:tc>
          <w:tcPr>
            <w:tcW w:w="434" w:type="pct"/>
            <w:vAlign w:val="center"/>
          </w:tcPr>
          <w:p w14:paraId="72C290B7" w14:textId="77777777" w:rsidR="00C47639" w:rsidRPr="00CF46C5" w:rsidRDefault="00C47639" w:rsidP="00C47639">
            <w:pPr>
              <w:pStyle w:val="Standaard-Tabellen"/>
            </w:pPr>
            <w:r>
              <w:t>Tier 3</w:t>
            </w:r>
            <w:r w:rsidRPr="00CF46C5">
              <w:t xml:space="preserve"> /</w:t>
            </w:r>
          </w:p>
          <w:p w14:paraId="2D36C23B" w14:textId="77777777" w:rsidR="00C47639" w:rsidRPr="00B41694" w:rsidRDefault="00C47639" w:rsidP="00C47639">
            <w:pPr>
              <w:pStyle w:val="Standaard-Tabellen"/>
            </w:pPr>
            <w:r w:rsidRPr="00CF46C5">
              <w:t>no PPE</w:t>
            </w:r>
          </w:p>
        </w:tc>
        <w:tc>
          <w:tcPr>
            <w:tcW w:w="1025" w:type="pct"/>
            <w:vAlign w:val="center"/>
          </w:tcPr>
          <w:p w14:paraId="28C60DC1" w14:textId="77777777" w:rsidR="00C47639" w:rsidRPr="00837BBB" w:rsidRDefault="00C47639" w:rsidP="00C47639">
            <w:pPr>
              <w:pStyle w:val="Standaard-Tabellen"/>
              <w:rPr>
                <w:rFonts w:cs="Arial"/>
              </w:rPr>
            </w:pPr>
            <w:r w:rsidRPr="00775D86">
              <w:t xml:space="preserve">2.85 </w:t>
            </w:r>
          </w:p>
        </w:tc>
        <w:tc>
          <w:tcPr>
            <w:tcW w:w="740" w:type="pct"/>
            <w:vAlign w:val="center"/>
          </w:tcPr>
          <w:p w14:paraId="510A610E" w14:textId="77777777" w:rsidR="00C47639" w:rsidRPr="00755918" w:rsidRDefault="00C47639" w:rsidP="00C47639">
            <w:pPr>
              <w:pStyle w:val="Standaard-Tabellen"/>
              <w:rPr>
                <w:rFonts w:cs="Arial"/>
              </w:rPr>
            </w:pPr>
            <w:r w:rsidRPr="00775D86">
              <w:rPr>
                <w:rFonts w:cs="Arial"/>
              </w:rPr>
              <w:t xml:space="preserve">0.000327 </w:t>
            </w:r>
          </w:p>
        </w:tc>
        <w:tc>
          <w:tcPr>
            <w:tcW w:w="740" w:type="pct"/>
            <w:vAlign w:val="center"/>
          </w:tcPr>
          <w:p w14:paraId="163A3BEB" w14:textId="77777777" w:rsidR="00C47639" w:rsidRDefault="00C47639" w:rsidP="00C47639">
            <w:pPr>
              <w:pStyle w:val="Standaard-Tabellen"/>
              <w:rPr>
                <w:rFonts w:cs="Arial"/>
              </w:rPr>
            </w:pPr>
            <w:r w:rsidRPr="00775D86">
              <w:rPr>
                <w:rFonts w:cs="Arial"/>
              </w:rPr>
              <w:t xml:space="preserve">0.0026 </w:t>
            </w:r>
          </w:p>
        </w:tc>
        <w:tc>
          <w:tcPr>
            <w:tcW w:w="741" w:type="pct"/>
            <w:vAlign w:val="center"/>
          </w:tcPr>
          <w:p w14:paraId="53195414" w14:textId="77777777" w:rsidR="00C47639" w:rsidRPr="00412894" w:rsidRDefault="00C47639" w:rsidP="00C47639">
            <w:pPr>
              <w:pStyle w:val="Standaard-Tabellen"/>
              <w:rPr>
                <w:rFonts w:cs="Arial"/>
              </w:rPr>
            </w:pPr>
            <w:r w:rsidRPr="00412894">
              <w:t>2.</w:t>
            </w:r>
            <w:r w:rsidRPr="00B42FAC">
              <w:t>86</w:t>
            </w:r>
            <w:r w:rsidRPr="00412894">
              <w:t xml:space="preserve"> </w:t>
            </w:r>
          </w:p>
        </w:tc>
      </w:tr>
    </w:tbl>
    <w:p w14:paraId="66CA73AB" w14:textId="77777777" w:rsidR="00C47639" w:rsidRDefault="00C47639" w:rsidP="00C47639"/>
    <w:p w14:paraId="7FC46539" w14:textId="77777777" w:rsidR="00C47639" w:rsidRPr="00250D84" w:rsidRDefault="00C47639" w:rsidP="00C47639">
      <w:r w:rsidRPr="00D65576">
        <w:t>The exposure of inhalation of volatilized residues aft</w:t>
      </w:r>
      <w:r>
        <w:t xml:space="preserve">er application and the combined </w:t>
      </w:r>
      <w:proofErr w:type="spellStart"/>
      <w:r w:rsidRPr="00D65576">
        <w:t>inhalative</w:t>
      </w:r>
      <w:proofErr w:type="spellEnd"/>
      <w:r w:rsidRPr="00D65576">
        <w:t xml:space="preserve"> and oral</w:t>
      </w:r>
      <w:r>
        <w:t xml:space="preserve"> </w:t>
      </w:r>
      <w:r w:rsidRPr="00D65576">
        <w:t>exposure of a parent treating two children are negligible compared to primary (dermal) exposure.</w:t>
      </w:r>
    </w:p>
    <w:p w14:paraId="2C6C3072" w14:textId="77777777" w:rsidR="00C47639" w:rsidRPr="00BD3576" w:rsidRDefault="00C47639" w:rsidP="00C47639">
      <w:pPr>
        <w:pStyle w:val="Titre5"/>
      </w:pPr>
      <w:bookmarkStart w:id="199" w:name="_Toc532391101"/>
      <w:bookmarkStart w:id="200" w:name="_Toc8296515"/>
      <w:r>
        <w:t>Exposure of the general public</w:t>
      </w:r>
      <w:bookmarkEnd w:id="199"/>
      <w:bookmarkEnd w:id="200"/>
    </w:p>
    <w:p w14:paraId="4D8B5F41" w14:textId="77777777" w:rsidR="00C47639" w:rsidRPr="00250D84" w:rsidRDefault="00C47639" w:rsidP="00C47639">
      <w:r w:rsidRPr="00250D84">
        <w:t>Exposure of the general public is covered by the secondary exposure of non-professional.</w:t>
      </w:r>
    </w:p>
    <w:p w14:paraId="76D21248" w14:textId="77777777" w:rsidR="00C47639" w:rsidRDefault="00C47639" w:rsidP="00C47639">
      <w:pPr>
        <w:pStyle w:val="Titre5"/>
      </w:pPr>
      <w:bookmarkStart w:id="201" w:name="_Toc532391102"/>
      <w:bookmarkStart w:id="202" w:name="_Toc8296516"/>
      <w:r>
        <w:lastRenderedPageBreak/>
        <w:t>Monitoring data</w:t>
      </w:r>
      <w:bookmarkEnd w:id="201"/>
      <w:bookmarkEnd w:id="202"/>
    </w:p>
    <w:p w14:paraId="741453E8" w14:textId="77777777" w:rsidR="00C47639" w:rsidRDefault="00C47639" w:rsidP="00C47639">
      <w:r>
        <w:t>Not applicable.</w:t>
      </w:r>
    </w:p>
    <w:p w14:paraId="4AE3DFF2" w14:textId="77777777" w:rsidR="00C47639" w:rsidRDefault="00C47639" w:rsidP="00C47639">
      <w:pPr>
        <w:pStyle w:val="Titre5"/>
      </w:pPr>
      <w:bookmarkStart w:id="203" w:name="_Toc532391103"/>
      <w:bookmarkStart w:id="204" w:name="_Toc8296517"/>
      <w:r>
        <w:t>Dietary exposure</w:t>
      </w:r>
      <w:bookmarkEnd w:id="203"/>
      <w:bookmarkEnd w:id="204"/>
    </w:p>
    <w:p w14:paraId="231319B6" w14:textId="77777777" w:rsidR="00C47639" w:rsidRPr="00560DE3" w:rsidRDefault="00C47639" w:rsidP="00C47639">
      <w:r>
        <w:t xml:space="preserve">Considering </w:t>
      </w:r>
      <w:r w:rsidRPr="00560DE3">
        <w:t>the scen</w:t>
      </w:r>
      <w:r>
        <w:t xml:space="preserve">ario 3 (hand to mouth transfer), considering </w:t>
      </w:r>
      <w:r w:rsidRPr="00560DE3">
        <w:t>that the amount in scenario 3 will be superior to the amount on the fingers of the hands (possible contact surface for transfer of residue to food)</w:t>
      </w:r>
      <w:r>
        <w:t xml:space="preserve"> and finally considering that</w:t>
      </w:r>
      <w:r w:rsidRPr="00560DE3">
        <w:t xml:space="preserve"> the biocidal product is not used for and/or during food production, or in rooms where food is produ</w:t>
      </w:r>
      <w:r>
        <w:t xml:space="preserve">ced processed or stored, </w:t>
      </w:r>
      <w:r w:rsidRPr="00560DE3">
        <w:t>the dietary risk would b</w:t>
      </w:r>
      <w:r>
        <w:t xml:space="preserve">e covered by the scenario 3.   </w:t>
      </w:r>
      <w:r w:rsidRPr="00560DE3">
        <w:t xml:space="preserve"> </w:t>
      </w:r>
    </w:p>
    <w:p w14:paraId="2ECE29F1" w14:textId="77777777" w:rsidR="00C47639" w:rsidRPr="00560DE3" w:rsidRDefault="00C47639" w:rsidP="00C47639"/>
    <w:p w14:paraId="362BDFB0" w14:textId="77777777" w:rsidR="00C47639" w:rsidRDefault="00C47639" w:rsidP="00C47639">
      <w:pPr>
        <w:spacing w:before="0" w:after="160" w:line="259" w:lineRule="auto"/>
      </w:pPr>
      <w:r>
        <w:t xml:space="preserve">However, </w:t>
      </w:r>
      <w:r w:rsidRPr="00560DE3">
        <w:t>Belgium is of advice that the restriction measures</w:t>
      </w:r>
      <w:r>
        <w:t xml:space="preserve"> (</w:t>
      </w:r>
      <w:r w:rsidRPr="00560DE3">
        <w:t xml:space="preserve">Wash </w:t>
      </w:r>
      <w:r>
        <w:t>hands</w:t>
      </w:r>
      <w:r w:rsidRPr="00560DE3">
        <w:t xml:space="preserve"> thoroughly after </w:t>
      </w:r>
      <w:proofErr w:type="gramStart"/>
      <w:r w:rsidRPr="00560DE3">
        <w:t>handling.</w:t>
      </w:r>
      <w:r>
        <w:t>,</w:t>
      </w:r>
      <w:proofErr w:type="gramEnd"/>
      <w:r>
        <w:t xml:space="preserve"> d</w:t>
      </w:r>
      <w:r w:rsidRPr="00560DE3">
        <w:t>o not use on children’s hands</w:t>
      </w:r>
      <w:r>
        <w:t>)</w:t>
      </w:r>
      <w:r w:rsidRPr="00560DE3">
        <w:t xml:space="preserve"> must stay to a</w:t>
      </w:r>
      <w:r>
        <w:t xml:space="preserve">void any misuse of the product. </w:t>
      </w:r>
      <w:r>
        <w:br w:type="page"/>
      </w:r>
    </w:p>
    <w:p w14:paraId="4C31344F" w14:textId="77777777" w:rsidR="00C47639" w:rsidRDefault="00C47639" w:rsidP="00C47639">
      <w:pPr>
        <w:pStyle w:val="Titre5"/>
      </w:pPr>
      <w:bookmarkStart w:id="205" w:name="_Toc532391104"/>
      <w:bookmarkStart w:id="206" w:name="_Toc8296518"/>
      <w:r>
        <w:lastRenderedPageBreak/>
        <w:t>Exposure associated with production, formulation and disposal of the biocidal product</w:t>
      </w:r>
      <w:bookmarkEnd w:id="205"/>
      <w:bookmarkEnd w:id="206"/>
    </w:p>
    <w:p w14:paraId="16B09E95" w14:textId="77777777" w:rsidR="00C47639" w:rsidRDefault="00C47639" w:rsidP="00C47639">
      <w:r w:rsidRPr="00BF1D7C">
        <w:t>In modern formulation plants typically automated equipment is used to add the formulation ingredients and to fill the formulated product into the respective vessels (closed systems). The workers (trained professionals) usually wear personal protective equipment (e.g. gloves).</w:t>
      </w:r>
      <w:r>
        <w:t xml:space="preserve"> Thus</w:t>
      </w:r>
      <w:r w:rsidRPr="00BF1D7C">
        <w:t xml:space="preserve"> </w:t>
      </w:r>
      <w:r>
        <w:t>t</w:t>
      </w:r>
      <w:r w:rsidRPr="00BF1D7C">
        <w:t>he exposure</w:t>
      </w:r>
      <w:r>
        <w:t xml:space="preserve"> can occur</w:t>
      </w:r>
      <w:r w:rsidRPr="00BF1D7C">
        <w:t xml:space="preserve"> during the </w:t>
      </w:r>
      <w:r>
        <w:t xml:space="preserve">mixing and loading and have been calculated as a worst case. </w:t>
      </w:r>
    </w:p>
    <w:p w14:paraId="10C0727A" w14:textId="77777777" w:rsidR="00C47639" w:rsidRDefault="00C47639" w:rsidP="00C47639"/>
    <w:p w14:paraId="41F47C93" w14:textId="77777777" w:rsidR="00C47639" w:rsidRPr="007C0E75" w:rsidRDefault="00C47639" w:rsidP="00C47639">
      <w:pPr>
        <w:pStyle w:val="Titre6"/>
        <w:rPr>
          <w:lang w:val="en-US"/>
        </w:rPr>
      </w:pPr>
      <w:r w:rsidRPr="007C0E75">
        <w:rPr>
          <w:lang w:val="en-US"/>
        </w:rPr>
        <w:t xml:space="preserve">Scenario </w:t>
      </w:r>
      <w:proofErr w:type="gramStart"/>
      <w:r w:rsidRPr="007C0E75">
        <w:rPr>
          <w:lang w:val="en-US"/>
        </w:rPr>
        <w:t>6 :</w:t>
      </w:r>
      <w:proofErr w:type="gramEnd"/>
      <w:r w:rsidRPr="007C0E75">
        <w:rPr>
          <w:lang w:val="en-US"/>
        </w:rPr>
        <w:t xml:space="preserve"> Mixing and Loading model – worst case for the production, formulation and disposal of the biocidal product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5"/>
        <w:gridCol w:w="4037"/>
        <w:gridCol w:w="4574"/>
      </w:tblGrid>
      <w:tr w:rsidR="00C47639" w:rsidRPr="001D31A4" w14:paraId="70B1D4CE" w14:textId="77777777" w:rsidTr="00C47639">
        <w:trPr>
          <w:tblHeader/>
        </w:trPr>
        <w:tc>
          <w:tcPr>
            <w:tcW w:w="5000" w:type="pct"/>
            <w:gridSpan w:val="3"/>
            <w:shd w:val="clear" w:color="auto" w:fill="FFFFCC"/>
            <w:tcMar>
              <w:top w:w="57" w:type="dxa"/>
              <w:bottom w:w="57" w:type="dxa"/>
            </w:tcMar>
          </w:tcPr>
          <w:p w14:paraId="5B5BED77" w14:textId="77777777" w:rsidR="00C47639" w:rsidRPr="001D31A4" w:rsidRDefault="00C47639" w:rsidP="00C47639">
            <w:pPr>
              <w:pStyle w:val="Standaard-Tabellen"/>
              <w:jc w:val="center"/>
              <w:rPr>
                <w:b/>
              </w:rPr>
            </w:pPr>
            <w:r>
              <w:rPr>
                <w:b/>
              </w:rPr>
              <w:t>Description of Scenario 6</w:t>
            </w:r>
          </w:p>
        </w:tc>
      </w:tr>
      <w:tr w:rsidR="00C47639" w:rsidRPr="00FD2055" w14:paraId="2443333E" w14:textId="77777777" w:rsidTr="00C47639">
        <w:trPr>
          <w:tblHeader/>
        </w:trPr>
        <w:tc>
          <w:tcPr>
            <w:tcW w:w="5000" w:type="pct"/>
            <w:gridSpan w:val="3"/>
            <w:shd w:val="clear" w:color="auto" w:fill="auto"/>
            <w:tcMar>
              <w:top w:w="57" w:type="dxa"/>
              <w:bottom w:w="57" w:type="dxa"/>
            </w:tcMar>
          </w:tcPr>
          <w:p w14:paraId="713DD639" w14:textId="77777777" w:rsidR="00C47639" w:rsidRPr="007C0E75" w:rsidRDefault="00C47639" w:rsidP="00C47639">
            <w:pPr>
              <w:spacing w:before="0" w:after="0"/>
            </w:pPr>
            <w:r w:rsidRPr="007C0E75">
              <w:t xml:space="preserve">For a worst case situation, it was estimated that the more sustainable model for industrial exposure production, formulation and disposal </w:t>
            </w:r>
            <w:proofErr w:type="gramStart"/>
            <w:r w:rsidRPr="007C0E75">
              <w:t>is :</w:t>
            </w:r>
            <w:proofErr w:type="gramEnd"/>
            <w:r w:rsidRPr="007C0E75">
              <w:t xml:space="preserve"> RISKOFDERM Dermal model (loading liquid, automated or semi-automated) from HEEG opinion 1 (2008).</w:t>
            </w:r>
          </w:p>
          <w:p w14:paraId="6C503E6B" w14:textId="77777777" w:rsidR="00C47639" w:rsidRPr="007C0E75" w:rsidRDefault="00C47639" w:rsidP="00C47639">
            <w:pPr>
              <w:spacing w:before="0" w:after="0"/>
            </w:pPr>
          </w:p>
          <w:p w14:paraId="5D77767F" w14:textId="77777777" w:rsidR="00C47639" w:rsidRPr="007C0E75" w:rsidRDefault="00C47639" w:rsidP="00C47639">
            <w:pPr>
              <w:spacing w:before="0" w:after="0"/>
              <w:rPr>
                <w:b/>
              </w:rPr>
            </w:pPr>
            <w:r w:rsidRPr="007C0E75">
              <w:rPr>
                <w:b/>
              </w:rPr>
              <w:t xml:space="preserve">Dermal exposure via clothing: </w:t>
            </w:r>
          </w:p>
          <w:p w14:paraId="4B09C811" w14:textId="77777777" w:rsidR="00C47639" w:rsidRPr="007C0E75" w:rsidRDefault="00C47639" w:rsidP="00C47639">
            <w:pPr>
              <w:spacing w:before="0" w:after="0"/>
              <w:ind w:left="708"/>
            </w:pPr>
            <w:r w:rsidRPr="007C0E75">
              <w:t>default potential exposure rates on clothing x Purity of the active substance x Duration of task x Number of events per day (x (1-Factor of protection for clothing))</w:t>
            </w:r>
          </w:p>
          <w:p w14:paraId="514D1D86" w14:textId="77777777" w:rsidR="00C47639" w:rsidRPr="007C0E75" w:rsidRDefault="00C47639" w:rsidP="00C47639">
            <w:pPr>
              <w:spacing w:before="0" w:after="0"/>
              <w:rPr>
                <w:b/>
              </w:rPr>
            </w:pPr>
            <w:r w:rsidRPr="007C0E75">
              <w:rPr>
                <w:b/>
              </w:rPr>
              <w:t xml:space="preserve">Dermal exposure via hands: </w:t>
            </w:r>
          </w:p>
          <w:p w14:paraId="1672865B" w14:textId="77777777" w:rsidR="00C47639" w:rsidRPr="007C0E75" w:rsidRDefault="00C47639" w:rsidP="00C47639">
            <w:pPr>
              <w:spacing w:before="0" w:after="0"/>
              <w:ind w:left="708"/>
            </w:pPr>
            <w:r w:rsidRPr="007C0E75">
              <w:t>default potential exposure rates on hands x Purity of the active substance x Duration of task x Number of events per day (x (1-Factor of protection for gloves))</w:t>
            </w:r>
          </w:p>
          <w:p w14:paraId="42992162" w14:textId="77777777" w:rsidR="00C47639" w:rsidRPr="007C0E75" w:rsidRDefault="00C47639" w:rsidP="00C47639">
            <w:pPr>
              <w:spacing w:before="0" w:after="0"/>
              <w:rPr>
                <w:b/>
              </w:rPr>
            </w:pPr>
            <w:r w:rsidRPr="007C0E75">
              <w:rPr>
                <w:b/>
              </w:rPr>
              <w:t>Dermal systemic exposure:</w:t>
            </w:r>
          </w:p>
          <w:p w14:paraId="07A27BA8" w14:textId="77777777" w:rsidR="00C47639" w:rsidRPr="007C0E75" w:rsidRDefault="00C47639" w:rsidP="00C47639">
            <w:pPr>
              <w:spacing w:before="0" w:after="0"/>
              <w:ind w:left="708"/>
            </w:pPr>
            <w:r w:rsidRPr="007C0E75">
              <w:t xml:space="preserve">(Dermal exposure via clothing + Dermal exposure via hands) x percent of dermal absorption / body weight </w:t>
            </w:r>
          </w:p>
          <w:p w14:paraId="7F6E8158" w14:textId="77777777" w:rsidR="00C47639" w:rsidRPr="007C0E75" w:rsidRDefault="00C47639" w:rsidP="00C47639">
            <w:pPr>
              <w:spacing w:before="0" w:after="0"/>
              <w:rPr>
                <w:b/>
              </w:rPr>
            </w:pPr>
            <w:r w:rsidRPr="007C0E75">
              <w:rPr>
                <w:b/>
              </w:rPr>
              <w:t>Inhalation exposure:</w:t>
            </w:r>
          </w:p>
          <w:p w14:paraId="4D64F857" w14:textId="77777777" w:rsidR="00C47639" w:rsidRPr="007C0E75" w:rsidRDefault="00C47639" w:rsidP="00C47639">
            <w:pPr>
              <w:spacing w:before="0" w:after="0"/>
              <w:ind w:left="708"/>
            </w:pPr>
            <w:r w:rsidRPr="007C0E75">
              <w:t xml:space="preserve">Inhalation is no relevant for this model and is not taken into account </w:t>
            </w:r>
          </w:p>
          <w:p w14:paraId="359806AF" w14:textId="77777777" w:rsidR="00C47639" w:rsidRPr="007C0E75" w:rsidRDefault="00C47639" w:rsidP="00C47639">
            <w:pPr>
              <w:spacing w:before="0" w:after="0"/>
              <w:rPr>
                <w:b/>
              </w:rPr>
            </w:pPr>
            <w:r w:rsidRPr="007C0E75">
              <w:rPr>
                <w:b/>
              </w:rPr>
              <w:t xml:space="preserve">Systemic exposure: </w:t>
            </w:r>
          </w:p>
          <w:p w14:paraId="244542B0" w14:textId="77777777" w:rsidR="00C47639" w:rsidRDefault="00C47639" w:rsidP="00C47639">
            <w:pPr>
              <w:spacing w:before="0" w:after="0"/>
              <w:ind w:left="708"/>
            </w:pPr>
            <w:r w:rsidRPr="007C0E75">
              <w:t xml:space="preserve">Dermal systemic exposure + 0 (inhalation exposure </w:t>
            </w:r>
            <w:proofErr w:type="spellStart"/>
            <w:r w:rsidRPr="007C0E75">
              <w:t>n.r</w:t>
            </w:r>
            <w:proofErr w:type="spellEnd"/>
            <w:r w:rsidRPr="007C0E75">
              <w:t xml:space="preserve">.) </w:t>
            </w:r>
          </w:p>
          <w:p w14:paraId="101C2EFC" w14:textId="77777777" w:rsidR="00C47639" w:rsidRPr="00940F75" w:rsidRDefault="00C47639" w:rsidP="00C47639">
            <w:pPr>
              <w:pStyle w:val="Standaard-Tabellen"/>
            </w:pPr>
          </w:p>
        </w:tc>
      </w:tr>
      <w:tr w:rsidR="00C47639" w:rsidRPr="001D31A4" w14:paraId="1C2F4E3A" w14:textId="77777777" w:rsidTr="00C47639">
        <w:trPr>
          <w:tblHeader/>
        </w:trPr>
        <w:tc>
          <w:tcPr>
            <w:tcW w:w="418" w:type="pct"/>
            <w:shd w:val="clear" w:color="auto" w:fill="BFBFBF" w:themeFill="background1" w:themeFillShade="BF"/>
            <w:tcMar>
              <w:top w:w="57" w:type="dxa"/>
              <w:bottom w:w="57" w:type="dxa"/>
            </w:tcMar>
          </w:tcPr>
          <w:p w14:paraId="4111A61E" w14:textId="77777777" w:rsidR="00C47639" w:rsidRPr="00FF0AF1" w:rsidRDefault="00C47639" w:rsidP="00C47639">
            <w:pPr>
              <w:pStyle w:val="Standaard-Tabellen"/>
              <w:rPr>
                <w:b/>
              </w:rPr>
            </w:pPr>
          </w:p>
        </w:tc>
        <w:tc>
          <w:tcPr>
            <w:tcW w:w="2148" w:type="pct"/>
            <w:shd w:val="clear" w:color="auto" w:fill="BFBFBF" w:themeFill="background1" w:themeFillShade="BF"/>
            <w:tcMar>
              <w:top w:w="57" w:type="dxa"/>
              <w:bottom w:w="57" w:type="dxa"/>
            </w:tcMar>
          </w:tcPr>
          <w:p w14:paraId="5D1EA982" w14:textId="77777777" w:rsidR="00C47639" w:rsidRPr="00FF0AF1" w:rsidRDefault="00C47639" w:rsidP="00C47639">
            <w:pPr>
              <w:pStyle w:val="Standaard-Tabellen"/>
              <w:rPr>
                <w:b/>
              </w:rPr>
            </w:pPr>
            <w:r w:rsidRPr="00FF0AF1">
              <w:rPr>
                <w:b/>
              </w:rPr>
              <w:t>Parameters</w:t>
            </w:r>
            <w:r w:rsidRPr="00FF0AF1">
              <w:rPr>
                <w:b/>
                <w:vertAlign w:val="superscript"/>
              </w:rPr>
              <w:t>1</w:t>
            </w:r>
          </w:p>
        </w:tc>
        <w:tc>
          <w:tcPr>
            <w:tcW w:w="2435" w:type="pct"/>
            <w:shd w:val="clear" w:color="auto" w:fill="BFBFBF" w:themeFill="background1" w:themeFillShade="BF"/>
            <w:tcMar>
              <w:top w:w="57" w:type="dxa"/>
              <w:bottom w:w="57" w:type="dxa"/>
            </w:tcMar>
          </w:tcPr>
          <w:p w14:paraId="7C59CD8B" w14:textId="77777777" w:rsidR="00C47639" w:rsidRPr="00FF0AF1" w:rsidRDefault="00C47639" w:rsidP="00C47639">
            <w:pPr>
              <w:pStyle w:val="Standaard-Tabellen"/>
              <w:rPr>
                <w:b/>
              </w:rPr>
            </w:pPr>
            <w:r w:rsidRPr="00FF0AF1">
              <w:rPr>
                <w:b/>
              </w:rPr>
              <w:t>Value</w:t>
            </w:r>
          </w:p>
        </w:tc>
      </w:tr>
      <w:tr w:rsidR="00C47639" w:rsidRPr="00FD2055" w14:paraId="7CEDDACD" w14:textId="77777777" w:rsidTr="00C47639">
        <w:trPr>
          <w:tblHeader/>
        </w:trPr>
        <w:tc>
          <w:tcPr>
            <w:tcW w:w="418" w:type="pct"/>
            <w:vMerge w:val="restart"/>
            <w:tcMar>
              <w:top w:w="57" w:type="dxa"/>
              <w:bottom w:w="57" w:type="dxa"/>
            </w:tcMar>
          </w:tcPr>
          <w:p w14:paraId="5DD8BCF1" w14:textId="77777777" w:rsidR="00C47639" w:rsidRPr="00FF0AF1" w:rsidRDefault="00C47639" w:rsidP="00C47639">
            <w:pPr>
              <w:pStyle w:val="Standaard-Tabellen"/>
            </w:pPr>
            <w:r w:rsidRPr="00FF0AF1">
              <w:t>Tier 1</w:t>
            </w:r>
          </w:p>
          <w:p w14:paraId="5ED55A64" w14:textId="77777777" w:rsidR="00C47639" w:rsidRPr="00FF0AF1" w:rsidRDefault="00C47639" w:rsidP="00C47639">
            <w:pPr>
              <w:pStyle w:val="Standaard-Tabellen"/>
            </w:pPr>
          </w:p>
        </w:tc>
        <w:tc>
          <w:tcPr>
            <w:tcW w:w="2148" w:type="pct"/>
            <w:shd w:val="clear" w:color="auto" w:fill="auto"/>
            <w:tcMar>
              <w:top w:w="57" w:type="dxa"/>
              <w:bottom w:w="57" w:type="dxa"/>
            </w:tcMar>
          </w:tcPr>
          <w:p w14:paraId="39F99D4C" w14:textId="77777777" w:rsidR="00C47639" w:rsidRPr="00FF0AF1" w:rsidRDefault="00C47639" w:rsidP="00C47639">
            <w:pPr>
              <w:pStyle w:val="Standaard-Tabellen"/>
            </w:pPr>
            <w:r w:rsidRPr="00FF0AF1">
              <w:t>Purity of the active substance</w:t>
            </w:r>
            <w:r w:rsidRPr="00FF0AF1">
              <w:rPr>
                <w:vertAlign w:val="superscript"/>
              </w:rPr>
              <w:t>1</w:t>
            </w:r>
            <w:r w:rsidRPr="00FF0AF1">
              <w:t xml:space="preserve"> </w:t>
            </w:r>
          </w:p>
        </w:tc>
        <w:tc>
          <w:tcPr>
            <w:tcW w:w="2435" w:type="pct"/>
            <w:shd w:val="clear" w:color="auto" w:fill="auto"/>
            <w:tcMar>
              <w:top w:w="57" w:type="dxa"/>
              <w:bottom w:w="57" w:type="dxa"/>
            </w:tcMar>
          </w:tcPr>
          <w:p w14:paraId="381446D3" w14:textId="77777777" w:rsidR="00C47639" w:rsidRPr="00FF0AF1" w:rsidRDefault="00C47639" w:rsidP="00C47639">
            <w:pPr>
              <w:pStyle w:val="Standaard-Tabellen"/>
            </w:pPr>
            <w:r w:rsidRPr="00FF0AF1">
              <w:t>99</w:t>
            </w:r>
            <w:r>
              <w:t> </w:t>
            </w:r>
            <w:r w:rsidRPr="00FF0AF1">
              <w:t>%</w:t>
            </w:r>
          </w:p>
        </w:tc>
      </w:tr>
      <w:tr w:rsidR="00C47639" w:rsidRPr="00FD2055" w14:paraId="0793C3C9" w14:textId="77777777" w:rsidTr="00C47639">
        <w:trPr>
          <w:tblHeader/>
        </w:trPr>
        <w:tc>
          <w:tcPr>
            <w:tcW w:w="418" w:type="pct"/>
            <w:vMerge/>
            <w:tcMar>
              <w:top w:w="57" w:type="dxa"/>
              <w:bottom w:w="57" w:type="dxa"/>
            </w:tcMar>
          </w:tcPr>
          <w:p w14:paraId="4BEFD59F" w14:textId="77777777" w:rsidR="00C47639" w:rsidRPr="00FF0AF1" w:rsidRDefault="00C47639" w:rsidP="00C47639">
            <w:pPr>
              <w:pStyle w:val="Standaard-Tabellen"/>
            </w:pPr>
          </w:p>
        </w:tc>
        <w:tc>
          <w:tcPr>
            <w:tcW w:w="2148" w:type="pct"/>
            <w:shd w:val="clear" w:color="auto" w:fill="auto"/>
            <w:tcMar>
              <w:top w:w="57" w:type="dxa"/>
              <w:bottom w:w="57" w:type="dxa"/>
            </w:tcMar>
          </w:tcPr>
          <w:p w14:paraId="4AE30502" w14:textId="77777777" w:rsidR="00C47639" w:rsidRPr="00FF0AF1" w:rsidRDefault="00C47639" w:rsidP="00C47639">
            <w:pPr>
              <w:pStyle w:val="Standaard-Tabellen"/>
            </w:pPr>
            <w:r w:rsidRPr="00FF0AF1">
              <w:t>Dermal absorption</w:t>
            </w:r>
            <w:r w:rsidRPr="00FF0AF1">
              <w:rPr>
                <w:vertAlign w:val="superscript"/>
              </w:rPr>
              <w:t>1</w:t>
            </w:r>
          </w:p>
        </w:tc>
        <w:tc>
          <w:tcPr>
            <w:tcW w:w="2435" w:type="pct"/>
            <w:shd w:val="clear" w:color="auto" w:fill="auto"/>
            <w:tcMar>
              <w:top w:w="57" w:type="dxa"/>
              <w:bottom w:w="57" w:type="dxa"/>
            </w:tcMar>
          </w:tcPr>
          <w:p w14:paraId="02440C2D" w14:textId="77777777" w:rsidR="00C47639" w:rsidRPr="00FF0AF1" w:rsidRDefault="00C47639" w:rsidP="00C47639">
            <w:pPr>
              <w:pStyle w:val="Standaard-Tabellen"/>
            </w:pPr>
            <w:r w:rsidRPr="00FF0AF1">
              <w:t>50</w:t>
            </w:r>
            <w:r>
              <w:t> </w:t>
            </w:r>
            <w:r w:rsidRPr="00FF0AF1">
              <w:t xml:space="preserve">% </w:t>
            </w:r>
          </w:p>
        </w:tc>
      </w:tr>
      <w:tr w:rsidR="00C47639" w:rsidRPr="00FD2055" w14:paraId="6C259CC2" w14:textId="77777777" w:rsidTr="00C47639">
        <w:trPr>
          <w:tblHeader/>
        </w:trPr>
        <w:tc>
          <w:tcPr>
            <w:tcW w:w="418" w:type="pct"/>
            <w:vMerge/>
            <w:tcMar>
              <w:top w:w="57" w:type="dxa"/>
              <w:bottom w:w="57" w:type="dxa"/>
            </w:tcMar>
          </w:tcPr>
          <w:p w14:paraId="4ACABAA8" w14:textId="77777777" w:rsidR="00C47639" w:rsidRPr="00FF0AF1" w:rsidRDefault="00C47639" w:rsidP="00C47639">
            <w:pPr>
              <w:pStyle w:val="Standaard-Tabellen"/>
            </w:pPr>
          </w:p>
        </w:tc>
        <w:tc>
          <w:tcPr>
            <w:tcW w:w="2148" w:type="pct"/>
            <w:shd w:val="clear" w:color="auto" w:fill="auto"/>
            <w:tcMar>
              <w:top w:w="57" w:type="dxa"/>
              <w:bottom w:w="57" w:type="dxa"/>
            </w:tcMar>
          </w:tcPr>
          <w:p w14:paraId="5E67982F" w14:textId="77777777" w:rsidR="00C47639" w:rsidRPr="00FF0AF1" w:rsidRDefault="00C47639" w:rsidP="00C47639">
            <w:pPr>
              <w:pStyle w:val="Standaard-Tabellen"/>
            </w:pPr>
            <w:r w:rsidRPr="00FF0AF1">
              <w:t>default potential exposure rates on clothing</w:t>
            </w:r>
            <w:r w:rsidRPr="00FF0AF1">
              <w:rPr>
                <w:vertAlign w:val="superscript"/>
              </w:rPr>
              <w:t>2</w:t>
            </w:r>
          </w:p>
        </w:tc>
        <w:tc>
          <w:tcPr>
            <w:tcW w:w="2435" w:type="pct"/>
            <w:shd w:val="clear" w:color="auto" w:fill="auto"/>
            <w:tcMar>
              <w:top w:w="57" w:type="dxa"/>
              <w:bottom w:w="57" w:type="dxa"/>
            </w:tcMar>
          </w:tcPr>
          <w:p w14:paraId="474639D6" w14:textId="77777777" w:rsidR="00C47639" w:rsidRPr="00FF0AF1" w:rsidRDefault="00C47639" w:rsidP="00C47639">
            <w:pPr>
              <w:pStyle w:val="Standaard-Tabellen"/>
            </w:pPr>
            <w:r w:rsidRPr="00FF0AF1">
              <w:t>101</w:t>
            </w:r>
            <w:r>
              <w:t> </w:t>
            </w:r>
            <w:r w:rsidRPr="00FF0AF1">
              <w:t>mg/min</w:t>
            </w:r>
          </w:p>
        </w:tc>
      </w:tr>
      <w:tr w:rsidR="00C47639" w:rsidRPr="00FD2055" w14:paraId="0006BD4A" w14:textId="77777777" w:rsidTr="00C47639">
        <w:trPr>
          <w:tblHeader/>
        </w:trPr>
        <w:tc>
          <w:tcPr>
            <w:tcW w:w="418" w:type="pct"/>
            <w:vMerge/>
            <w:tcMar>
              <w:top w:w="57" w:type="dxa"/>
              <w:bottom w:w="57" w:type="dxa"/>
            </w:tcMar>
          </w:tcPr>
          <w:p w14:paraId="79FBAC65" w14:textId="77777777" w:rsidR="00C47639" w:rsidRPr="00FF0AF1" w:rsidRDefault="00C47639" w:rsidP="00C47639">
            <w:pPr>
              <w:pStyle w:val="Standaard-Tabellen"/>
            </w:pPr>
          </w:p>
        </w:tc>
        <w:tc>
          <w:tcPr>
            <w:tcW w:w="2148" w:type="pct"/>
            <w:shd w:val="clear" w:color="auto" w:fill="auto"/>
            <w:tcMar>
              <w:top w:w="57" w:type="dxa"/>
              <w:bottom w:w="57" w:type="dxa"/>
            </w:tcMar>
          </w:tcPr>
          <w:p w14:paraId="47118A83" w14:textId="77777777" w:rsidR="00C47639" w:rsidRPr="00FF0AF1" w:rsidRDefault="00C47639" w:rsidP="00C47639">
            <w:pPr>
              <w:pStyle w:val="Standaard-Tabellen"/>
            </w:pPr>
            <w:r w:rsidRPr="00FF0AF1">
              <w:t>default potential exposure rates on hand</w:t>
            </w:r>
            <w:r w:rsidRPr="00FF0AF1">
              <w:rPr>
                <w:vertAlign w:val="superscript"/>
              </w:rPr>
              <w:t>2</w:t>
            </w:r>
          </w:p>
        </w:tc>
        <w:tc>
          <w:tcPr>
            <w:tcW w:w="2435" w:type="pct"/>
            <w:shd w:val="clear" w:color="auto" w:fill="auto"/>
            <w:tcMar>
              <w:top w:w="57" w:type="dxa"/>
              <w:bottom w:w="57" w:type="dxa"/>
            </w:tcMar>
          </w:tcPr>
          <w:p w14:paraId="06FBAC1E" w14:textId="77777777" w:rsidR="00C47639" w:rsidRPr="00FF0AF1" w:rsidRDefault="00C47639" w:rsidP="00C47639">
            <w:pPr>
              <w:pStyle w:val="Standaard-Tabellen"/>
            </w:pPr>
            <w:r>
              <w:t>2.</w:t>
            </w:r>
            <w:r w:rsidRPr="00FF0AF1">
              <w:t>02</w:t>
            </w:r>
            <w:r>
              <w:t> </w:t>
            </w:r>
            <w:r w:rsidRPr="00FF0AF1">
              <w:t>mg/min</w:t>
            </w:r>
          </w:p>
        </w:tc>
      </w:tr>
      <w:tr w:rsidR="00C47639" w:rsidRPr="00FD2055" w14:paraId="7B03DE0A" w14:textId="77777777" w:rsidTr="00C47639">
        <w:trPr>
          <w:tblHeader/>
        </w:trPr>
        <w:tc>
          <w:tcPr>
            <w:tcW w:w="418" w:type="pct"/>
            <w:vMerge/>
            <w:tcMar>
              <w:top w:w="57" w:type="dxa"/>
              <w:bottom w:w="57" w:type="dxa"/>
            </w:tcMar>
          </w:tcPr>
          <w:p w14:paraId="1D9870D0" w14:textId="77777777" w:rsidR="00C47639" w:rsidRPr="00FF0AF1" w:rsidRDefault="00C47639" w:rsidP="00C47639">
            <w:pPr>
              <w:pStyle w:val="Standaard-Tabellen"/>
            </w:pPr>
          </w:p>
        </w:tc>
        <w:tc>
          <w:tcPr>
            <w:tcW w:w="2148" w:type="pct"/>
            <w:shd w:val="clear" w:color="auto" w:fill="auto"/>
            <w:tcMar>
              <w:top w:w="57" w:type="dxa"/>
              <w:bottom w:w="57" w:type="dxa"/>
            </w:tcMar>
          </w:tcPr>
          <w:p w14:paraId="7C2CA67D" w14:textId="77777777" w:rsidR="00C47639" w:rsidRPr="00FF0AF1" w:rsidRDefault="00C47639" w:rsidP="00C47639">
            <w:pPr>
              <w:pStyle w:val="Standaard-Tabellen"/>
            </w:pPr>
            <w:r w:rsidRPr="00FF0AF1">
              <w:t>default potential exposure rates for inhalation</w:t>
            </w:r>
            <w:r w:rsidRPr="00FF0AF1">
              <w:rPr>
                <w:vertAlign w:val="superscript"/>
              </w:rPr>
              <w:t>2</w:t>
            </w:r>
          </w:p>
        </w:tc>
        <w:tc>
          <w:tcPr>
            <w:tcW w:w="2435" w:type="pct"/>
            <w:shd w:val="clear" w:color="auto" w:fill="auto"/>
            <w:tcMar>
              <w:top w:w="57" w:type="dxa"/>
              <w:bottom w:w="57" w:type="dxa"/>
            </w:tcMar>
          </w:tcPr>
          <w:p w14:paraId="57FC0976" w14:textId="77777777" w:rsidR="00C47639" w:rsidRPr="00FF0AF1" w:rsidRDefault="00C47639" w:rsidP="00C47639">
            <w:pPr>
              <w:pStyle w:val="Standaard-Tabellen"/>
            </w:pPr>
            <w:proofErr w:type="spellStart"/>
            <w:r w:rsidRPr="00FF0AF1">
              <w:t>n.r</w:t>
            </w:r>
            <w:proofErr w:type="spellEnd"/>
            <w:r w:rsidRPr="00FF0AF1">
              <w:t>. mg/m</w:t>
            </w:r>
            <w:r>
              <w:t>³</w:t>
            </w:r>
            <w:r w:rsidRPr="00FF0AF1">
              <w:t xml:space="preserve"> (and the substance has a low </w:t>
            </w:r>
            <w:proofErr w:type="spellStart"/>
            <w:r w:rsidRPr="00FF0AF1">
              <w:t>vapour</w:t>
            </w:r>
            <w:proofErr w:type="spellEnd"/>
            <w:r w:rsidRPr="00FF0AF1">
              <w:t xml:space="preserve"> pressure) </w:t>
            </w:r>
          </w:p>
        </w:tc>
      </w:tr>
      <w:tr w:rsidR="00C47639" w:rsidRPr="00FD2055" w14:paraId="444A78E9" w14:textId="77777777" w:rsidTr="00C47639">
        <w:trPr>
          <w:tblHeader/>
        </w:trPr>
        <w:tc>
          <w:tcPr>
            <w:tcW w:w="418" w:type="pct"/>
            <w:vMerge/>
            <w:tcMar>
              <w:top w:w="57" w:type="dxa"/>
              <w:bottom w:w="57" w:type="dxa"/>
            </w:tcMar>
          </w:tcPr>
          <w:p w14:paraId="5E6A0E3B" w14:textId="77777777" w:rsidR="00C47639" w:rsidRPr="00FF0AF1" w:rsidRDefault="00C47639" w:rsidP="00C47639">
            <w:pPr>
              <w:pStyle w:val="Standaard-Tabellen"/>
            </w:pPr>
          </w:p>
        </w:tc>
        <w:tc>
          <w:tcPr>
            <w:tcW w:w="2148" w:type="pct"/>
            <w:shd w:val="clear" w:color="auto" w:fill="auto"/>
            <w:tcMar>
              <w:top w:w="57" w:type="dxa"/>
              <w:bottom w:w="57" w:type="dxa"/>
            </w:tcMar>
          </w:tcPr>
          <w:p w14:paraId="25B0DD27" w14:textId="77777777" w:rsidR="00C47639" w:rsidRPr="00FF0AF1" w:rsidRDefault="00C47639" w:rsidP="00C47639">
            <w:pPr>
              <w:pStyle w:val="Standaard-Tabellen"/>
            </w:pPr>
            <w:r w:rsidRPr="00FF0AF1">
              <w:t>Bodyweight</w:t>
            </w:r>
            <w:r w:rsidRPr="00FF0AF1">
              <w:rPr>
                <w:vertAlign w:val="superscript"/>
              </w:rPr>
              <w:t>3</w:t>
            </w:r>
          </w:p>
        </w:tc>
        <w:tc>
          <w:tcPr>
            <w:tcW w:w="2435" w:type="pct"/>
            <w:shd w:val="clear" w:color="auto" w:fill="auto"/>
            <w:tcMar>
              <w:top w:w="57" w:type="dxa"/>
              <w:bottom w:w="57" w:type="dxa"/>
            </w:tcMar>
          </w:tcPr>
          <w:p w14:paraId="0D20F458" w14:textId="77777777" w:rsidR="00C47639" w:rsidRPr="00FF0AF1" w:rsidRDefault="00C47639" w:rsidP="00C47639">
            <w:pPr>
              <w:pStyle w:val="Standaard-Tabellen"/>
            </w:pPr>
            <w:r>
              <w:t>60 </w:t>
            </w:r>
            <w:r w:rsidRPr="00FF0AF1">
              <w:t>kg</w:t>
            </w:r>
          </w:p>
        </w:tc>
      </w:tr>
      <w:tr w:rsidR="00C47639" w:rsidRPr="00FD2055" w14:paraId="2F0B6B0E" w14:textId="77777777" w:rsidTr="00C47639">
        <w:trPr>
          <w:tblHeader/>
        </w:trPr>
        <w:tc>
          <w:tcPr>
            <w:tcW w:w="418" w:type="pct"/>
            <w:vMerge/>
            <w:tcMar>
              <w:top w:w="57" w:type="dxa"/>
              <w:bottom w:w="57" w:type="dxa"/>
            </w:tcMar>
          </w:tcPr>
          <w:p w14:paraId="780D4B2C" w14:textId="77777777" w:rsidR="00C47639" w:rsidRPr="00FF0AF1" w:rsidRDefault="00C47639" w:rsidP="00C47639">
            <w:pPr>
              <w:pStyle w:val="Standaard-Tabellen"/>
            </w:pPr>
          </w:p>
        </w:tc>
        <w:tc>
          <w:tcPr>
            <w:tcW w:w="2148" w:type="pct"/>
            <w:shd w:val="clear" w:color="auto" w:fill="auto"/>
            <w:tcMar>
              <w:top w:w="57" w:type="dxa"/>
              <w:bottom w:w="57" w:type="dxa"/>
            </w:tcMar>
          </w:tcPr>
          <w:p w14:paraId="3109D098" w14:textId="77777777" w:rsidR="00C47639" w:rsidRPr="00FF0AF1" w:rsidRDefault="00C47639" w:rsidP="00C47639">
            <w:pPr>
              <w:pStyle w:val="Standaard-Tabellen"/>
            </w:pPr>
            <w:r w:rsidRPr="00FF0AF1">
              <w:t>Number of events per day</w:t>
            </w:r>
          </w:p>
        </w:tc>
        <w:tc>
          <w:tcPr>
            <w:tcW w:w="2435" w:type="pct"/>
            <w:shd w:val="clear" w:color="auto" w:fill="auto"/>
            <w:tcMar>
              <w:top w:w="57" w:type="dxa"/>
              <w:bottom w:w="57" w:type="dxa"/>
            </w:tcMar>
          </w:tcPr>
          <w:p w14:paraId="60942990" w14:textId="77777777" w:rsidR="00C47639" w:rsidRPr="00FF0AF1" w:rsidRDefault="00C47639" w:rsidP="00C47639">
            <w:pPr>
              <w:pStyle w:val="Standaard-Tabellen"/>
            </w:pPr>
            <w:r w:rsidRPr="00FF0AF1">
              <w:t>1/day</w:t>
            </w:r>
          </w:p>
        </w:tc>
      </w:tr>
      <w:tr w:rsidR="00C47639" w:rsidRPr="00FD2055" w14:paraId="79D4413E" w14:textId="77777777" w:rsidTr="00C47639">
        <w:trPr>
          <w:tblHeader/>
        </w:trPr>
        <w:tc>
          <w:tcPr>
            <w:tcW w:w="418" w:type="pct"/>
            <w:vMerge/>
            <w:tcMar>
              <w:top w:w="57" w:type="dxa"/>
              <w:bottom w:w="57" w:type="dxa"/>
            </w:tcMar>
          </w:tcPr>
          <w:p w14:paraId="6416C795" w14:textId="77777777" w:rsidR="00C47639" w:rsidRPr="00FF0AF1" w:rsidRDefault="00C47639" w:rsidP="00C47639">
            <w:pPr>
              <w:pStyle w:val="Standaard-Tabellen"/>
            </w:pPr>
          </w:p>
        </w:tc>
        <w:tc>
          <w:tcPr>
            <w:tcW w:w="2148" w:type="pct"/>
            <w:shd w:val="clear" w:color="auto" w:fill="auto"/>
            <w:tcMar>
              <w:top w:w="57" w:type="dxa"/>
              <w:bottom w:w="57" w:type="dxa"/>
            </w:tcMar>
          </w:tcPr>
          <w:p w14:paraId="58F3949E" w14:textId="77777777" w:rsidR="00C47639" w:rsidRPr="00FF0AF1" w:rsidRDefault="00C47639" w:rsidP="00C47639">
            <w:pPr>
              <w:pStyle w:val="Standaard-Tabellen"/>
            </w:pPr>
            <w:r w:rsidRPr="00FF0AF1">
              <w:t>Duration of task</w:t>
            </w:r>
          </w:p>
        </w:tc>
        <w:tc>
          <w:tcPr>
            <w:tcW w:w="2435" w:type="pct"/>
            <w:shd w:val="clear" w:color="auto" w:fill="auto"/>
            <w:tcMar>
              <w:top w:w="57" w:type="dxa"/>
              <w:bottom w:w="57" w:type="dxa"/>
            </w:tcMar>
          </w:tcPr>
          <w:p w14:paraId="1399440C" w14:textId="77777777" w:rsidR="00C47639" w:rsidRPr="00FF0AF1" w:rsidRDefault="00C47639" w:rsidP="00C47639">
            <w:pPr>
              <w:pStyle w:val="Standaard-Tabellen"/>
            </w:pPr>
            <w:r>
              <w:t>10 </w:t>
            </w:r>
            <w:r w:rsidRPr="00FF0AF1">
              <w:t>min</w:t>
            </w:r>
          </w:p>
        </w:tc>
      </w:tr>
      <w:tr w:rsidR="00C47639" w:rsidRPr="00FD2055" w14:paraId="7DEABB59" w14:textId="77777777" w:rsidTr="00C47639">
        <w:trPr>
          <w:tblHeader/>
        </w:trPr>
        <w:tc>
          <w:tcPr>
            <w:tcW w:w="418" w:type="pct"/>
            <w:tcMar>
              <w:top w:w="57" w:type="dxa"/>
              <w:bottom w:w="57" w:type="dxa"/>
            </w:tcMar>
          </w:tcPr>
          <w:p w14:paraId="5ED7F343" w14:textId="77777777" w:rsidR="00C47639" w:rsidRPr="00FF0AF1" w:rsidRDefault="00C47639" w:rsidP="00C47639">
            <w:pPr>
              <w:pStyle w:val="Standaard-Tabellen"/>
            </w:pPr>
            <w:r w:rsidRPr="00FF0AF1">
              <w:t>Tier 2</w:t>
            </w:r>
          </w:p>
        </w:tc>
        <w:tc>
          <w:tcPr>
            <w:tcW w:w="2148" w:type="pct"/>
            <w:shd w:val="clear" w:color="auto" w:fill="auto"/>
            <w:tcMar>
              <w:top w:w="57" w:type="dxa"/>
              <w:bottom w:w="57" w:type="dxa"/>
            </w:tcMar>
          </w:tcPr>
          <w:p w14:paraId="1D9C4867" w14:textId="77777777" w:rsidR="00C47639" w:rsidRPr="00FF0AF1" w:rsidRDefault="00C47639" w:rsidP="00C47639">
            <w:pPr>
              <w:pStyle w:val="Standaard-Tabellen"/>
            </w:pPr>
            <w:r w:rsidRPr="00FF0AF1">
              <w:t>Factor of protection for Uncoated cotton coverall</w:t>
            </w:r>
            <w:r w:rsidRPr="00FF0AF1">
              <w:rPr>
                <w:vertAlign w:val="superscript"/>
              </w:rPr>
              <w:t>3</w:t>
            </w:r>
          </w:p>
        </w:tc>
        <w:tc>
          <w:tcPr>
            <w:tcW w:w="2435" w:type="pct"/>
            <w:shd w:val="clear" w:color="auto" w:fill="auto"/>
            <w:tcMar>
              <w:top w:w="57" w:type="dxa"/>
              <w:bottom w:w="57" w:type="dxa"/>
            </w:tcMar>
          </w:tcPr>
          <w:p w14:paraId="0F9262F3" w14:textId="77777777" w:rsidR="00C47639" w:rsidRPr="00FF0AF1" w:rsidRDefault="00C47639" w:rsidP="00C47639">
            <w:pPr>
              <w:pStyle w:val="Standaard-Tabellen"/>
            </w:pPr>
            <w:r w:rsidRPr="00FF0AF1">
              <w:t>75</w:t>
            </w:r>
            <w:r>
              <w:t> </w:t>
            </w:r>
            <w:r w:rsidRPr="00FF0AF1">
              <w:t>%</w:t>
            </w:r>
          </w:p>
        </w:tc>
      </w:tr>
      <w:tr w:rsidR="00C47639" w:rsidRPr="00FD2055" w14:paraId="68382FC1" w14:textId="77777777" w:rsidTr="00C47639">
        <w:trPr>
          <w:tblHeader/>
        </w:trPr>
        <w:tc>
          <w:tcPr>
            <w:tcW w:w="418" w:type="pct"/>
            <w:tcMar>
              <w:top w:w="57" w:type="dxa"/>
              <w:bottom w:w="57" w:type="dxa"/>
            </w:tcMar>
          </w:tcPr>
          <w:p w14:paraId="31223294" w14:textId="77777777" w:rsidR="00C47639" w:rsidRPr="00FF0AF1" w:rsidRDefault="00C47639" w:rsidP="00C47639">
            <w:pPr>
              <w:pStyle w:val="Standaard-Tabellen"/>
            </w:pPr>
            <w:r w:rsidRPr="00FF0AF1">
              <w:t>Tier 3</w:t>
            </w:r>
          </w:p>
        </w:tc>
        <w:tc>
          <w:tcPr>
            <w:tcW w:w="2148" w:type="pct"/>
            <w:shd w:val="clear" w:color="auto" w:fill="auto"/>
            <w:tcMar>
              <w:top w:w="57" w:type="dxa"/>
              <w:bottom w:w="57" w:type="dxa"/>
            </w:tcMar>
          </w:tcPr>
          <w:p w14:paraId="07FB2B50" w14:textId="77777777" w:rsidR="00C47639" w:rsidRPr="00FF0AF1" w:rsidRDefault="00C47639" w:rsidP="00C47639">
            <w:pPr>
              <w:pStyle w:val="Standaard-Tabellen"/>
            </w:pPr>
            <w:r w:rsidRPr="00FF0AF1">
              <w:t>Factor of protection for gloves</w:t>
            </w:r>
            <w:r w:rsidRPr="00FF0AF1">
              <w:rPr>
                <w:vertAlign w:val="superscript"/>
              </w:rPr>
              <w:t>3</w:t>
            </w:r>
          </w:p>
        </w:tc>
        <w:tc>
          <w:tcPr>
            <w:tcW w:w="2435" w:type="pct"/>
            <w:shd w:val="clear" w:color="auto" w:fill="auto"/>
            <w:tcMar>
              <w:top w:w="57" w:type="dxa"/>
              <w:bottom w:w="57" w:type="dxa"/>
            </w:tcMar>
          </w:tcPr>
          <w:p w14:paraId="49B963D8" w14:textId="77777777" w:rsidR="00C47639" w:rsidRPr="00FF0AF1" w:rsidRDefault="00C47639" w:rsidP="00C47639">
            <w:pPr>
              <w:pStyle w:val="Standaard-Tabellen"/>
            </w:pPr>
            <w:r w:rsidRPr="00FF0AF1">
              <w:t>90</w:t>
            </w:r>
            <w:r>
              <w:t> </w:t>
            </w:r>
            <w:r w:rsidRPr="00FF0AF1">
              <w:t>%</w:t>
            </w:r>
          </w:p>
        </w:tc>
      </w:tr>
    </w:tbl>
    <w:p w14:paraId="4E8CFA98" w14:textId="77777777" w:rsidR="00C47639" w:rsidRPr="00FF0AF1" w:rsidRDefault="00C47639" w:rsidP="00C47639">
      <w:pPr>
        <w:pStyle w:val="Voetnoot"/>
      </w:pPr>
      <w:r w:rsidRPr="00FF0AF1">
        <w:rPr>
          <w:vertAlign w:val="superscript"/>
        </w:rPr>
        <w:t>1</w:t>
      </w:r>
      <w:r w:rsidRPr="00FF0AF1">
        <w:t xml:space="preserve"> CAR (doc IIA) </w:t>
      </w:r>
    </w:p>
    <w:p w14:paraId="11768040" w14:textId="77777777" w:rsidR="00C47639" w:rsidRPr="00FF0AF1" w:rsidRDefault="00C47639" w:rsidP="00C47639">
      <w:pPr>
        <w:pStyle w:val="Voetnoot"/>
      </w:pPr>
      <w:r w:rsidRPr="00FF0AF1">
        <w:t>General information, see justification above</w:t>
      </w:r>
    </w:p>
    <w:p w14:paraId="0A22C15D" w14:textId="77777777" w:rsidR="00C47639" w:rsidRPr="00FF0AF1" w:rsidRDefault="00C47639" w:rsidP="00C47639">
      <w:pPr>
        <w:pStyle w:val="Voetnoot"/>
      </w:pPr>
      <w:r w:rsidRPr="00FF0AF1">
        <w:rPr>
          <w:vertAlign w:val="superscript"/>
        </w:rPr>
        <w:t>2</w:t>
      </w:r>
      <w:r w:rsidRPr="00FF0AF1">
        <w:t xml:space="preserve"> RISKOFDERM Dermal model: loading liquid, automated or semi-automated (HEEG opinion 1, 2008)</w:t>
      </w:r>
    </w:p>
    <w:p w14:paraId="7260C368" w14:textId="77777777" w:rsidR="00C47639" w:rsidRDefault="00C47639" w:rsidP="00C47639">
      <w:pPr>
        <w:pStyle w:val="Voetnoot"/>
      </w:pPr>
      <w:r w:rsidRPr="00FF0AF1">
        <w:rPr>
          <w:vertAlign w:val="superscript"/>
        </w:rPr>
        <w:t>3</w:t>
      </w:r>
      <w:r w:rsidRPr="00FF0AF1">
        <w:t xml:space="preserve"> Biocide Huma</w:t>
      </w:r>
      <w:r>
        <w:t>n Health Exposure Methodology (O</w:t>
      </w:r>
      <w:r w:rsidRPr="00FF0AF1">
        <w:t>ct 2015)</w:t>
      </w:r>
    </w:p>
    <w:p w14:paraId="05355695" w14:textId="77777777" w:rsidR="00C47639" w:rsidRDefault="00C47639" w:rsidP="00C47639"/>
    <w:p w14:paraId="6A4757E3" w14:textId="77777777" w:rsidR="00C47639" w:rsidRPr="00FF0AF1" w:rsidRDefault="00C47639" w:rsidP="00C47639"/>
    <w:p w14:paraId="4E037D6D" w14:textId="77777777" w:rsidR="00C47639" w:rsidRPr="00FF0AF1" w:rsidRDefault="00C47639" w:rsidP="00C47639">
      <w:pPr>
        <w:pStyle w:val="Titre7"/>
      </w:pPr>
      <w:proofErr w:type="spellStart"/>
      <w:r w:rsidRPr="00FF0AF1">
        <w:lastRenderedPageBreak/>
        <w:t>Calculations</w:t>
      </w:r>
      <w:proofErr w:type="spellEnd"/>
      <w:r w:rsidRPr="00FF0AF1">
        <w:t xml:space="preserve"> </w:t>
      </w:r>
      <w:proofErr w:type="spellStart"/>
      <w:r w:rsidRPr="00FF0AF1">
        <w:t>for</w:t>
      </w:r>
      <w:proofErr w:type="spellEnd"/>
      <w:r w:rsidRPr="00FF0AF1">
        <w:t xml:space="preserve"> Scenario 6</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27"/>
        <w:gridCol w:w="1870"/>
        <w:gridCol w:w="1652"/>
        <w:gridCol w:w="1565"/>
        <w:gridCol w:w="1481"/>
        <w:gridCol w:w="1501"/>
      </w:tblGrid>
      <w:tr w:rsidR="00C47639" w:rsidRPr="00FF0AF1" w14:paraId="5F70211A" w14:textId="77777777" w:rsidTr="00C47639">
        <w:trPr>
          <w:cantSplit/>
          <w:tblHeader/>
        </w:trPr>
        <w:tc>
          <w:tcPr>
            <w:tcW w:w="5000" w:type="pct"/>
            <w:gridSpan w:val="6"/>
            <w:shd w:val="clear" w:color="auto" w:fill="FFFFCC"/>
          </w:tcPr>
          <w:p w14:paraId="76EF8FE4" w14:textId="77777777" w:rsidR="00C47639" w:rsidRPr="00FF0AF1" w:rsidRDefault="00C47639" w:rsidP="00C47639">
            <w:pPr>
              <w:pStyle w:val="Standaard-Tabellen"/>
              <w:jc w:val="center"/>
              <w:rPr>
                <w:b/>
              </w:rPr>
            </w:pPr>
            <w:r w:rsidRPr="00FF0AF1">
              <w:rPr>
                <w:b/>
              </w:rPr>
              <w:t>Summary table: systemic exposure associated with production, formulation, and disposal</w:t>
            </w:r>
          </w:p>
        </w:tc>
      </w:tr>
      <w:tr w:rsidR="00C47639" w:rsidRPr="00FF0AF1" w14:paraId="103580E8" w14:textId="77777777" w:rsidTr="00C47639">
        <w:trPr>
          <w:cantSplit/>
          <w:tblHeader/>
        </w:trPr>
        <w:tc>
          <w:tcPr>
            <w:tcW w:w="706" w:type="pct"/>
            <w:shd w:val="clear" w:color="auto" w:fill="BFBFBF" w:themeFill="background1" w:themeFillShade="BF"/>
          </w:tcPr>
          <w:p w14:paraId="6BB2C546" w14:textId="77777777" w:rsidR="00C47639" w:rsidRPr="00FF0AF1" w:rsidRDefault="00C47639" w:rsidP="00C47639">
            <w:pPr>
              <w:pStyle w:val="Standaard-Tabellen"/>
              <w:rPr>
                <w:b/>
              </w:rPr>
            </w:pPr>
            <w:r w:rsidRPr="00FF0AF1">
              <w:rPr>
                <w:b/>
              </w:rPr>
              <w:t>Exposure scenario</w:t>
            </w:r>
          </w:p>
        </w:tc>
        <w:tc>
          <w:tcPr>
            <w:tcW w:w="995" w:type="pct"/>
            <w:shd w:val="clear" w:color="auto" w:fill="BFBFBF" w:themeFill="background1" w:themeFillShade="BF"/>
          </w:tcPr>
          <w:p w14:paraId="4446FEAC" w14:textId="77777777" w:rsidR="00C47639" w:rsidRPr="00FF0AF1" w:rsidRDefault="00C47639" w:rsidP="00C47639">
            <w:pPr>
              <w:pStyle w:val="Standaard-Tabellen"/>
              <w:rPr>
                <w:b/>
              </w:rPr>
            </w:pPr>
            <w:r w:rsidRPr="00FF0AF1">
              <w:rPr>
                <w:b/>
              </w:rPr>
              <w:t>Tier/PPE</w:t>
            </w:r>
          </w:p>
        </w:tc>
        <w:tc>
          <w:tcPr>
            <w:tcW w:w="879" w:type="pct"/>
            <w:shd w:val="clear" w:color="auto" w:fill="BFBFBF" w:themeFill="background1" w:themeFillShade="BF"/>
            <w:tcMar>
              <w:top w:w="57" w:type="dxa"/>
              <w:bottom w:w="57" w:type="dxa"/>
            </w:tcMar>
          </w:tcPr>
          <w:p w14:paraId="72A4EA38" w14:textId="77777777" w:rsidR="00C47639" w:rsidRPr="00FF0AF1" w:rsidRDefault="00C47639" w:rsidP="00C47639">
            <w:pPr>
              <w:pStyle w:val="Standaard-Tabellen"/>
              <w:rPr>
                <w:b/>
              </w:rPr>
            </w:pPr>
            <w:r w:rsidRPr="00FF0AF1">
              <w:rPr>
                <w:b/>
              </w:rPr>
              <w:t>Estimated inhalation uptake</w:t>
            </w:r>
          </w:p>
        </w:tc>
        <w:tc>
          <w:tcPr>
            <w:tcW w:w="833" w:type="pct"/>
            <w:shd w:val="clear" w:color="auto" w:fill="BFBFBF" w:themeFill="background1" w:themeFillShade="BF"/>
            <w:tcMar>
              <w:top w:w="57" w:type="dxa"/>
              <w:bottom w:w="57" w:type="dxa"/>
            </w:tcMar>
          </w:tcPr>
          <w:p w14:paraId="3BBA491A" w14:textId="77777777" w:rsidR="00C47639" w:rsidRDefault="00C47639" w:rsidP="00C47639">
            <w:pPr>
              <w:pStyle w:val="Standaard-Tabellen"/>
              <w:rPr>
                <w:b/>
              </w:rPr>
            </w:pPr>
            <w:r w:rsidRPr="00FF0AF1">
              <w:rPr>
                <w:b/>
              </w:rPr>
              <w:t>Estimated dermal uptake</w:t>
            </w:r>
          </w:p>
          <w:p w14:paraId="74932D81" w14:textId="77777777" w:rsidR="00C47639" w:rsidRPr="00FF0AF1" w:rsidRDefault="00C47639" w:rsidP="00C47639">
            <w:pPr>
              <w:pStyle w:val="Standaard-Tabellen"/>
              <w:rPr>
                <w:b/>
              </w:rPr>
            </w:pPr>
            <w:r>
              <w:rPr>
                <w:b/>
              </w:rPr>
              <w:t>[</w:t>
            </w:r>
            <w:r w:rsidRPr="00FF0AF1">
              <w:rPr>
                <w:b/>
              </w:rPr>
              <w:t xml:space="preserve">mg/kg </w:t>
            </w:r>
            <w:proofErr w:type="spellStart"/>
            <w:r w:rsidRPr="00FF0AF1">
              <w:rPr>
                <w:b/>
              </w:rPr>
              <w:t>bw</w:t>
            </w:r>
            <w:proofErr w:type="spellEnd"/>
            <w:r w:rsidRPr="00FF0AF1">
              <w:rPr>
                <w:b/>
              </w:rPr>
              <w:t>/d]</w:t>
            </w:r>
          </w:p>
        </w:tc>
        <w:tc>
          <w:tcPr>
            <w:tcW w:w="788" w:type="pct"/>
            <w:shd w:val="clear" w:color="auto" w:fill="BFBFBF" w:themeFill="background1" w:themeFillShade="BF"/>
            <w:tcMar>
              <w:top w:w="57" w:type="dxa"/>
              <w:bottom w:w="57" w:type="dxa"/>
            </w:tcMar>
          </w:tcPr>
          <w:p w14:paraId="4D459D82" w14:textId="77777777" w:rsidR="00C47639" w:rsidRPr="00FF0AF1" w:rsidRDefault="00C47639" w:rsidP="00C47639">
            <w:pPr>
              <w:pStyle w:val="Standaard-Tabellen"/>
              <w:rPr>
                <w:b/>
              </w:rPr>
            </w:pPr>
            <w:r w:rsidRPr="00FF0AF1">
              <w:rPr>
                <w:b/>
              </w:rPr>
              <w:t>Estimated oral uptake</w:t>
            </w:r>
          </w:p>
        </w:tc>
        <w:tc>
          <w:tcPr>
            <w:tcW w:w="799" w:type="pct"/>
            <w:shd w:val="clear" w:color="auto" w:fill="BFBFBF" w:themeFill="background1" w:themeFillShade="BF"/>
          </w:tcPr>
          <w:p w14:paraId="02B85095" w14:textId="77777777" w:rsidR="00C47639" w:rsidRPr="00FF0AF1" w:rsidRDefault="00C47639" w:rsidP="00C47639">
            <w:pPr>
              <w:pStyle w:val="Standaard-Tabellen"/>
              <w:rPr>
                <w:b/>
              </w:rPr>
            </w:pPr>
            <w:r w:rsidRPr="00FF0AF1">
              <w:rPr>
                <w:b/>
              </w:rPr>
              <w:t>Estimated total uptake</w:t>
            </w:r>
          </w:p>
          <w:p w14:paraId="73F81B20" w14:textId="77777777" w:rsidR="00C47639" w:rsidRPr="00FF0AF1" w:rsidRDefault="00C47639" w:rsidP="00C47639">
            <w:pPr>
              <w:pStyle w:val="Standaard-Tabellen"/>
              <w:rPr>
                <w:b/>
              </w:rPr>
            </w:pPr>
            <w:r w:rsidRPr="00FF0AF1">
              <w:rPr>
                <w:b/>
              </w:rPr>
              <w:t xml:space="preserve">[mg/kg </w:t>
            </w:r>
            <w:proofErr w:type="spellStart"/>
            <w:r w:rsidRPr="00FF0AF1">
              <w:rPr>
                <w:b/>
              </w:rPr>
              <w:t>bw</w:t>
            </w:r>
            <w:proofErr w:type="spellEnd"/>
            <w:r w:rsidRPr="00FF0AF1">
              <w:rPr>
                <w:b/>
              </w:rPr>
              <w:t>/d]</w:t>
            </w:r>
          </w:p>
        </w:tc>
      </w:tr>
      <w:tr w:rsidR="00C47639" w:rsidRPr="00FD2055" w14:paraId="4B11B38F" w14:textId="77777777" w:rsidTr="00C47639">
        <w:trPr>
          <w:cantSplit/>
          <w:tblHeader/>
        </w:trPr>
        <w:tc>
          <w:tcPr>
            <w:tcW w:w="706" w:type="pct"/>
            <w:shd w:val="clear" w:color="auto" w:fill="auto"/>
            <w:vAlign w:val="center"/>
          </w:tcPr>
          <w:p w14:paraId="6F9F0C6F" w14:textId="77777777" w:rsidR="00C47639" w:rsidRPr="00FD2055" w:rsidRDefault="00C47639" w:rsidP="00C47639">
            <w:pPr>
              <w:pStyle w:val="Standaard-Tabellen"/>
            </w:pPr>
            <w:r w:rsidRPr="00FD2055">
              <w:t xml:space="preserve">Scenario </w:t>
            </w:r>
            <w:r>
              <w:t>6</w:t>
            </w:r>
          </w:p>
        </w:tc>
        <w:tc>
          <w:tcPr>
            <w:tcW w:w="995" w:type="pct"/>
            <w:vAlign w:val="center"/>
          </w:tcPr>
          <w:p w14:paraId="43ACFB74" w14:textId="77777777" w:rsidR="00C47639" w:rsidRPr="00FD2055" w:rsidRDefault="00C47639" w:rsidP="00C47639">
            <w:pPr>
              <w:pStyle w:val="Standaard-Tabellen"/>
            </w:pPr>
            <w:r>
              <w:t>Tier 1/ no PPE</w:t>
            </w:r>
          </w:p>
        </w:tc>
        <w:tc>
          <w:tcPr>
            <w:tcW w:w="879" w:type="pct"/>
            <w:shd w:val="clear" w:color="auto" w:fill="auto"/>
            <w:tcMar>
              <w:top w:w="57" w:type="dxa"/>
              <w:bottom w:w="57" w:type="dxa"/>
            </w:tcMar>
            <w:vAlign w:val="center"/>
          </w:tcPr>
          <w:p w14:paraId="5E37782A" w14:textId="77777777" w:rsidR="00C47639" w:rsidRPr="00FD2055" w:rsidRDefault="00C47639" w:rsidP="00C47639">
            <w:pPr>
              <w:pStyle w:val="Standaard-Tabellen"/>
            </w:pPr>
            <w:proofErr w:type="spellStart"/>
            <w:r>
              <w:t>n.r</w:t>
            </w:r>
            <w:proofErr w:type="spellEnd"/>
            <w:r>
              <w:t>.</w:t>
            </w:r>
          </w:p>
        </w:tc>
        <w:tc>
          <w:tcPr>
            <w:tcW w:w="833" w:type="pct"/>
            <w:shd w:val="clear" w:color="auto" w:fill="auto"/>
            <w:tcMar>
              <w:top w:w="57" w:type="dxa"/>
              <w:bottom w:w="57" w:type="dxa"/>
            </w:tcMar>
            <w:vAlign w:val="center"/>
          </w:tcPr>
          <w:p w14:paraId="1109DA19" w14:textId="77777777" w:rsidR="00C47639" w:rsidRPr="00FD2055" w:rsidRDefault="00C47639" w:rsidP="00C47639">
            <w:pPr>
              <w:pStyle w:val="Standaard-Tabellen"/>
            </w:pPr>
            <w:r>
              <w:t>8.5</w:t>
            </w:r>
          </w:p>
        </w:tc>
        <w:tc>
          <w:tcPr>
            <w:tcW w:w="788" w:type="pct"/>
            <w:shd w:val="clear" w:color="auto" w:fill="auto"/>
            <w:tcMar>
              <w:top w:w="57" w:type="dxa"/>
              <w:bottom w:w="57" w:type="dxa"/>
            </w:tcMar>
            <w:vAlign w:val="center"/>
          </w:tcPr>
          <w:p w14:paraId="4200A7B4" w14:textId="77777777" w:rsidR="00C47639" w:rsidRPr="00FD2055" w:rsidRDefault="00C47639" w:rsidP="00C47639">
            <w:pPr>
              <w:pStyle w:val="Standaard-Tabellen"/>
            </w:pPr>
            <w:proofErr w:type="spellStart"/>
            <w:r>
              <w:t>n.r</w:t>
            </w:r>
            <w:proofErr w:type="spellEnd"/>
            <w:r>
              <w:t>.</w:t>
            </w:r>
          </w:p>
        </w:tc>
        <w:tc>
          <w:tcPr>
            <w:tcW w:w="799" w:type="pct"/>
            <w:shd w:val="clear" w:color="auto" w:fill="auto"/>
            <w:vAlign w:val="center"/>
          </w:tcPr>
          <w:p w14:paraId="2E2E8E31" w14:textId="77777777" w:rsidR="00C47639" w:rsidRPr="00FD2055" w:rsidRDefault="00C47639" w:rsidP="00C47639">
            <w:pPr>
              <w:pStyle w:val="Standaard-Tabellen"/>
            </w:pPr>
            <w:r>
              <w:t>8.5</w:t>
            </w:r>
          </w:p>
        </w:tc>
      </w:tr>
      <w:tr w:rsidR="00C47639" w:rsidRPr="00FD2055" w14:paraId="6043D893" w14:textId="77777777" w:rsidTr="00C47639">
        <w:trPr>
          <w:cantSplit/>
          <w:tblHeader/>
        </w:trPr>
        <w:tc>
          <w:tcPr>
            <w:tcW w:w="706" w:type="pct"/>
            <w:shd w:val="clear" w:color="auto" w:fill="auto"/>
            <w:vAlign w:val="center"/>
          </w:tcPr>
          <w:p w14:paraId="012252EA" w14:textId="77777777" w:rsidR="00C47639" w:rsidRPr="00FD2055" w:rsidRDefault="00C47639" w:rsidP="00C47639">
            <w:pPr>
              <w:pStyle w:val="Standaard-Tabellen"/>
            </w:pPr>
            <w:r w:rsidRPr="00D371B6">
              <w:t>Scenario 6</w:t>
            </w:r>
          </w:p>
        </w:tc>
        <w:tc>
          <w:tcPr>
            <w:tcW w:w="995" w:type="pct"/>
            <w:vAlign w:val="center"/>
          </w:tcPr>
          <w:p w14:paraId="1CD385F2" w14:textId="77777777" w:rsidR="00C47639" w:rsidRDefault="00C47639" w:rsidP="00C47639">
            <w:pPr>
              <w:pStyle w:val="Standaard-Tabellen"/>
            </w:pPr>
            <w:r>
              <w:t xml:space="preserve">Tier 2/ </w:t>
            </w:r>
            <w:r w:rsidRPr="00D371B6">
              <w:t>Uncoated cotton coverall</w:t>
            </w:r>
          </w:p>
        </w:tc>
        <w:tc>
          <w:tcPr>
            <w:tcW w:w="879" w:type="pct"/>
            <w:shd w:val="clear" w:color="auto" w:fill="auto"/>
            <w:tcMar>
              <w:top w:w="57" w:type="dxa"/>
              <w:bottom w:w="57" w:type="dxa"/>
            </w:tcMar>
            <w:vAlign w:val="center"/>
          </w:tcPr>
          <w:p w14:paraId="79C64B76" w14:textId="77777777" w:rsidR="00C47639" w:rsidRDefault="00C47639" w:rsidP="00C47639">
            <w:pPr>
              <w:pStyle w:val="Standaard-Tabellen"/>
            </w:pPr>
            <w:proofErr w:type="spellStart"/>
            <w:r w:rsidRPr="00D371B6">
              <w:t>n.r</w:t>
            </w:r>
            <w:proofErr w:type="spellEnd"/>
            <w:r w:rsidRPr="00D371B6">
              <w:t>.</w:t>
            </w:r>
          </w:p>
        </w:tc>
        <w:tc>
          <w:tcPr>
            <w:tcW w:w="833" w:type="pct"/>
            <w:shd w:val="clear" w:color="auto" w:fill="auto"/>
            <w:tcMar>
              <w:top w:w="57" w:type="dxa"/>
              <w:bottom w:w="57" w:type="dxa"/>
            </w:tcMar>
            <w:vAlign w:val="center"/>
          </w:tcPr>
          <w:p w14:paraId="4749DC33" w14:textId="77777777" w:rsidR="00C47639" w:rsidRDefault="00C47639" w:rsidP="00C47639">
            <w:pPr>
              <w:pStyle w:val="Standaard-Tabellen"/>
            </w:pPr>
            <w:r>
              <w:t>2.25</w:t>
            </w:r>
          </w:p>
        </w:tc>
        <w:tc>
          <w:tcPr>
            <w:tcW w:w="788" w:type="pct"/>
            <w:shd w:val="clear" w:color="auto" w:fill="auto"/>
            <w:tcMar>
              <w:top w:w="57" w:type="dxa"/>
              <w:bottom w:w="57" w:type="dxa"/>
            </w:tcMar>
            <w:vAlign w:val="center"/>
          </w:tcPr>
          <w:p w14:paraId="7791692A" w14:textId="77777777" w:rsidR="00C47639" w:rsidRDefault="00C47639" w:rsidP="00C47639">
            <w:pPr>
              <w:pStyle w:val="Standaard-Tabellen"/>
            </w:pPr>
            <w:proofErr w:type="spellStart"/>
            <w:r w:rsidRPr="00D371B6">
              <w:t>n.r</w:t>
            </w:r>
            <w:proofErr w:type="spellEnd"/>
            <w:r w:rsidRPr="00D371B6">
              <w:t>.</w:t>
            </w:r>
          </w:p>
        </w:tc>
        <w:tc>
          <w:tcPr>
            <w:tcW w:w="799" w:type="pct"/>
            <w:shd w:val="clear" w:color="auto" w:fill="auto"/>
            <w:vAlign w:val="center"/>
          </w:tcPr>
          <w:p w14:paraId="207C6BE4" w14:textId="77777777" w:rsidR="00C47639" w:rsidRDefault="00C47639" w:rsidP="00C47639">
            <w:pPr>
              <w:pStyle w:val="Standaard-Tabellen"/>
            </w:pPr>
            <w:r>
              <w:t>2.</w:t>
            </w:r>
            <w:r w:rsidRPr="00D371B6">
              <w:t>25</w:t>
            </w:r>
          </w:p>
        </w:tc>
      </w:tr>
      <w:tr w:rsidR="00C47639" w:rsidRPr="00FD2055" w14:paraId="09A5C324" w14:textId="77777777" w:rsidTr="00C47639">
        <w:trPr>
          <w:cantSplit/>
          <w:tblHeader/>
        </w:trPr>
        <w:tc>
          <w:tcPr>
            <w:tcW w:w="706" w:type="pct"/>
            <w:shd w:val="clear" w:color="auto" w:fill="auto"/>
            <w:vAlign w:val="center"/>
          </w:tcPr>
          <w:p w14:paraId="25D87BEF" w14:textId="77777777" w:rsidR="00C47639" w:rsidRPr="00FD2055" w:rsidRDefault="00C47639" w:rsidP="00C47639">
            <w:pPr>
              <w:pStyle w:val="Standaard-Tabellen"/>
            </w:pPr>
            <w:r w:rsidRPr="00FD2055">
              <w:t xml:space="preserve">Scenario </w:t>
            </w:r>
            <w:r>
              <w:t>6</w:t>
            </w:r>
          </w:p>
        </w:tc>
        <w:tc>
          <w:tcPr>
            <w:tcW w:w="995" w:type="pct"/>
            <w:vAlign w:val="center"/>
          </w:tcPr>
          <w:p w14:paraId="7D175550" w14:textId="77777777" w:rsidR="00C47639" w:rsidRDefault="00C47639" w:rsidP="00C47639">
            <w:pPr>
              <w:pStyle w:val="Standaard-Tabellen"/>
            </w:pPr>
            <w:r>
              <w:t>Tier 3/ Uncoated cotton coverall and gloves</w:t>
            </w:r>
          </w:p>
        </w:tc>
        <w:tc>
          <w:tcPr>
            <w:tcW w:w="879" w:type="pct"/>
            <w:shd w:val="clear" w:color="auto" w:fill="auto"/>
            <w:tcMar>
              <w:top w:w="57" w:type="dxa"/>
              <w:bottom w:w="57" w:type="dxa"/>
            </w:tcMar>
            <w:vAlign w:val="center"/>
          </w:tcPr>
          <w:p w14:paraId="0330E7EF" w14:textId="77777777" w:rsidR="00C47639" w:rsidRDefault="00C47639" w:rsidP="00C47639">
            <w:pPr>
              <w:pStyle w:val="Standaard-Tabellen"/>
            </w:pPr>
            <w:proofErr w:type="spellStart"/>
            <w:r>
              <w:t>n.r</w:t>
            </w:r>
            <w:proofErr w:type="spellEnd"/>
            <w:r>
              <w:t>.</w:t>
            </w:r>
          </w:p>
        </w:tc>
        <w:tc>
          <w:tcPr>
            <w:tcW w:w="833" w:type="pct"/>
            <w:shd w:val="clear" w:color="auto" w:fill="auto"/>
            <w:tcMar>
              <w:top w:w="57" w:type="dxa"/>
              <w:bottom w:w="57" w:type="dxa"/>
            </w:tcMar>
            <w:vAlign w:val="center"/>
          </w:tcPr>
          <w:p w14:paraId="063E77B2" w14:textId="77777777" w:rsidR="00C47639" w:rsidRDefault="00C47639" w:rsidP="00C47639">
            <w:pPr>
              <w:pStyle w:val="Standaard-Tabellen"/>
            </w:pPr>
            <w:r>
              <w:t>2.1</w:t>
            </w:r>
          </w:p>
        </w:tc>
        <w:tc>
          <w:tcPr>
            <w:tcW w:w="788" w:type="pct"/>
            <w:shd w:val="clear" w:color="auto" w:fill="auto"/>
            <w:tcMar>
              <w:top w:w="57" w:type="dxa"/>
              <w:bottom w:w="57" w:type="dxa"/>
            </w:tcMar>
            <w:vAlign w:val="center"/>
          </w:tcPr>
          <w:p w14:paraId="2582A02A" w14:textId="77777777" w:rsidR="00C47639" w:rsidRDefault="00C47639" w:rsidP="00C47639">
            <w:pPr>
              <w:pStyle w:val="Standaard-Tabellen"/>
            </w:pPr>
            <w:proofErr w:type="spellStart"/>
            <w:r>
              <w:t>n.r</w:t>
            </w:r>
            <w:proofErr w:type="spellEnd"/>
            <w:r>
              <w:t>.</w:t>
            </w:r>
          </w:p>
        </w:tc>
        <w:tc>
          <w:tcPr>
            <w:tcW w:w="799" w:type="pct"/>
            <w:shd w:val="clear" w:color="auto" w:fill="auto"/>
            <w:vAlign w:val="center"/>
          </w:tcPr>
          <w:p w14:paraId="1F473415" w14:textId="77777777" w:rsidR="00C47639" w:rsidRPr="00FA4E1D" w:rsidRDefault="00C47639" w:rsidP="00C47639">
            <w:pPr>
              <w:pStyle w:val="Standaard-Tabellen"/>
            </w:pPr>
            <w:r>
              <w:t>2.1</w:t>
            </w:r>
          </w:p>
        </w:tc>
      </w:tr>
    </w:tbl>
    <w:p w14:paraId="373BEC12" w14:textId="77777777" w:rsidR="00C47639" w:rsidRDefault="00C47639" w:rsidP="00C47639">
      <w:pPr>
        <w:rPr>
          <w:position w:val="4"/>
          <w:sz w:val="16"/>
          <w:szCs w:val="16"/>
          <w:lang w:val="fr-BE"/>
        </w:rPr>
      </w:pPr>
    </w:p>
    <w:p w14:paraId="10DC4246" w14:textId="77777777" w:rsidR="00C47639" w:rsidRPr="00FD2055" w:rsidRDefault="00C47639" w:rsidP="00C47639">
      <w:pPr>
        <w:pStyle w:val="Titre5"/>
      </w:pPr>
      <w:bookmarkStart w:id="207" w:name="_Toc389729086"/>
      <w:bookmarkStart w:id="208" w:name="_Toc403472773"/>
      <w:bookmarkStart w:id="209" w:name="_Toc532391105"/>
      <w:bookmarkStart w:id="210" w:name="_Toc8296519"/>
      <w:r w:rsidRPr="00FD2055">
        <w:t>Aggregated exposure</w:t>
      </w:r>
      <w:bookmarkEnd w:id="207"/>
      <w:bookmarkEnd w:id="208"/>
      <w:bookmarkEnd w:id="209"/>
      <w:bookmarkEnd w:id="210"/>
    </w:p>
    <w:p w14:paraId="6CE73D69" w14:textId="77777777" w:rsidR="00C47639" w:rsidRPr="00FD2055" w:rsidRDefault="00C47639" w:rsidP="00C47639">
      <w:r>
        <w:t>Not applicable.</w:t>
      </w:r>
    </w:p>
    <w:p w14:paraId="7E2BD802" w14:textId="77777777" w:rsidR="00C47639" w:rsidRDefault="00C47639" w:rsidP="00C47639">
      <w:bookmarkStart w:id="211" w:name="_Toc389729087"/>
      <w:bookmarkStart w:id="212" w:name="_Toc403472774"/>
    </w:p>
    <w:p w14:paraId="730AB019" w14:textId="77777777" w:rsidR="00C47639" w:rsidRDefault="00C47639" w:rsidP="00C47639">
      <w:pPr>
        <w:spacing w:before="0" w:after="160" w:line="259" w:lineRule="auto"/>
      </w:pPr>
      <w:r>
        <w:br w:type="page"/>
      </w:r>
    </w:p>
    <w:p w14:paraId="7C129428" w14:textId="77777777" w:rsidR="00C47639" w:rsidRPr="00FD2055" w:rsidRDefault="00C47639" w:rsidP="00C47639">
      <w:pPr>
        <w:pStyle w:val="Titre5"/>
      </w:pPr>
      <w:bookmarkStart w:id="213" w:name="_Toc532391106"/>
      <w:bookmarkStart w:id="214" w:name="_Toc8296520"/>
      <w:r w:rsidRPr="00FD2055">
        <w:lastRenderedPageBreak/>
        <w:t>Summary of exposure assessment</w:t>
      </w:r>
      <w:bookmarkEnd w:id="211"/>
      <w:bookmarkEnd w:id="212"/>
      <w:bookmarkEnd w:id="213"/>
      <w:bookmarkEnd w:id="21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5"/>
        <w:gridCol w:w="2971"/>
        <w:gridCol w:w="3416"/>
        <w:gridCol w:w="1674"/>
      </w:tblGrid>
      <w:tr w:rsidR="00C47639" w:rsidRPr="00F41048" w14:paraId="50D135B7" w14:textId="77777777" w:rsidTr="00C47639">
        <w:trPr>
          <w:tblHeader/>
        </w:trPr>
        <w:tc>
          <w:tcPr>
            <w:tcW w:w="5000" w:type="pct"/>
            <w:gridSpan w:val="4"/>
            <w:shd w:val="clear" w:color="auto" w:fill="FFFFCC"/>
          </w:tcPr>
          <w:p w14:paraId="6FCAC414" w14:textId="77777777" w:rsidR="00C47639" w:rsidRPr="00F41048" w:rsidRDefault="00C47639" w:rsidP="00C47639">
            <w:pPr>
              <w:pStyle w:val="Standaard-Tabellen"/>
              <w:jc w:val="center"/>
              <w:rPr>
                <w:b/>
              </w:rPr>
            </w:pPr>
            <w:r w:rsidRPr="00F41048">
              <w:rPr>
                <w:b/>
              </w:rPr>
              <w:lastRenderedPageBreak/>
              <w:t>Scenarios and values to be used in risk assessment</w:t>
            </w:r>
          </w:p>
        </w:tc>
      </w:tr>
      <w:tr w:rsidR="00C47639" w:rsidRPr="00F41048" w14:paraId="44E951F8" w14:textId="77777777" w:rsidTr="00C47639">
        <w:trPr>
          <w:tblHeader/>
        </w:trPr>
        <w:tc>
          <w:tcPr>
            <w:tcW w:w="710" w:type="pct"/>
            <w:tcBorders>
              <w:bottom w:val="single" w:sz="18" w:space="0" w:color="auto"/>
            </w:tcBorders>
            <w:shd w:val="clear" w:color="auto" w:fill="BFBFBF" w:themeFill="background1" w:themeFillShade="BF"/>
            <w:tcMar>
              <w:top w:w="57" w:type="dxa"/>
              <w:bottom w:w="57" w:type="dxa"/>
            </w:tcMar>
          </w:tcPr>
          <w:p w14:paraId="05069077" w14:textId="77777777" w:rsidR="00C47639" w:rsidRPr="00F41048" w:rsidRDefault="00C47639" w:rsidP="00C47639">
            <w:pPr>
              <w:pStyle w:val="Standaard-Tabellen"/>
              <w:rPr>
                <w:b/>
              </w:rPr>
            </w:pPr>
            <w:r w:rsidRPr="00F41048">
              <w:rPr>
                <w:b/>
              </w:rPr>
              <w:t>Scenario number</w:t>
            </w:r>
          </w:p>
        </w:tc>
        <w:tc>
          <w:tcPr>
            <w:tcW w:w="1581" w:type="pct"/>
            <w:tcBorders>
              <w:bottom w:val="single" w:sz="18" w:space="0" w:color="auto"/>
            </w:tcBorders>
            <w:shd w:val="clear" w:color="auto" w:fill="BFBFBF" w:themeFill="background1" w:themeFillShade="BF"/>
            <w:tcMar>
              <w:top w:w="57" w:type="dxa"/>
              <w:bottom w:w="57" w:type="dxa"/>
            </w:tcMar>
          </w:tcPr>
          <w:p w14:paraId="67E0D6AE" w14:textId="77777777" w:rsidR="00C47639" w:rsidRPr="00F41048" w:rsidRDefault="00C47639" w:rsidP="00C47639">
            <w:pPr>
              <w:pStyle w:val="Standaard-Tabellen"/>
              <w:rPr>
                <w:b/>
              </w:rPr>
            </w:pPr>
            <w:r w:rsidRPr="00F41048">
              <w:rPr>
                <w:b/>
              </w:rPr>
              <w:t>Exposed group</w:t>
            </w:r>
          </w:p>
          <w:p w14:paraId="3798CCEB" w14:textId="77777777" w:rsidR="00C47639" w:rsidRPr="00F41048" w:rsidRDefault="00C47639" w:rsidP="00C47639">
            <w:pPr>
              <w:pStyle w:val="Standaard-Tabellen"/>
              <w:rPr>
                <w:b/>
              </w:rPr>
            </w:pPr>
            <w:r w:rsidRPr="00F41048">
              <w:rPr>
                <w:b/>
              </w:rPr>
              <w:t>(e.g. professionals, non-professionals, bystanders)</w:t>
            </w:r>
          </w:p>
        </w:tc>
        <w:tc>
          <w:tcPr>
            <w:tcW w:w="1818" w:type="pct"/>
            <w:tcBorders>
              <w:bottom w:val="single" w:sz="18" w:space="0" w:color="auto"/>
            </w:tcBorders>
            <w:shd w:val="clear" w:color="auto" w:fill="BFBFBF" w:themeFill="background1" w:themeFillShade="BF"/>
            <w:tcMar>
              <w:top w:w="57" w:type="dxa"/>
              <w:bottom w:w="57" w:type="dxa"/>
            </w:tcMar>
          </w:tcPr>
          <w:p w14:paraId="7BFA28F0" w14:textId="77777777" w:rsidR="00C47639" w:rsidRPr="00F41048" w:rsidRDefault="00C47639" w:rsidP="00C47639">
            <w:pPr>
              <w:pStyle w:val="Standaard-Tabellen"/>
              <w:rPr>
                <w:b/>
              </w:rPr>
            </w:pPr>
            <w:r w:rsidRPr="00F41048">
              <w:rPr>
                <w:b/>
              </w:rPr>
              <w:t>Tier/PPE</w:t>
            </w:r>
          </w:p>
        </w:tc>
        <w:tc>
          <w:tcPr>
            <w:tcW w:w="891" w:type="pct"/>
            <w:tcBorders>
              <w:bottom w:val="single" w:sz="18" w:space="0" w:color="auto"/>
            </w:tcBorders>
            <w:shd w:val="clear" w:color="auto" w:fill="BFBFBF" w:themeFill="background1" w:themeFillShade="BF"/>
            <w:tcMar>
              <w:top w:w="57" w:type="dxa"/>
              <w:bottom w:w="57" w:type="dxa"/>
            </w:tcMar>
          </w:tcPr>
          <w:p w14:paraId="470169A9" w14:textId="77777777" w:rsidR="00C47639" w:rsidRDefault="00C47639" w:rsidP="00C47639">
            <w:pPr>
              <w:pStyle w:val="Standaard-Tabellen"/>
              <w:rPr>
                <w:b/>
              </w:rPr>
            </w:pPr>
            <w:r w:rsidRPr="00F41048">
              <w:rPr>
                <w:b/>
              </w:rPr>
              <w:t>Estimated total uptake</w:t>
            </w:r>
          </w:p>
          <w:p w14:paraId="1C3F5695" w14:textId="77777777" w:rsidR="00C47639" w:rsidRPr="00F41048" w:rsidRDefault="00C47639" w:rsidP="00C47639">
            <w:pPr>
              <w:pStyle w:val="Standaard-Tabellen"/>
              <w:rPr>
                <w:b/>
              </w:rPr>
            </w:pPr>
          </w:p>
        </w:tc>
      </w:tr>
      <w:tr w:rsidR="00C47639" w:rsidRPr="00FD2055" w14:paraId="4CB25910" w14:textId="77777777" w:rsidTr="00C47639">
        <w:trPr>
          <w:tblHeader/>
        </w:trPr>
        <w:tc>
          <w:tcPr>
            <w:tcW w:w="710" w:type="pct"/>
            <w:vMerge w:val="restart"/>
            <w:tcBorders>
              <w:top w:val="single" w:sz="18" w:space="0" w:color="auto"/>
            </w:tcBorders>
            <w:tcMar>
              <w:top w:w="57" w:type="dxa"/>
              <w:bottom w:w="57" w:type="dxa"/>
            </w:tcMar>
          </w:tcPr>
          <w:p w14:paraId="45FA67A4" w14:textId="77777777" w:rsidR="00C47639" w:rsidRPr="00FD2055" w:rsidRDefault="00C47639" w:rsidP="00C47639">
            <w:pPr>
              <w:pStyle w:val="Standaard-Tabellen"/>
            </w:pPr>
            <w:r w:rsidRPr="00FD2055">
              <w:rPr>
                <w:lang w:eastAsia="en-US"/>
              </w:rPr>
              <w:t>1.</w:t>
            </w:r>
          </w:p>
        </w:tc>
        <w:tc>
          <w:tcPr>
            <w:tcW w:w="1581" w:type="pct"/>
            <w:tcBorders>
              <w:top w:val="single" w:sz="18" w:space="0" w:color="auto"/>
            </w:tcBorders>
            <w:shd w:val="clear" w:color="auto" w:fill="auto"/>
            <w:tcMar>
              <w:top w:w="57" w:type="dxa"/>
              <w:bottom w:w="57" w:type="dxa"/>
            </w:tcMar>
          </w:tcPr>
          <w:p w14:paraId="3266E289" w14:textId="77777777" w:rsidR="00C47639" w:rsidRPr="00FD2055" w:rsidRDefault="00C47639" w:rsidP="00C47639">
            <w:pPr>
              <w:pStyle w:val="Standaard-Tabellen"/>
            </w:pPr>
            <w:r>
              <w:rPr>
                <w:lang w:eastAsia="en-US"/>
              </w:rPr>
              <w:t>Non-professionals, adult</w:t>
            </w:r>
          </w:p>
        </w:tc>
        <w:tc>
          <w:tcPr>
            <w:tcW w:w="1818" w:type="pct"/>
            <w:tcBorders>
              <w:top w:val="single" w:sz="18" w:space="0" w:color="auto"/>
            </w:tcBorders>
            <w:tcMar>
              <w:top w:w="57" w:type="dxa"/>
              <w:bottom w:w="57" w:type="dxa"/>
            </w:tcMar>
          </w:tcPr>
          <w:p w14:paraId="300D6116" w14:textId="77777777" w:rsidR="00C47639" w:rsidRPr="00FD2055" w:rsidRDefault="00C47639" w:rsidP="00C47639">
            <w:pPr>
              <w:pStyle w:val="Standaard-Tabellen"/>
            </w:pPr>
            <w:r>
              <w:rPr>
                <w:lang w:eastAsia="en-US"/>
              </w:rPr>
              <w:t>Tier 1, no PPE, dermal, 3 applications/day</w:t>
            </w:r>
          </w:p>
        </w:tc>
        <w:tc>
          <w:tcPr>
            <w:tcW w:w="891" w:type="pct"/>
            <w:tcBorders>
              <w:top w:val="single" w:sz="18" w:space="0" w:color="auto"/>
            </w:tcBorders>
            <w:shd w:val="clear" w:color="auto" w:fill="auto"/>
            <w:tcMar>
              <w:top w:w="57" w:type="dxa"/>
              <w:bottom w:w="57" w:type="dxa"/>
            </w:tcMar>
            <w:vAlign w:val="center"/>
          </w:tcPr>
          <w:p w14:paraId="0C524F21" w14:textId="77777777" w:rsidR="00C47639" w:rsidRPr="00973BCE" w:rsidRDefault="00C47639" w:rsidP="00C47639">
            <w:pPr>
              <w:pStyle w:val="Standaard-Tabellen"/>
            </w:pPr>
            <w:r w:rsidRPr="00B42FAC">
              <w:t xml:space="preserve">8.56 </w:t>
            </w:r>
            <w:r w:rsidRPr="00412894">
              <w:t xml:space="preserve">mg/kg </w:t>
            </w:r>
            <w:proofErr w:type="spellStart"/>
            <w:r w:rsidRPr="00412894">
              <w:t>bw</w:t>
            </w:r>
            <w:proofErr w:type="spellEnd"/>
            <w:r w:rsidRPr="00412894">
              <w:t>/day</w:t>
            </w:r>
          </w:p>
        </w:tc>
      </w:tr>
      <w:tr w:rsidR="00C47639" w:rsidRPr="00FD2055" w14:paraId="60CCA02F" w14:textId="77777777" w:rsidTr="00C47639">
        <w:trPr>
          <w:tblHeader/>
        </w:trPr>
        <w:tc>
          <w:tcPr>
            <w:tcW w:w="710" w:type="pct"/>
            <w:vMerge/>
            <w:tcMar>
              <w:top w:w="57" w:type="dxa"/>
              <w:bottom w:w="57" w:type="dxa"/>
            </w:tcMar>
          </w:tcPr>
          <w:p w14:paraId="710F9DDD" w14:textId="77777777" w:rsidR="00C47639" w:rsidRPr="00FD2055" w:rsidRDefault="00C47639" w:rsidP="00C47639">
            <w:pPr>
              <w:pStyle w:val="Standaard-Tabellen"/>
            </w:pPr>
          </w:p>
        </w:tc>
        <w:tc>
          <w:tcPr>
            <w:tcW w:w="1581" w:type="pct"/>
            <w:shd w:val="clear" w:color="auto" w:fill="auto"/>
            <w:tcMar>
              <w:top w:w="57" w:type="dxa"/>
              <w:bottom w:w="57" w:type="dxa"/>
            </w:tcMar>
          </w:tcPr>
          <w:p w14:paraId="7F282C6E" w14:textId="77777777" w:rsidR="00C47639" w:rsidRPr="00FD2055" w:rsidRDefault="00C47639" w:rsidP="00C47639">
            <w:pPr>
              <w:pStyle w:val="Standaard-Tabellen"/>
            </w:pPr>
            <w:r>
              <w:rPr>
                <w:lang w:eastAsia="en-US"/>
              </w:rPr>
              <w:t>Non-professionals, child (6-12)</w:t>
            </w:r>
          </w:p>
        </w:tc>
        <w:tc>
          <w:tcPr>
            <w:tcW w:w="1818" w:type="pct"/>
            <w:tcMar>
              <w:top w:w="57" w:type="dxa"/>
              <w:bottom w:w="57" w:type="dxa"/>
            </w:tcMar>
          </w:tcPr>
          <w:p w14:paraId="433D6F9F" w14:textId="77777777" w:rsidR="00C47639" w:rsidRPr="00FD2055" w:rsidRDefault="00C47639" w:rsidP="00C47639">
            <w:pPr>
              <w:pStyle w:val="Standaard-Tabellen"/>
            </w:pPr>
            <w:r>
              <w:rPr>
                <w:lang w:eastAsia="en-US"/>
              </w:rPr>
              <w:t>Tier 1, no PPE, dermal, 2 applications/day</w:t>
            </w:r>
          </w:p>
        </w:tc>
        <w:tc>
          <w:tcPr>
            <w:tcW w:w="891" w:type="pct"/>
            <w:shd w:val="clear" w:color="auto" w:fill="auto"/>
            <w:tcMar>
              <w:top w:w="57" w:type="dxa"/>
              <w:bottom w:w="57" w:type="dxa"/>
            </w:tcMar>
            <w:vAlign w:val="center"/>
          </w:tcPr>
          <w:p w14:paraId="26F003C0" w14:textId="77777777" w:rsidR="00C47639" w:rsidRPr="00412894" w:rsidRDefault="00C47639" w:rsidP="00C47639">
            <w:pPr>
              <w:pStyle w:val="Standaard-Tabellen"/>
            </w:pPr>
            <w:r w:rsidRPr="00B42FAC">
              <w:t xml:space="preserve">7.94 </w:t>
            </w:r>
            <w:r w:rsidRPr="00412894">
              <w:t xml:space="preserve">mg/kg </w:t>
            </w:r>
            <w:proofErr w:type="spellStart"/>
            <w:r w:rsidRPr="00412894">
              <w:t>bw</w:t>
            </w:r>
            <w:proofErr w:type="spellEnd"/>
            <w:r w:rsidRPr="00412894">
              <w:t>/day</w:t>
            </w:r>
          </w:p>
        </w:tc>
      </w:tr>
      <w:tr w:rsidR="00C47639" w:rsidRPr="00FD2055" w14:paraId="3329BDC6" w14:textId="77777777" w:rsidTr="00C47639">
        <w:trPr>
          <w:tblHeader/>
        </w:trPr>
        <w:tc>
          <w:tcPr>
            <w:tcW w:w="710" w:type="pct"/>
            <w:vMerge/>
            <w:tcMar>
              <w:top w:w="57" w:type="dxa"/>
              <w:bottom w:w="57" w:type="dxa"/>
            </w:tcMar>
          </w:tcPr>
          <w:p w14:paraId="252A1733" w14:textId="77777777" w:rsidR="00C47639" w:rsidRPr="00FD2055" w:rsidRDefault="00C47639" w:rsidP="00C47639">
            <w:pPr>
              <w:pStyle w:val="Standaard-Tabellen"/>
            </w:pPr>
          </w:p>
        </w:tc>
        <w:tc>
          <w:tcPr>
            <w:tcW w:w="1581" w:type="pct"/>
            <w:shd w:val="clear" w:color="auto" w:fill="auto"/>
            <w:tcMar>
              <w:top w:w="57" w:type="dxa"/>
              <w:bottom w:w="57" w:type="dxa"/>
            </w:tcMar>
          </w:tcPr>
          <w:p w14:paraId="5AC8B71F" w14:textId="77777777" w:rsidR="00C47639" w:rsidRDefault="00C47639" w:rsidP="00C47639">
            <w:pPr>
              <w:pStyle w:val="Standaard-Tabellen"/>
              <w:rPr>
                <w:lang w:eastAsia="en-US"/>
              </w:rPr>
            </w:pPr>
            <w:r>
              <w:rPr>
                <w:lang w:eastAsia="en-US"/>
              </w:rPr>
              <w:t>Non-professionals, child (2-6)</w:t>
            </w:r>
          </w:p>
        </w:tc>
        <w:tc>
          <w:tcPr>
            <w:tcW w:w="1818" w:type="pct"/>
            <w:tcMar>
              <w:top w:w="57" w:type="dxa"/>
              <w:bottom w:w="57" w:type="dxa"/>
            </w:tcMar>
          </w:tcPr>
          <w:p w14:paraId="612617EC" w14:textId="77777777" w:rsidR="00C47639" w:rsidRDefault="00C47639" w:rsidP="00C47639">
            <w:pPr>
              <w:pStyle w:val="Standaard-Tabellen"/>
              <w:rPr>
                <w:lang w:eastAsia="en-US"/>
              </w:rPr>
            </w:pPr>
            <w:r>
              <w:rPr>
                <w:lang w:eastAsia="en-US"/>
              </w:rPr>
              <w:t>Tier 1, no PPE, dermal, 2 applications/day</w:t>
            </w:r>
          </w:p>
        </w:tc>
        <w:tc>
          <w:tcPr>
            <w:tcW w:w="891" w:type="pct"/>
            <w:shd w:val="clear" w:color="auto" w:fill="auto"/>
            <w:tcMar>
              <w:top w:w="57" w:type="dxa"/>
              <w:bottom w:w="57" w:type="dxa"/>
            </w:tcMar>
            <w:vAlign w:val="center"/>
          </w:tcPr>
          <w:p w14:paraId="0D7095A6" w14:textId="77777777" w:rsidR="00C47639" w:rsidRPr="00412894" w:rsidRDefault="00C47639" w:rsidP="00C47639">
            <w:pPr>
              <w:pStyle w:val="Standaard-Tabellen"/>
              <w:rPr>
                <w:rFonts w:cs="Arial"/>
              </w:rPr>
            </w:pPr>
            <w:r w:rsidRPr="00B42FAC">
              <w:t xml:space="preserve">8.99 </w:t>
            </w:r>
            <w:r w:rsidRPr="00412894">
              <w:t xml:space="preserve">mg/kg </w:t>
            </w:r>
            <w:proofErr w:type="spellStart"/>
            <w:r w:rsidRPr="00412894">
              <w:t>bw</w:t>
            </w:r>
            <w:proofErr w:type="spellEnd"/>
            <w:r w:rsidRPr="00412894">
              <w:t>/day</w:t>
            </w:r>
          </w:p>
        </w:tc>
      </w:tr>
      <w:tr w:rsidR="00C47639" w:rsidRPr="00FD2055" w14:paraId="739A8EEE" w14:textId="77777777" w:rsidTr="00C47639">
        <w:trPr>
          <w:tblHeader/>
        </w:trPr>
        <w:tc>
          <w:tcPr>
            <w:tcW w:w="710" w:type="pct"/>
            <w:vMerge/>
            <w:tcMar>
              <w:top w:w="57" w:type="dxa"/>
              <w:bottom w:w="57" w:type="dxa"/>
            </w:tcMar>
          </w:tcPr>
          <w:p w14:paraId="63621ECF" w14:textId="77777777" w:rsidR="00C47639" w:rsidRPr="00FD2055" w:rsidRDefault="00C47639" w:rsidP="00C47639">
            <w:pPr>
              <w:pStyle w:val="Standaard-Tabellen"/>
            </w:pPr>
          </w:p>
        </w:tc>
        <w:tc>
          <w:tcPr>
            <w:tcW w:w="1581" w:type="pct"/>
            <w:shd w:val="clear" w:color="auto" w:fill="auto"/>
            <w:tcMar>
              <w:top w:w="57" w:type="dxa"/>
              <w:bottom w:w="57" w:type="dxa"/>
            </w:tcMar>
          </w:tcPr>
          <w:p w14:paraId="4644C8C9" w14:textId="77777777" w:rsidR="00C47639" w:rsidRPr="00FD2055" w:rsidRDefault="00C47639" w:rsidP="00C47639">
            <w:pPr>
              <w:pStyle w:val="Standaard-Tabellen"/>
            </w:pPr>
            <w:r>
              <w:rPr>
                <w:lang w:eastAsia="en-US"/>
              </w:rPr>
              <w:t>Non-professionals, toddler</w:t>
            </w:r>
          </w:p>
        </w:tc>
        <w:tc>
          <w:tcPr>
            <w:tcW w:w="1818" w:type="pct"/>
            <w:tcMar>
              <w:top w:w="57" w:type="dxa"/>
              <w:bottom w:w="57" w:type="dxa"/>
            </w:tcMar>
          </w:tcPr>
          <w:p w14:paraId="57D79BD6" w14:textId="77777777" w:rsidR="00C47639" w:rsidRPr="00FD2055" w:rsidRDefault="00C47639" w:rsidP="00C47639">
            <w:pPr>
              <w:pStyle w:val="Standaard-Tabellen"/>
            </w:pPr>
            <w:r>
              <w:rPr>
                <w:lang w:eastAsia="en-US"/>
              </w:rPr>
              <w:t>Tier 1, no PPE, dermal, 1 application/day</w:t>
            </w:r>
          </w:p>
        </w:tc>
        <w:tc>
          <w:tcPr>
            <w:tcW w:w="891" w:type="pct"/>
            <w:shd w:val="clear" w:color="auto" w:fill="auto"/>
            <w:tcMar>
              <w:top w:w="57" w:type="dxa"/>
              <w:bottom w:w="57" w:type="dxa"/>
            </w:tcMar>
            <w:vAlign w:val="center"/>
          </w:tcPr>
          <w:p w14:paraId="05825243" w14:textId="77777777" w:rsidR="00C47639" w:rsidRPr="00973BCE" w:rsidRDefault="00C47639" w:rsidP="00C47639">
            <w:pPr>
              <w:pStyle w:val="Standaard-Tabellen"/>
            </w:pPr>
            <w:r w:rsidRPr="00412894">
              <w:t xml:space="preserve">4.95 mg/kg </w:t>
            </w:r>
            <w:proofErr w:type="spellStart"/>
            <w:r w:rsidRPr="00412894">
              <w:t>bw</w:t>
            </w:r>
            <w:proofErr w:type="spellEnd"/>
            <w:r w:rsidRPr="00412894">
              <w:t>/day</w:t>
            </w:r>
          </w:p>
        </w:tc>
      </w:tr>
      <w:tr w:rsidR="00C47639" w:rsidRPr="00FD2055" w14:paraId="217651CF" w14:textId="77777777" w:rsidTr="00C47639">
        <w:trPr>
          <w:tblHeader/>
        </w:trPr>
        <w:tc>
          <w:tcPr>
            <w:tcW w:w="710" w:type="pct"/>
            <w:vMerge/>
            <w:tcMar>
              <w:top w:w="57" w:type="dxa"/>
              <w:bottom w:w="57" w:type="dxa"/>
            </w:tcMar>
          </w:tcPr>
          <w:p w14:paraId="0B6A4251" w14:textId="77777777" w:rsidR="00C47639" w:rsidRPr="00FD2055" w:rsidRDefault="00C47639" w:rsidP="00C47639">
            <w:pPr>
              <w:pStyle w:val="Standaard-Tabellen"/>
            </w:pPr>
          </w:p>
        </w:tc>
        <w:tc>
          <w:tcPr>
            <w:tcW w:w="1581" w:type="pct"/>
            <w:tcBorders>
              <w:bottom w:val="double" w:sz="4" w:space="0" w:color="auto"/>
            </w:tcBorders>
            <w:shd w:val="clear" w:color="auto" w:fill="auto"/>
            <w:tcMar>
              <w:top w:w="57" w:type="dxa"/>
              <w:bottom w:w="57" w:type="dxa"/>
            </w:tcMar>
          </w:tcPr>
          <w:p w14:paraId="067EC8AA" w14:textId="77777777" w:rsidR="00C47639" w:rsidRPr="00FD2055" w:rsidRDefault="00C47639" w:rsidP="00C47639">
            <w:pPr>
              <w:pStyle w:val="Standaard-Tabellen"/>
            </w:pPr>
            <w:r>
              <w:rPr>
                <w:lang w:eastAsia="en-US"/>
              </w:rPr>
              <w:t>Non-professionals, infant</w:t>
            </w:r>
          </w:p>
        </w:tc>
        <w:tc>
          <w:tcPr>
            <w:tcW w:w="1818" w:type="pct"/>
            <w:tcBorders>
              <w:bottom w:val="double" w:sz="4" w:space="0" w:color="auto"/>
            </w:tcBorders>
            <w:tcMar>
              <w:top w:w="57" w:type="dxa"/>
              <w:bottom w:w="57" w:type="dxa"/>
            </w:tcMar>
          </w:tcPr>
          <w:p w14:paraId="48E4CDD1" w14:textId="77777777" w:rsidR="00C47639" w:rsidRPr="00FD2055" w:rsidRDefault="00C47639" w:rsidP="00C47639">
            <w:pPr>
              <w:pStyle w:val="Standaard-Tabellen"/>
            </w:pPr>
            <w:r>
              <w:rPr>
                <w:lang w:eastAsia="en-US"/>
              </w:rPr>
              <w:t>Tier 1, no PPE, dermal, 1 application/day</w:t>
            </w:r>
          </w:p>
        </w:tc>
        <w:tc>
          <w:tcPr>
            <w:tcW w:w="891" w:type="pct"/>
            <w:tcBorders>
              <w:bottom w:val="double" w:sz="4" w:space="0" w:color="auto"/>
            </w:tcBorders>
            <w:shd w:val="clear" w:color="auto" w:fill="auto"/>
            <w:tcMar>
              <w:top w:w="57" w:type="dxa"/>
              <w:bottom w:w="57" w:type="dxa"/>
            </w:tcMar>
            <w:vAlign w:val="center"/>
          </w:tcPr>
          <w:p w14:paraId="0CB89D47" w14:textId="77777777" w:rsidR="00C47639" w:rsidRPr="00973BCE" w:rsidRDefault="00C47639" w:rsidP="00C47639">
            <w:pPr>
              <w:pStyle w:val="Standaard-Tabellen"/>
            </w:pPr>
            <w:r w:rsidRPr="00B42FAC">
              <w:t>5.29</w:t>
            </w:r>
            <w:r w:rsidRPr="00412894">
              <w:t xml:space="preserve"> mg/kg </w:t>
            </w:r>
            <w:proofErr w:type="spellStart"/>
            <w:r w:rsidRPr="00412894">
              <w:t>bw</w:t>
            </w:r>
            <w:proofErr w:type="spellEnd"/>
            <w:r w:rsidRPr="00412894">
              <w:t>/day</w:t>
            </w:r>
          </w:p>
        </w:tc>
      </w:tr>
      <w:tr w:rsidR="00C47639" w:rsidRPr="00FD2055" w14:paraId="25734FF1" w14:textId="77777777" w:rsidTr="00C47639">
        <w:trPr>
          <w:trHeight w:val="20"/>
          <w:tblHeader/>
        </w:trPr>
        <w:tc>
          <w:tcPr>
            <w:tcW w:w="710" w:type="pct"/>
            <w:vMerge/>
            <w:tcMar>
              <w:top w:w="57" w:type="dxa"/>
              <w:bottom w:w="57" w:type="dxa"/>
            </w:tcMar>
          </w:tcPr>
          <w:p w14:paraId="532D41B3" w14:textId="77777777" w:rsidR="00C47639" w:rsidRPr="00FD2055" w:rsidRDefault="00C47639" w:rsidP="00C47639">
            <w:pPr>
              <w:pStyle w:val="Standaard-Tabellen"/>
            </w:pPr>
          </w:p>
        </w:tc>
        <w:tc>
          <w:tcPr>
            <w:tcW w:w="1581" w:type="pct"/>
            <w:tcBorders>
              <w:top w:val="double" w:sz="4" w:space="0" w:color="auto"/>
            </w:tcBorders>
            <w:shd w:val="clear" w:color="auto" w:fill="auto"/>
            <w:tcMar>
              <w:top w:w="57" w:type="dxa"/>
              <w:bottom w:w="57" w:type="dxa"/>
            </w:tcMar>
          </w:tcPr>
          <w:p w14:paraId="0A3E3F28" w14:textId="77777777" w:rsidR="00C47639" w:rsidRDefault="00C47639" w:rsidP="00C47639">
            <w:pPr>
              <w:pStyle w:val="Standaard-Tabellen"/>
              <w:rPr>
                <w:lang w:eastAsia="en-US"/>
              </w:rPr>
            </w:pPr>
            <w:r>
              <w:rPr>
                <w:lang w:eastAsia="en-US"/>
              </w:rPr>
              <w:t>Non-professionals, adult</w:t>
            </w:r>
          </w:p>
        </w:tc>
        <w:tc>
          <w:tcPr>
            <w:tcW w:w="1818" w:type="pct"/>
            <w:tcBorders>
              <w:top w:val="double" w:sz="4" w:space="0" w:color="auto"/>
            </w:tcBorders>
            <w:tcMar>
              <w:top w:w="57" w:type="dxa"/>
              <w:bottom w:w="57" w:type="dxa"/>
            </w:tcMar>
          </w:tcPr>
          <w:p w14:paraId="11098DD1" w14:textId="77777777" w:rsidR="00C47639" w:rsidRDefault="00C47639" w:rsidP="00C47639">
            <w:pPr>
              <w:pStyle w:val="Standaard-Tabellen"/>
              <w:rPr>
                <w:lang w:eastAsia="en-US"/>
              </w:rPr>
            </w:pPr>
            <w:r w:rsidRPr="008A5992">
              <w:rPr>
                <w:lang w:eastAsia="en-US"/>
              </w:rPr>
              <w:t xml:space="preserve">Tier </w:t>
            </w:r>
            <w:r>
              <w:rPr>
                <w:lang w:eastAsia="en-US"/>
              </w:rPr>
              <w:t>2</w:t>
            </w:r>
            <w:r w:rsidRPr="008A5992">
              <w:rPr>
                <w:lang w:eastAsia="en-US"/>
              </w:rPr>
              <w:t>, no PPE, dermal, 2 applications/day</w:t>
            </w:r>
          </w:p>
        </w:tc>
        <w:tc>
          <w:tcPr>
            <w:tcW w:w="891" w:type="pct"/>
            <w:tcBorders>
              <w:top w:val="double" w:sz="4" w:space="0" w:color="auto"/>
            </w:tcBorders>
            <w:shd w:val="clear" w:color="auto" w:fill="auto"/>
            <w:tcMar>
              <w:top w:w="57" w:type="dxa"/>
              <w:bottom w:w="57" w:type="dxa"/>
            </w:tcMar>
            <w:vAlign w:val="center"/>
          </w:tcPr>
          <w:p w14:paraId="36924BD1" w14:textId="77777777" w:rsidR="00C47639" w:rsidRPr="00973BCE" w:rsidRDefault="00C47639" w:rsidP="00C47639">
            <w:pPr>
              <w:pStyle w:val="Standaard-Tabellen"/>
              <w:rPr>
                <w:rFonts w:cs="Arial"/>
              </w:rPr>
            </w:pPr>
            <w:r w:rsidRPr="00B42FAC">
              <w:t xml:space="preserve">5.71 </w:t>
            </w:r>
            <w:r w:rsidRPr="00412894">
              <w:t xml:space="preserve">mg/kg </w:t>
            </w:r>
            <w:proofErr w:type="spellStart"/>
            <w:r w:rsidRPr="00412894">
              <w:t>bw</w:t>
            </w:r>
            <w:proofErr w:type="spellEnd"/>
            <w:r w:rsidRPr="00412894">
              <w:t>/day</w:t>
            </w:r>
          </w:p>
        </w:tc>
      </w:tr>
      <w:tr w:rsidR="00C47639" w:rsidRPr="00FD2055" w14:paraId="61D42BF3" w14:textId="77777777" w:rsidTr="00C47639">
        <w:trPr>
          <w:tblHeader/>
        </w:trPr>
        <w:tc>
          <w:tcPr>
            <w:tcW w:w="710" w:type="pct"/>
            <w:vMerge/>
            <w:tcMar>
              <w:top w:w="57" w:type="dxa"/>
              <w:bottom w:w="57" w:type="dxa"/>
            </w:tcMar>
          </w:tcPr>
          <w:p w14:paraId="53CEA12C" w14:textId="77777777" w:rsidR="00C47639" w:rsidRPr="00FD2055" w:rsidRDefault="00C47639" w:rsidP="00C47639">
            <w:pPr>
              <w:pStyle w:val="Standaard-Tabellen"/>
            </w:pPr>
          </w:p>
        </w:tc>
        <w:tc>
          <w:tcPr>
            <w:tcW w:w="1581" w:type="pct"/>
            <w:shd w:val="clear" w:color="auto" w:fill="auto"/>
            <w:tcMar>
              <w:top w:w="57" w:type="dxa"/>
              <w:bottom w:w="57" w:type="dxa"/>
            </w:tcMar>
          </w:tcPr>
          <w:p w14:paraId="3909FFE8" w14:textId="77777777" w:rsidR="00C47639" w:rsidRDefault="00C47639" w:rsidP="00C47639">
            <w:pPr>
              <w:pStyle w:val="Standaard-Tabellen"/>
              <w:rPr>
                <w:lang w:eastAsia="en-US"/>
              </w:rPr>
            </w:pPr>
            <w:r>
              <w:rPr>
                <w:lang w:eastAsia="en-US"/>
              </w:rPr>
              <w:t>Non-professionals, child (6-12)</w:t>
            </w:r>
          </w:p>
        </w:tc>
        <w:tc>
          <w:tcPr>
            <w:tcW w:w="1818" w:type="pct"/>
            <w:tcMar>
              <w:top w:w="57" w:type="dxa"/>
              <w:bottom w:w="57" w:type="dxa"/>
            </w:tcMar>
          </w:tcPr>
          <w:p w14:paraId="4FAB48D6" w14:textId="77777777" w:rsidR="00C47639" w:rsidRDefault="00C47639" w:rsidP="00C47639">
            <w:pPr>
              <w:pStyle w:val="Standaard-Tabellen"/>
              <w:rPr>
                <w:lang w:eastAsia="en-US"/>
              </w:rPr>
            </w:pPr>
            <w:r>
              <w:rPr>
                <w:lang w:eastAsia="en-US"/>
              </w:rPr>
              <w:t>Tier 2, no PPE, dermal, 1 application/day</w:t>
            </w:r>
          </w:p>
        </w:tc>
        <w:tc>
          <w:tcPr>
            <w:tcW w:w="891" w:type="pct"/>
            <w:shd w:val="clear" w:color="auto" w:fill="auto"/>
            <w:tcMar>
              <w:top w:w="57" w:type="dxa"/>
              <w:bottom w:w="57" w:type="dxa"/>
            </w:tcMar>
            <w:vAlign w:val="center"/>
          </w:tcPr>
          <w:p w14:paraId="7916269C" w14:textId="77777777" w:rsidR="00C47639" w:rsidRPr="00711E73" w:rsidRDefault="00C47639" w:rsidP="00C47639">
            <w:pPr>
              <w:pStyle w:val="Standaard-Tabellen"/>
              <w:rPr>
                <w:rFonts w:cs="Arial"/>
              </w:rPr>
            </w:pPr>
            <w:r w:rsidRPr="00787510">
              <w:t xml:space="preserve">3.97 mg/kg </w:t>
            </w:r>
            <w:proofErr w:type="spellStart"/>
            <w:r w:rsidRPr="00787510">
              <w:t>bw</w:t>
            </w:r>
            <w:proofErr w:type="spellEnd"/>
            <w:r w:rsidRPr="00787510">
              <w:t>/day</w:t>
            </w:r>
          </w:p>
        </w:tc>
      </w:tr>
      <w:tr w:rsidR="00C47639" w:rsidRPr="00FD2055" w14:paraId="75E3A907" w14:textId="77777777" w:rsidTr="00C47639">
        <w:trPr>
          <w:tblHeader/>
        </w:trPr>
        <w:tc>
          <w:tcPr>
            <w:tcW w:w="710" w:type="pct"/>
            <w:vMerge/>
            <w:tcBorders>
              <w:bottom w:val="single" w:sz="8" w:space="0" w:color="auto"/>
            </w:tcBorders>
            <w:tcMar>
              <w:top w:w="57" w:type="dxa"/>
              <w:bottom w:w="57" w:type="dxa"/>
            </w:tcMar>
          </w:tcPr>
          <w:p w14:paraId="23A6FE18" w14:textId="77777777" w:rsidR="00C47639" w:rsidRPr="00FD2055" w:rsidRDefault="00C47639" w:rsidP="00C47639">
            <w:pPr>
              <w:pStyle w:val="Standaard-Tabellen"/>
            </w:pPr>
          </w:p>
        </w:tc>
        <w:tc>
          <w:tcPr>
            <w:tcW w:w="1581" w:type="pct"/>
            <w:tcBorders>
              <w:bottom w:val="double" w:sz="4" w:space="0" w:color="auto"/>
            </w:tcBorders>
            <w:shd w:val="clear" w:color="auto" w:fill="auto"/>
            <w:tcMar>
              <w:top w:w="57" w:type="dxa"/>
              <w:bottom w:w="57" w:type="dxa"/>
            </w:tcMar>
          </w:tcPr>
          <w:p w14:paraId="586E9903" w14:textId="77777777" w:rsidR="00C47639" w:rsidRDefault="00C47639" w:rsidP="00C47639">
            <w:pPr>
              <w:pStyle w:val="Standaard-Tabellen"/>
              <w:rPr>
                <w:lang w:eastAsia="en-US"/>
              </w:rPr>
            </w:pPr>
            <w:r>
              <w:rPr>
                <w:lang w:eastAsia="en-US"/>
              </w:rPr>
              <w:t>Non-professionals, child (2-6)</w:t>
            </w:r>
          </w:p>
        </w:tc>
        <w:tc>
          <w:tcPr>
            <w:tcW w:w="1818" w:type="pct"/>
            <w:tcBorders>
              <w:bottom w:val="double" w:sz="4" w:space="0" w:color="auto"/>
            </w:tcBorders>
            <w:tcMar>
              <w:top w:w="57" w:type="dxa"/>
              <w:bottom w:w="57" w:type="dxa"/>
            </w:tcMar>
          </w:tcPr>
          <w:p w14:paraId="25F0EE12" w14:textId="77777777" w:rsidR="00C47639" w:rsidRDefault="00C47639" w:rsidP="00C47639">
            <w:pPr>
              <w:pStyle w:val="Standaard-Tabellen"/>
              <w:rPr>
                <w:lang w:eastAsia="en-US"/>
              </w:rPr>
            </w:pPr>
            <w:r>
              <w:rPr>
                <w:lang w:eastAsia="en-US"/>
              </w:rPr>
              <w:t>Tier 2, no PPE, dermal, 1 application/day</w:t>
            </w:r>
          </w:p>
        </w:tc>
        <w:tc>
          <w:tcPr>
            <w:tcW w:w="891" w:type="pct"/>
            <w:tcBorders>
              <w:bottom w:val="double" w:sz="4" w:space="0" w:color="auto"/>
            </w:tcBorders>
            <w:shd w:val="clear" w:color="auto" w:fill="auto"/>
            <w:tcMar>
              <w:top w:w="57" w:type="dxa"/>
              <w:bottom w:w="57" w:type="dxa"/>
            </w:tcMar>
            <w:vAlign w:val="center"/>
          </w:tcPr>
          <w:p w14:paraId="26E9E42F" w14:textId="77777777" w:rsidR="00C47639" w:rsidRPr="00711E73" w:rsidRDefault="00C47639" w:rsidP="00C47639">
            <w:pPr>
              <w:pStyle w:val="Standaard-Tabellen"/>
              <w:rPr>
                <w:rFonts w:cs="Arial"/>
              </w:rPr>
            </w:pPr>
            <w:r w:rsidRPr="00787510">
              <w:t xml:space="preserve">4.50 mg/kg </w:t>
            </w:r>
            <w:proofErr w:type="spellStart"/>
            <w:r w:rsidRPr="00787510">
              <w:t>bw</w:t>
            </w:r>
            <w:proofErr w:type="spellEnd"/>
            <w:r w:rsidRPr="00787510">
              <w:t>/day</w:t>
            </w:r>
          </w:p>
        </w:tc>
      </w:tr>
      <w:tr w:rsidR="00C47639" w:rsidRPr="00FD2055" w14:paraId="67EF35E0" w14:textId="77777777" w:rsidTr="00C47639">
        <w:trPr>
          <w:tblHeader/>
        </w:trPr>
        <w:tc>
          <w:tcPr>
            <w:tcW w:w="710" w:type="pct"/>
            <w:vMerge/>
            <w:tcBorders>
              <w:top w:val="single" w:sz="8" w:space="0" w:color="auto"/>
              <w:bottom w:val="single" w:sz="18" w:space="0" w:color="auto"/>
            </w:tcBorders>
            <w:tcMar>
              <w:top w:w="57" w:type="dxa"/>
              <w:bottom w:w="57" w:type="dxa"/>
            </w:tcMar>
          </w:tcPr>
          <w:p w14:paraId="39D85619" w14:textId="77777777" w:rsidR="00C47639" w:rsidRPr="00FD2055" w:rsidRDefault="00C47639" w:rsidP="00C47639">
            <w:pPr>
              <w:pStyle w:val="Standaard-Tabellen"/>
            </w:pPr>
          </w:p>
        </w:tc>
        <w:tc>
          <w:tcPr>
            <w:tcW w:w="1581" w:type="pct"/>
            <w:tcBorders>
              <w:top w:val="double" w:sz="4" w:space="0" w:color="auto"/>
              <w:bottom w:val="single" w:sz="18" w:space="0" w:color="auto"/>
            </w:tcBorders>
            <w:shd w:val="clear" w:color="auto" w:fill="auto"/>
            <w:tcMar>
              <w:top w:w="57" w:type="dxa"/>
              <w:bottom w:w="57" w:type="dxa"/>
            </w:tcMar>
          </w:tcPr>
          <w:p w14:paraId="3B6BCDEE" w14:textId="77777777" w:rsidR="00C47639" w:rsidRDefault="00C47639" w:rsidP="00C47639">
            <w:pPr>
              <w:pStyle w:val="Standaard-Tabellen"/>
              <w:rPr>
                <w:lang w:eastAsia="en-US"/>
              </w:rPr>
            </w:pPr>
            <w:r>
              <w:rPr>
                <w:lang w:eastAsia="en-US"/>
              </w:rPr>
              <w:t>Non-professionals, adult</w:t>
            </w:r>
          </w:p>
        </w:tc>
        <w:tc>
          <w:tcPr>
            <w:tcW w:w="1818" w:type="pct"/>
            <w:tcBorders>
              <w:top w:val="double" w:sz="4" w:space="0" w:color="auto"/>
              <w:bottom w:val="single" w:sz="18" w:space="0" w:color="auto"/>
            </w:tcBorders>
            <w:tcMar>
              <w:top w:w="57" w:type="dxa"/>
              <w:bottom w:w="57" w:type="dxa"/>
            </w:tcMar>
          </w:tcPr>
          <w:p w14:paraId="31C7FCED" w14:textId="77777777" w:rsidR="00C47639" w:rsidRDefault="00C47639" w:rsidP="00C47639">
            <w:pPr>
              <w:pStyle w:val="Standaard-Tabellen"/>
              <w:rPr>
                <w:lang w:eastAsia="en-US"/>
              </w:rPr>
            </w:pPr>
            <w:r w:rsidRPr="008A5992">
              <w:rPr>
                <w:lang w:eastAsia="en-US"/>
              </w:rPr>
              <w:t xml:space="preserve">Tier </w:t>
            </w:r>
            <w:r>
              <w:rPr>
                <w:lang w:eastAsia="en-US"/>
              </w:rPr>
              <w:t>3</w:t>
            </w:r>
            <w:r w:rsidRPr="008A5992">
              <w:rPr>
                <w:lang w:eastAsia="en-US"/>
              </w:rPr>
              <w:t>, no PPE, dermal, 1 application/day</w:t>
            </w:r>
          </w:p>
        </w:tc>
        <w:tc>
          <w:tcPr>
            <w:tcW w:w="891" w:type="pct"/>
            <w:tcBorders>
              <w:top w:val="double" w:sz="4" w:space="0" w:color="auto"/>
              <w:bottom w:val="single" w:sz="18" w:space="0" w:color="auto"/>
            </w:tcBorders>
            <w:shd w:val="clear" w:color="auto" w:fill="auto"/>
            <w:tcMar>
              <w:top w:w="57" w:type="dxa"/>
              <w:bottom w:w="57" w:type="dxa"/>
            </w:tcMar>
            <w:vAlign w:val="center"/>
          </w:tcPr>
          <w:p w14:paraId="603EE54A" w14:textId="77777777" w:rsidR="00C47639" w:rsidRPr="00711E73" w:rsidRDefault="00C47639" w:rsidP="00C47639">
            <w:pPr>
              <w:pStyle w:val="Standaard-Tabellen"/>
              <w:rPr>
                <w:rFonts w:cs="Arial"/>
              </w:rPr>
            </w:pPr>
            <w:r w:rsidRPr="00787510">
              <w:t xml:space="preserve">2.85 mg/kg </w:t>
            </w:r>
            <w:proofErr w:type="spellStart"/>
            <w:r w:rsidRPr="00787510">
              <w:t>bw</w:t>
            </w:r>
            <w:proofErr w:type="spellEnd"/>
            <w:r w:rsidRPr="00787510">
              <w:t>/day</w:t>
            </w:r>
          </w:p>
        </w:tc>
      </w:tr>
      <w:tr w:rsidR="00C47639" w:rsidRPr="00FD2055" w14:paraId="2AB4571C" w14:textId="77777777" w:rsidTr="00C47639">
        <w:trPr>
          <w:tblHeader/>
        </w:trPr>
        <w:tc>
          <w:tcPr>
            <w:tcW w:w="710" w:type="pct"/>
            <w:vMerge w:val="restart"/>
            <w:tcBorders>
              <w:top w:val="single" w:sz="18" w:space="0" w:color="auto"/>
            </w:tcBorders>
            <w:tcMar>
              <w:top w:w="57" w:type="dxa"/>
              <w:bottom w:w="57" w:type="dxa"/>
            </w:tcMar>
          </w:tcPr>
          <w:p w14:paraId="5EF2C517" w14:textId="77777777" w:rsidR="00C47639" w:rsidRPr="00FD2055" w:rsidRDefault="00C47639" w:rsidP="00C47639">
            <w:pPr>
              <w:pStyle w:val="Standaard-Tabellen"/>
            </w:pPr>
            <w:r w:rsidRPr="00FD2055">
              <w:rPr>
                <w:lang w:eastAsia="en-US"/>
              </w:rPr>
              <w:t>2.</w:t>
            </w:r>
          </w:p>
        </w:tc>
        <w:tc>
          <w:tcPr>
            <w:tcW w:w="1581" w:type="pct"/>
            <w:tcBorders>
              <w:top w:val="single" w:sz="18" w:space="0" w:color="auto"/>
            </w:tcBorders>
            <w:shd w:val="clear" w:color="auto" w:fill="auto"/>
            <w:tcMar>
              <w:top w:w="57" w:type="dxa"/>
              <w:bottom w:w="57" w:type="dxa"/>
            </w:tcMar>
          </w:tcPr>
          <w:p w14:paraId="227FE0B8" w14:textId="77777777" w:rsidR="00C47639" w:rsidRPr="00FD2055" w:rsidRDefault="00C47639" w:rsidP="00C47639">
            <w:pPr>
              <w:pStyle w:val="Standaard-Tabellen"/>
            </w:pPr>
            <w:r>
              <w:rPr>
                <w:lang w:eastAsia="en-US"/>
              </w:rPr>
              <w:t>Non-professionals, adult</w:t>
            </w:r>
          </w:p>
        </w:tc>
        <w:tc>
          <w:tcPr>
            <w:tcW w:w="1818" w:type="pct"/>
            <w:tcBorders>
              <w:top w:val="single" w:sz="18" w:space="0" w:color="auto"/>
            </w:tcBorders>
            <w:tcMar>
              <w:top w:w="57" w:type="dxa"/>
              <w:bottom w:w="57" w:type="dxa"/>
            </w:tcMar>
          </w:tcPr>
          <w:p w14:paraId="1EDCB2C3" w14:textId="77777777" w:rsidR="00C47639" w:rsidRPr="00FD2055" w:rsidRDefault="00C47639" w:rsidP="00C47639">
            <w:pPr>
              <w:pStyle w:val="Standaard-Tabellen"/>
              <w:rPr>
                <w:lang w:eastAsia="en-US"/>
              </w:rPr>
            </w:pPr>
            <w:r>
              <w:rPr>
                <w:lang w:eastAsia="en-US"/>
              </w:rPr>
              <w:t>Tier 1, no PPE, inhalation, 3 applications/day</w:t>
            </w:r>
          </w:p>
        </w:tc>
        <w:tc>
          <w:tcPr>
            <w:tcW w:w="891" w:type="pct"/>
            <w:shd w:val="clear" w:color="auto" w:fill="auto"/>
            <w:tcMar>
              <w:top w:w="57" w:type="dxa"/>
              <w:bottom w:w="57" w:type="dxa"/>
            </w:tcMar>
            <w:vAlign w:val="center"/>
          </w:tcPr>
          <w:p w14:paraId="13C293FF" w14:textId="77777777" w:rsidR="00C47639" w:rsidRPr="00FD2055" w:rsidRDefault="00C47639" w:rsidP="00C47639">
            <w:pPr>
              <w:pStyle w:val="Standaard-Tabellen"/>
            </w:pPr>
            <w:r w:rsidRPr="00787510">
              <w:rPr>
                <w:rFonts w:cs="Arial"/>
              </w:rPr>
              <w:t>0.00</w:t>
            </w:r>
            <w:r>
              <w:rPr>
                <w:rFonts w:cs="Arial"/>
              </w:rPr>
              <w:t>875</w:t>
            </w:r>
            <w:r w:rsidRPr="00787510">
              <w:rPr>
                <w:rFonts w:cs="Arial"/>
              </w:rPr>
              <w:t xml:space="preserve"> mg/kg </w:t>
            </w:r>
            <w:proofErr w:type="spellStart"/>
            <w:r w:rsidRPr="00787510">
              <w:rPr>
                <w:rFonts w:cs="Arial"/>
              </w:rPr>
              <w:t>bw</w:t>
            </w:r>
            <w:proofErr w:type="spellEnd"/>
          </w:p>
        </w:tc>
      </w:tr>
      <w:tr w:rsidR="00C47639" w:rsidRPr="00FD2055" w14:paraId="7087415D" w14:textId="77777777" w:rsidTr="00C47639">
        <w:trPr>
          <w:tblHeader/>
        </w:trPr>
        <w:tc>
          <w:tcPr>
            <w:tcW w:w="710" w:type="pct"/>
            <w:vMerge/>
            <w:tcMar>
              <w:top w:w="57" w:type="dxa"/>
              <w:bottom w:w="57" w:type="dxa"/>
            </w:tcMar>
          </w:tcPr>
          <w:p w14:paraId="637E8CDC" w14:textId="77777777" w:rsidR="00C47639" w:rsidRPr="00FD2055" w:rsidRDefault="00C47639" w:rsidP="00C47639">
            <w:pPr>
              <w:pStyle w:val="Standaard-Tabellen"/>
            </w:pPr>
          </w:p>
        </w:tc>
        <w:tc>
          <w:tcPr>
            <w:tcW w:w="1581" w:type="pct"/>
            <w:shd w:val="clear" w:color="auto" w:fill="auto"/>
            <w:tcMar>
              <w:top w:w="57" w:type="dxa"/>
              <w:bottom w:w="57" w:type="dxa"/>
            </w:tcMar>
          </w:tcPr>
          <w:p w14:paraId="08EEBCE6" w14:textId="77777777" w:rsidR="00C47639" w:rsidRPr="00FD2055" w:rsidRDefault="00C47639" w:rsidP="00C47639">
            <w:pPr>
              <w:pStyle w:val="Standaard-Tabellen"/>
            </w:pPr>
            <w:r>
              <w:rPr>
                <w:lang w:eastAsia="en-US"/>
              </w:rPr>
              <w:t>Non-professionals, child (6-12)</w:t>
            </w:r>
          </w:p>
        </w:tc>
        <w:tc>
          <w:tcPr>
            <w:tcW w:w="1818" w:type="pct"/>
            <w:tcMar>
              <w:top w:w="57" w:type="dxa"/>
              <w:bottom w:w="57" w:type="dxa"/>
            </w:tcMar>
          </w:tcPr>
          <w:p w14:paraId="49D18963" w14:textId="77777777" w:rsidR="00C47639" w:rsidRPr="00FD2055" w:rsidRDefault="00C47639" w:rsidP="00C47639">
            <w:pPr>
              <w:pStyle w:val="Standaard-Tabellen"/>
            </w:pPr>
            <w:r>
              <w:rPr>
                <w:lang w:eastAsia="en-US"/>
              </w:rPr>
              <w:t>Tier 1, no PPE, inhalation, 2 applications/day</w:t>
            </w:r>
          </w:p>
        </w:tc>
        <w:tc>
          <w:tcPr>
            <w:tcW w:w="891" w:type="pct"/>
            <w:shd w:val="clear" w:color="auto" w:fill="auto"/>
            <w:tcMar>
              <w:top w:w="57" w:type="dxa"/>
              <w:bottom w:w="57" w:type="dxa"/>
            </w:tcMar>
            <w:vAlign w:val="center"/>
          </w:tcPr>
          <w:p w14:paraId="06907FE6" w14:textId="77777777" w:rsidR="00C47639" w:rsidRPr="00FD2055" w:rsidRDefault="00C47639" w:rsidP="00C47639">
            <w:pPr>
              <w:pStyle w:val="Standaard-Tabellen"/>
            </w:pPr>
            <w:r w:rsidRPr="00787510">
              <w:rPr>
                <w:rFonts w:cs="Arial"/>
              </w:rPr>
              <w:t>0.</w:t>
            </w:r>
            <w:r>
              <w:rPr>
                <w:rFonts w:cs="Arial"/>
              </w:rPr>
              <w:t>015646</w:t>
            </w:r>
            <w:r w:rsidRPr="00787510">
              <w:rPr>
                <w:rFonts w:cs="Arial"/>
              </w:rPr>
              <w:t xml:space="preserve"> mg/kg </w:t>
            </w:r>
            <w:proofErr w:type="spellStart"/>
            <w:r w:rsidRPr="00787510">
              <w:rPr>
                <w:rFonts w:cs="Arial"/>
              </w:rPr>
              <w:t>bw</w:t>
            </w:r>
            <w:proofErr w:type="spellEnd"/>
          </w:p>
        </w:tc>
      </w:tr>
      <w:tr w:rsidR="00C47639" w:rsidRPr="00FD2055" w14:paraId="3127376D" w14:textId="77777777" w:rsidTr="00C47639">
        <w:trPr>
          <w:tblHeader/>
        </w:trPr>
        <w:tc>
          <w:tcPr>
            <w:tcW w:w="710" w:type="pct"/>
            <w:vMerge/>
            <w:tcMar>
              <w:top w:w="57" w:type="dxa"/>
              <w:bottom w:w="57" w:type="dxa"/>
            </w:tcMar>
          </w:tcPr>
          <w:p w14:paraId="0FE39070" w14:textId="77777777" w:rsidR="00C47639" w:rsidRPr="00FD2055" w:rsidRDefault="00C47639" w:rsidP="00C47639">
            <w:pPr>
              <w:pStyle w:val="Standaard-Tabellen"/>
            </w:pPr>
          </w:p>
        </w:tc>
        <w:tc>
          <w:tcPr>
            <w:tcW w:w="1581" w:type="pct"/>
            <w:shd w:val="clear" w:color="auto" w:fill="auto"/>
            <w:tcMar>
              <w:top w:w="57" w:type="dxa"/>
              <w:bottom w:w="57" w:type="dxa"/>
            </w:tcMar>
          </w:tcPr>
          <w:p w14:paraId="2828D1B6" w14:textId="77777777" w:rsidR="00C47639" w:rsidRDefault="00C47639" w:rsidP="00C47639">
            <w:pPr>
              <w:pStyle w:val="Standaard-Tabellen"/>
              <w:rPr>
                <w:lang w:eastAsia="en-US"/>
              </w:rPr>
            </w:pPr>
            <w:r>
              <w:rPr>
                <w:lang w:eastAsia="en-US"/>
              </w:rPr>
              <w:t>Non-professionals, child (2-6)</w:t>
            </w:r>
          </w:p>
        </w:tc>
        <w:tc>
          <w:tcPr>
            <w:tcW w:w="1818" w:type="pct"/>
            <w:tcMar>
              <w:top w:w="57" w:type="dxa"/>
              <w:bottom w:w="57" w:type="dxa"/>
            </w:tcMar>
          </w:tcPr>
          <w:p w14:paraId="4101EF5C" w14:textId="77777777" w:rsidR="00C47639" w:rsidRDefault="00C47639" w:rsidP="00C47639">
            <w:pPr>
              <w:pStyle w:val="Standaard-Tabellen"/>
              <w:rPr>
                <w:lang w:eastAsia="en-US"/>
              </w:rPr>
            </w:pPr>
            <w:r>
              <w:rPr>
                <w:lang w:eastAsia="en-US"/>
              </w:rPr>
              <w:t>Tier 1, no PPE, inhalation, 2 applications/day</w:t>
            </w:r>
          </w:p>
        </w:tc>
        <w:tc>
          <w:tcPr>
            <w:tcW w:w="891" w:type="pct"/>
            <w:shd w:val="clear" w:color="auto" w:fill="auto"/>
            <w:tcMar>
              <w:top w:w="57" w:type="dxa"/>
              <w:bottom w:w="57" w:type="dxa"/>
            </w:tcMar>
            <w:vAlign w:val="center"/>
          </w:tcPr>
          <w:p w14:paraId="024877C3" w14:textId="77777777" w:rsidR="00C47639" w:rsidRPr="007D641A" w:rsidRDefault="00C47639" w:rsidP="00C47639">
            <w:pPr>
              <w:pStyle w:val="Standaard-Tabellen"/>
              <w:rPr>
                <w:rFonts w:cs="Arial"/>
              </w:rPr>
            </w:pPr>
            <w:r>
              <w:rPr>
                <w:rFonts w:cs="Arial"/>
              </w:rPr>
              <w:t>0.022615</w:t>
            </w:r>
            <w:r w:rsidRPr="00787510">
              <w:rPr>
                <w:rFonts w:cs="Arial"/>
              </w:rPr>
              <w:t xml:space="preserve"> mg/kg </w:t>
            </w:r>
            <w:proofErr w:type="spellStart"/>
            <w:r w:rsidRPr="00787510">
              <w:rPr>
                <w:rFonts w:cs="Arial"/>
              </w:rPr>
              <w:t>bw</w:t>
            </w:r>
            <w:proofErr w:type="spellEnd"/>
            <w:r w:rsidRPr="00787510" w:rsidDel="00372132">
              <w:rPr>
                <w:rFonts w:cs="Arial"/>
              </w:rPr>
              <w:t xml:space="preserve"> </w:t>
            </w:r>
          </w:p>
        </w:tc>
      </w:tr>
      <w:tr w:rsidR="00C47639" w:rsidRPr="00FD2055" w14:paraId="2BEF3621" w14:textId="77777777" w:rsidTr="00C47639">
        <w:trPr>
          <w:tblHeader/>
        </w:trPr>
        <w:tc>
          <w:tcPr>
            <w:tcW w:w="710" w:type="pct"/>
            <w:vMerge/>
            <w:tcMar>
              <w:top w:w="57" w:type="dxa"/>
              <w:bottom w:w="57" w:type="dxa"/>
            </w:tcMar>
          </w:tcPr>
          <w:p w14:paraId="4886244B" w14:textId="77777777" w:rsidR="00C47639" w:rsidRPr="00FD2055" w:rsidRDefault="00C47639" w:rsidP="00C47639">
            <w:pPr>
              <w:pStyle w:val="Standaard-Tabellen"/>
            </w:pPr>
          </w:p>
        </w:tc>
        <w:tc>
          <w:tcPr>
            <w:tcW w:w="1581" w:type="pct"/>
            <w:shd w:val="clear" w:color="auto" w:fill="auto"/>
            <w:tcMar>
              <w:top w:w="57" w:type="dxa"/>
              <w:bottom w:w="57" w:type="dxa"/>
            </w:tcMar>
          </w:tcPr>
          <w:p w14:paraId="5D2B3DF7" w14:textId="77777777" w:rsidR="00C47639" w:rsidRDefault="00C47639" w:rsidP="00C47639">
            <w:pPr>
              <w:pStyle w:val="Standaard-Tabellen"/>
              <w:rPr>
                <w:lang w:eastAsia="en-US"/>
              </w:rPr>
            </w:pPr>
            <w:r>
              <w:rPr>
                <w:lang w:eastAsia="en-US"/>
              </w:rPr>
              <w:t>Non-professionals, toddler</w:t>
            </w:r>
          </w:p>
        </w:tc>
        <w:tc>
          <w:tcPr>
            <w:tcW w:w="1818" w:type="pct"/>
            <w:tcMar>
              <w:top w:w="57" w:type="dxa"/>
              <w:bottom w:w="57" w:type="dxa"/>
            </w:tcMar>
          </w:tcPr>
          <w:p w14:paraId="5EF51C13" w14:textId="77777777" w:rsidR="00C47639" w:rsidRDefault="00C47639" w:rsidP="00C47639">
            <w:pPr>
              <w:pStyle w:val="Standaard-Tabellen"/>
              <w:rPr>
                <w:lang w:eastAsia="en-US"/>
              </w:rPr>
            </w:pPr>
            <w:r>
              <w:rPr>
                <w:lang w:eastAsia="en-US"/>
              </w:rPr>
              <w:t>Tier 1, no PPE, inhalation, 1 application/day</w:t>
            </w:r>
          </w:p>
        </w:tc>
        <w:tc>
          <w:tcPr>
            <w:tcW w:w="891" w:type="pct"/>
            <w:shd w:val="clear" w:color="auto" w:fill="auto"/>
            <w:tcMar>
              <w:top w:w="57" w:type="dxa"/>
              <w:bottom w:w="57" w:type="dxa"/>
            </w:tcMar>
            <w:vAlign w:val="center"/>
          </w:tcPr>
          <w:p w14:paraId="7C42DB97" w14:textId="77777777" w:rsidR="00C47639" w:rsidRPr="007D641A" w:rsidRDefault="00C47639" w:rsidP="00C47639">
            <w:pPr>
              <w:pStyle w:val="Standaard-Tabellen"/>
              <w:rPr>
                <w:rFonts w:cs="Arial"/>
              </w:rPr>
            </w:pPr>
            <w:r w:rsidRPr="00787510">
              <w:rPr>
                <w:rFonts w:cs="Arial"/>
              </w:rPr>
              <w:t>0.</w:t>
            </w:r>
            <w:r>
              <w:rPr>
                <w:rFonts w:cs="Arial"/>
              </w:rPr>
              <w:t>01764</w:t>
            </w:r>
            <w:r w:rsidRPr="00787510">
              <w:rPr>
                <w:rFonts w:cs="Arial"/>
              </w:rPr>
              <w:t xml:space="preserve"> mg/kg </w:t>
            </w:r>
            <w:proofErr w:type="spellStart"/>
            <w:r w:rsidRPr="00787510">
              <w:rPr>
                <w:rFonts w:cs="Arial"/>
              </w:rPr>
              <w:t>bw</w:t>
            </w:r>
            <w:proofErr w:type="spellEnd"/>
          </w:p>
        </w:tc>
      </w:tr>
      <w:tr w:rsidR="00C47639" w:rsidRPr="00FD2055" w14:paraId="12A68243" w14:textId="77777777" w:rsidTr="00C47639">
        <w:trPr>
          <w:tblHeader/>
        </w:trPr>
        <w:tc>
          <w:tcPr>
            <w:tcW w:w="710" w:type="pct"/>
            <w:vMerge/>
            <w:tcMar>
              <w:top w:w="57" w:type="dxa"/>
              <w:bottom w:w="57" w:type="dxa"/>
            </w:tcMar>
          </w:tcPr>
          <w:p w14:paraId="12FC56A6" w14:textId="77777777" w:rsidR="00C47639" w:rsidRPr="00FD2055" w:rsidRDefault="00C47639" w:rsidP="00C47639">
            <w:pPr>
              <w:pStyle w:val="Standaard-Tabellen"/>
            </w:pPr>
          </w:p>
        </w:tc>
        <w:tc>
          <w:tcPr>
            <w:tcW w:w="1581" w:type="pct"/>
            <w:tcBorders>
              <w:bottom w:val="double" w:sz="4" w:space="0" w:color="auto"/>
            </w:tcBorders>
            <w:shd w:val="clear" w:color="auto" w:fill="auto"/>
            <w:tcMar>
              <w:top w:w="57" w:type="dxa"/>
              <w:bottom w:w="57" w:type="dxa"/>
            </w:tcMar>
          </w:tcPr>
          <w:p w14:paraId="7594DCCB" w14:textId="77777777" w:rsidR="00C47639" w:rsidRDefault="00C47639" w:rsidP="00C47639">
            <w:pPr>
              <w:pStyle w:val="Standaard-Tabellen"/>
              <w:rPr>
                <w:lang w:eastAsia="en-US"/>
              </w:rPr>
            </w:pPr>
            <w:r>
              <w:rPr>
                <w:lang w:eastAsia="en-US"/>
              </w:rPr>
              <w:t>Non-professionals, infant</w:t>
            </w:r>
          </w:p>
        </w:tc>
        <w:tc>
          <w:tcPr>
            <w:tcW w:w="1818" w:type="pct"/>
            <w:tcBorders>
              <w:bottom w:val="double" w:sz="4" w:space="0" w:color="auto"/>
            </w:tcBorders>
            <w:tcMar>
              <w:top w:w="57" w:type="dxa"/>
              <w:bottom w:w="57" w:type="dxa"/>
            </w:tcMar>
          </w:tcPr>
          <w:p w14:paraId="6AE74451" w14:textId="77777777" w:rsidR="00C47639" w:rsidRDefault="00C47639" w:rsidP="00C47639">
            <w:pPr>
              <w:pStyle w:val="Standaard-Tabellen"/>
              <w:rPr>
                <w:lang w:eastAsia="en-US"/>
              </w:rPr>
            </w:pPr>
            <w:r>
              <w:rPr>
                <w:lang w:eastAsia="en-US"/>
              </w:rPr>
              <w:t>Tier 1, no PPE, inhalation, 1 application/day</w:t>
            </w:r>
          </w:p>
        </w:tc>
        <w:tc>
          <w:tcPr>
            <w:tcW w:w="891" w:type="pct"/>
            <w:tcBorders>
              <w:bottom w:val="double" w:sz="4" w:space="0" w:color="auto"/>
            </w:tcBorders>
            <w:shd w:val="clear" w:color="auto" w:fill="auto"/>
            <w:tcMar>
              <w:top w:w="57" w:type="dxa"/>
              <w:bottom w:w="57" w:type="dxa"/>
            </w:tcMar>
            <w:vAlign w:val="center"/>
          </w:tcPr>
          <w:p w14:paraId="4534B8E8" w14:textId="77777777" w:rsidR="00C47639" w:rsidRPr="007D641A" w:rsidRDefault="00C47639" w:rsidP="00C47639">
            <w:pPr>
              <w:pStyle w:val="Standaard-Tabellen"/>
              <w:rPr>
                <w:rFonts w:cs="Arial"/>
              </w:rPr>
            </w:pPr>
            <w:r w:rsidRPr="00787510">
              <w:rPr>
                <w:rFonts w:cs="Arial"/>
              </w:rPr>
              <w:t>0.</w:t>
            </w:r>
            <w:r>
              <w:rPr>
                <w:rFonts w:cs="Arial"/>
              </w:rPr>
              <w:t>0147</w:t>
            </w:r>
            <w:r w:rsidRPr="00787510">
              <w:rPr>
                <w:rFonts w:cs="Arial"/>
              </w:rPr>
              <w:t xml:space="preserve"> mg/kg </w:t>
            </w:r>
            <w:proofErr w:type="spellStart"/>
            <w:r w:rsidRPr="00787510">
              <w:rPr>
                <w:rFonts w:cs="Arial"/>
              </w:rPr>
              <w:t>bw</w:t>
            </w:r>
            <w:proofErr w:type="spellEnd"/>
          </w:p>
        </w:tc>
      </w:tr>
      <w:tr w:rsidR="00C47639" w:rsidRPr="00FD2055" w14:paraId="58FE6A8C" w14:textId="77777777" w:rsidTr="00C47639">
        <w:trPr>
          <w:tblHeader/>
        </w:trPr>
        <w:tc>
          <w:tcPr>
            <w:tcW w:w="710" w:type="pct"/>
            <w:vMerge/>
            <w:tcMar>
              <w:top w:w="57" w:type="dxa"/>
              <w:bottom w:w="57" w:type="dxa"/>
            </w:tcMar>
          </w:tcPr>
          <w:p w14:paraId="18DFFFFC" w14:textId="77777777" w:rsidR="00C47639" w:rsidRPr="00FD2055" w:rsidRDefault="00C47639" w:rsidP="00C47639">
            <w:pPr>
              <w:pStyle w:val="Standaard-Tabellen"/>
            </w:pPr>
          </w:p>
        </w:tc>
        <w:tc>
          <w:tcPr>
            <w:tcW w:w="1581" w:type="pct"/>
            <w:tcBorders>
              <w:top w:val="double" w:sz="4" w:space="0" w:color="auto"/>
            </w:tcBorders>
            <w:shd w:val="clear" w:color="auto" w:fill="auto"/>
            <w:tcMar>
              <w:top w:w="57" w:type="dxa"/>
              <w:bottom w:w="57" w:type="dxa"/>
            </w:tcMar>
          </w:tcPr>
          <w:p w14:paraId="646C3080" w14:textId="77777777" w:rsidR="00C47639" w:rsidRDefault="00C47639" w:rsidP="00C47639">
            <w:pPr>
              <w:pStyle w:val="Standaard-Tabellen"/>
              <w:rPr>
                <w:lang w:eastAsia="en-US"/>
              </w:rPr>
            </w:pPr>
            <w:r>
              <w:rPr>
                <w:lang w:eastAsia="en-US"/>
              </w:rPr>
              <w:t>Non-professionals, adult</w:t>
            </w:r>
          </w:p>
        </w:tc>
        <w:tc>
          <w:tcPr>
            <w:tcW w:w="1818" w:type="pct"/>
            <w:tcBorders>
              <w:top w:val="double" w:sz="4" w:space="0" w:color="auto"/>
            </w:tcBorders>
            <w:tcMar>
              <w:top w:w="57" w:type="dxa"/>
              <w:bottom w:w="57" w:type="dxa"/>
            </w:tcMar>
          </w:tcPr>
          <w:p w14:paraId="258D830E" w14:textId="77777777" w:rsidR="00C47639" w:rsidRDefault="00C47639" w:rsidP="00C47639">
            <w:pPr>
              <w:pStyle w:val="Standaard-Tabellen"/>
              <w:rPr>
                <w:lang w:eastAsia="en-US"/>
              </w:rPr>
            </w:pPr>
            <w:r w:rsidRPr="008A5992">
              <w:rPr>
                <w:lang w:eastAsia="en-US"/>
              </w:rPr>
              <w:t xml:space="preserve">Tier </w:t>
            </w:r>
            <w:r>
              <w:rPr>
                <w:lang w:eastAsia="en-US"/>
              </w:rPr>
              <w:t>2</w:t>
            </w:r>
            <w:r w:rsidRPr="008A5992">
              <w:rPr>
                <w:lang w:eastAsia="en-US"/>
              </w:rPr>
              <w:t xml:space="preserve">, no PPE, </w:t>
            </w:r>
            <w:r>
              <w:rPr>
                <w:lang w:eastAsia="en-US"/>
              </w:rPr>
              <w:t>inhalation</w:t>
            </w:r>
            <w:r w:rsidRPr="008A5992">
              <w:rPr>
                <w:lang w:eastAsia="en-US"/>
              </w:rPr>
              <w:t>, 2 applications/day</w:t>
            </w:r>
          </w:p>
        </w:tc>
        <w:tc>
          <w:tcPr>
            <w:tcW w:w="891" w:type="pct"/>
            <w:tcBorders>
              <w:top w:val="double" w:sz="4" w:space="0" w:color="auto"/>
            </w:tcBorders>
            <w:shd w:val="clear" w:color="auto" w:fill="auto"/>
            <w:tcMar>
              <w:top w:w="57" w:type="dxa"/>
              <w:bottom w:w="57" w:type="dxa"/>
            </w:tcMar>
            <w:vAlign w:val="center"/>
          </w:tcPr>
          <w:p w14:paraId="40E980C9" w14:textId="77777777" w:rsidR="00C47639" w:rsidRPr="007D641A" w:rsidRDefault="00C47639" w:rsidP="00C47639">
            <w:pPr>
              <w:pStyle w:val="Standaard-Tabellen"/>
              <w:rPr>
                <w:rFonts w:cs="Arial"/>
              </w:rPr>
            </w:pPr>
            <w:r w:rsidRPr="00787510">
              <w:rPr>
                <w:rFonts w:cs="Arial"/>
              </w:rPr>
              <w:t>0.0</w:t>
            </w:r>
            <w:r>
              <w:rPr>
                <w:rFonts w:cs="Arial"/>
              </w:rPr>
              <w:t>05833</w:t>
            </w:r>
            <w:r w:rsidRPr="00787510">
              <w:rPr>
                <w:rFonts w:cs="Arial"/>
              </w:rPr>
              <w:t xml:space="preserve"> mg/kg </w:t>
            </w:r>
            <w:proofErr w:type="spellStart"/>
            <w:r w:rsidRPr="00787510">
              <w:rPr>
                <w:rFonts w:cs="Arial"/>
              </w:rPr>
              <w:t>bw</w:t>
            </w:r>
            <w:proofErr w:type="spellEnd"/>
          </w:p>
        </w:tc>
      </w:tr>
      <w:tr w:rsidR="00C47639" w:rsidRPr="00FD2055" w14:paraId="1EEF7D8C" w14:textId="77777777" w:rsidTr="00C47639">
        <w:trPr>
          <w:tblHeader/>
        </w:trPr>
        <w:tc>
          <w:tcPr>
            <w:tcW w:w="710" w:type="pct"/>
            <w:vMerge/>
            <w:tcMar>
              <w:top w:w="57" w:type="dxa"/>
              <w:bottom w:w="57" w:type="dxa"/>
            </w:tcMar>
          </w:tcPr>
          <w:p w14:paraId="334A5A4C" w14:textId="77777777" w:rsidR="00C47639" w:rsidRPr="00FD2055" w:rsidRDefault="00C47639" w:rsidP="00C47639">
            <w:pPr>
              <w:pStyle w:val="Standaard-Tabellen"/>
            </w:pPr>
          </w:p>
        </w:tc>
        <w:tc>
          <w:tcPr>
            <w:tcW w:w="1581" w:type="pct"/>
            <w:shd w:val="clear" w:color="auto" w:fill="auto"/>
            <w:tcMar>
              <w:top w:w="57" w:type="dxa"/>
              <w:bottom w:w="57" w:type="dxa"/>
            </w:tcMar>
          </w:tcPr>
          <w:p w14:paraId="4676DC7E" w14:textId="77777777" w:rsidR="00C47639" w:rsidRDefault="00C47639" w:rsidP="00C47639">
            <w:pPr>
              <w:pStyle w:val="Standaard-Tabellen"/>
              <w:rPr>
                <w:lang w:eastAsia="en-US"/>
              </w:rPr>
            </w:pPr>
            <w:r>
              <w:rPr>
                <w:lang w:eastAsia="en-US"/>
              </w:rPr>
              <w:t>Non-professionals, child (6-12)</w:t>
            </w:r>
          </w:p>
        </w:tc>
        <w:tc>
          <w:tcPr>
            <w:tcW w:w="1818" w:type="pct"/>
            <w:tcMar>
              <w:top w:w="57" w:type="dxa"/>
              <w:bottom w:w="57" w:type="dxa"/>
            </w:tcMar>
          </w:tcPr>
          <w:p w14:paraId="58F5A12B" w14:textId="77777777" w:rsidR="00C47639" w:rsidRDefault="00C47639" w:rsidP="00C47639">
            <w:pPr>
              <w:pStyle w:val="Standaard-Tabellen"/>
              <w:rPr>
                <w:lang w:eastAsia="en-US"/>
              </w:rPr>
            </w:pPr>
            <w:r>
              <w:rPr>
                <w:lang w:eastAsia="en-US"/>
              </w:rPr>
              <w:t>Tier 2, no PPE, inhalation, 1 application/day</w:t>
            </w:r>
          </w:p>
        </w:tc>
        <w:tc>
          <w:tcPr>
            <w:tcW w:w="891" w:type="pct"/>
            <w:shd w:val="clear" w:color="auto" w:fill="auto"/>
            <w:tcMar>
              <w:top w:w="57" w:type="dxa"/>
              <w:bottom w:w="57" w:type="dxa"/>
            </w:tcMar>
            <w:vAlign w:val="center"/>
          </w:tcPr>
          <w:p w14:paraId="6234CED4" w14:textId="77777777" w:rsidR="00C47639" w:rsidRPr="007D641A" w:rsidRDefault="00C47639" w:rsidP="00C47639">
            <w:pPr>
              <w:pStyle w:val="Standaard-Tabellen"/>
              <w:rPr>
                <w:rFonts w:cs="Arial"/>
              </w:rPr>
            </w:pPr>
            <w:r w:rsidRPr="00787510">
              <w:rPr>
                <w:rFonts w:cs="Arial"/>
              </w:rPr>
              <w:t>0.</w:t>
            </w:r>
            <w:r>
              <w:rPr>
                <w:rFonts w:cs="Arial"/>
              </w:rPr>
              <w:t>007732</w:t>
            </w:r>
            <w:r w:rsidRPr="00787510">
              <w:rPr>
                <w:rFonts w:cs="Arial"/>
              </w:rPr>
              <w:t xml:space="preserve"> mg/kg </w:t>
            </w:r>
            <w:proofErr w:type="spellStart"/>
            <w:r w:rsidRPr="00787510">
              <w:rPr>
                <w:rFonts w:cs="Arial"/>
              </w:rPr>
              <w:t>bw</w:t>
            </w:r>
            <w:proofErr w:type="spellEnd"/>
            <w:r w:rsidRPr="00787510" w:rsidDel="00372132">
              <w:rPr>
                <w:rFonts w:cs="Arial"/>
              </w:rPr>
              <w:t xml:space="preserve"> </w:t>
            </w:r>
          </w:p>
        </w:tc>
      </w:tr>
      <w:tr w:rsidR="00C47639" w:rsidRPr="00FD2055" w14:paraId="310C48E6" w14:textId="77777777" w:rsidTr="00C47639">
        <w:trPr>
          <w:tblHeader/>
        </w:trPr>
        <w:tc>
          <w:tcPr>
            <w:tcW w:w="710" w:type="pct"/>
            <w:vMerge/>
            <w:tcMar>
              <w:top w:w="57" w:type="dxa"/>
              <w:bottom w:w="57" w:type="dxa"/>
            </w:tcMar>
          </w:tcPr>
          <w:p w14:paraId="64B0383A" w14:textId="77777777" w:rsidR="00C47639" w:rsidRPr="00FD2055" w:rsidRDefault="00C47639" w:rsidP="00C47639">
            <w:pPr>
              <w:pStyle w:val="Standaard-Tabellen"/>
            </w:pPr>
          </w:p>
        </w:tc>
        <w:tc>
          <w:tcPr>
            <w:tcW w:w="1581" w:type="pct"/>
            <w:tcBorders>
              <w:bottom w:val="double" w:sz="4" w:space="0" w:color="auto"/>
            </w:tcBorders>
            <w:shd w:val="clear" w:color="auto" w:fill="auto"/>
            <w:tcMar>
              <w:top w:w="57" w:type="dxa"/>
              <w:bottom w:w="57" w:type="dxa"/>
            </w:tcMar>
          </w:tcPr>
          <w:p w14:paraId="5769F724" w14:textId="77777777" w:rsidR="00C47639" w:rsidRPr="00FD2055" w:rsidRDefault="00C47639" w:rsidP="00C47639">
            <w:pPr>
              <w:pStyle w:val="Standaard-Tabellen"/>
            </w:pPr>
            <w:r>
              <w:rPr>
                <w:lang w:eastAsia="en-US"/>
              </w:rPr>
              <w:t>Non-professionals, child (2-6)</w:t>
            </w:r>
          </w:p>
        </w:tc>
        <w:tc>
          <w:tcPr>
            <w:tcW w:w="1818" w:type="pct"/>
            <w:tcBorders>
              <w:bottom w:val="double" w:sz="4" w:space="0" w:color="auto"/>
            </w:tcBorders>
            <w:tcMar>
              <w:top w:w="57" w:type="dxa"/>
              <w:bottom w:w="57" w:type="dxa"/>
            </w:tcMar>
          </w:tcPr>
          <w:p w14:paraId="173AF367" w14:textId="77777777" w:rsidR="00C47639" w:rsidRPr="00FD2055" w:rsidRDefault="00C47639" w:rsidP="00C47639">
            <w:pPr>
              <w:pStyle w:val="Standaard-Tabellen"/>
            </w:pPr>
            <w:r>
              <w:rPr>
                <w:lang w:eastAsia="en-US"/>
              </w:rPr>
              <w:t>Tier 2, no PPE, inhalation, 1 application/day</w:t>
            </w:r>
          </w:p>
        </w:tc>
        <w:tc>
          <w:tcPr>
            <w:tcW w:w="891" w:type="pct"/>
            <w:tcBorders>
              <w:bottom w:val="double" w:sz="4" w:space="0" w:color="auto"/>
            </w:tcBorders>
            <w:shd w:val="clear" w:color="auto" w:fill="auto"/>
            <w:tcMar>
              <w:top w:w="57" w:type="dxa"/>
              <w:bottom w:w="57" w:type="dxa"/>
            </w:tcMar>
            <w:vAlign w:val="center"/>
          </w:tcPr>
          <w:p w14:paraId="4B98694B" w14:textId="77777777" w:rsidR="00C47639" w:rsidRPr="00FD2055" w:rsidRDefault="00C47639" w:rsidP="00C47639">
            <w:pPr>
              <w:pStyle w:val="Standaard-Tabellen"/>
            </w:pPr>
            <w:r w:rsidRPr="00787510">
              <w:rPr>
                <w:rFonts w:cs="Arial"/>
              </w:rPr>
              <w:t>0.</w:t>
            </w:r>
            <w:r>
              <w:rPr>
                <w:rFonts w:cs="Arial"/>
              </w:rPr>
              <w:t>011308</w:t>
            </w:r>
            <w:r w:rsidRPr="00787510">
              <w:rPr>
                <w:rFonts w:cs="Arial"/>
              </w:rPr>
              <w:t xml:space="preserve"> mg/kg </w:t>
            </w:r>
            <w:proofErr w:type="spellStart"/>
            <w:r w:rsidRPr="00787510">
              <w:rPr>
                <w:rFonts w:cs="Arial"/>
              </w:rPr>
              <w:t>bw</w:t>
            </w:r>
            <w:proofErr w:type="spellEnd"/>
          </w:p>
        </w:tc>
      </w:tr>
      <w:tr w:rsidR="00C47639" w:rsidRPr="00FD2055" w14:paraId="0B126E60" w14:textId="77777777" w:rsidTr="00C47639">
        <w:trPr>
          <w:tblHeader/>
        </w:trPr>
        <w:tc>
          <w:tcPr>
            <w:tcW w:w="710" w:type="pct"/>
            <w:vMerge/>
            <w:tcBorders>
              <w:bottom w:val="single" w:sz="18" w:space="0" w:color="auto"/>
            </w:tcBorders>
            <w:tcMar>
              <w:top w:w="57" w:type="dxa"/>
              <w:bottom w:w="57" w:type="dxa"/>
            </w:tcMar>
          </w:tcPr>
          <w:p w14:paraId="3F55738D" w14:textId="77777777" w:rsidR="00C47639" w:rsidRPr="00FD2055" w:rsidRDefault="00C47639" w:rsidP="00C47639">
            <w:pPr>
              <w:pStyle w:val="Standaard-Tabellen"/>
            </w:pPr>
          </w:p>
        </w:tc>
        <w:tc>
          <w:tcPr>
            <w:tcW w:w="1581" w:type="pct"/>
            <w:tcBorders>
              <w:top w:val="double" w:sz="4" w:space="0" w:color="auto"/>
              <w:bottom w:val="single" w:sz="18" w:space="0" w:color="auto"/>
            </w:tcBorders>
            <w:shd w:val="clear" w:color="auto" w:fill="auto"/>
            <w:tcMar>
              <w:top w:w="57" w:type="dxa"/>
              <w:bottom w:w="57" w:type="dxa"/>
            </w:tcMar>
          </w:tcPr>
          <w:p w14:paraId="4C3EB373" w14:textId="77777777" w:rsidR="00C47639" w:rsidRPr="00FD2055" w:rsidRDefault="00C47639" w:rsidP="00C47639">
            <w:pPr>
              <w:pStyle w:val="Standaard-Tabellen"/>
            </w:pPr>
            <w:r>
              <w:rPr>
                <w:lang w:eastAsia="en-US"/>
              </w:rPr>
              <w:t>Non-professionals, adult</w:t>
            </w:r>
          </w:p>
        </w:tc>
        <w:tc>
          <w:tcPr>
            <w:tcW w:w="1818" w:type="pct"/>
            <w:tcBorders>
              <w:top w:val="double" w:sz="4" w:space="0" w:color="auto"/>
              <w:bottom w:val="single" w:sz="18" w:space="0" w:color="auto"/>
            </w:tcBorders>
            <w:tcMar>
              <w:top w:w="57" w:type="dxa"/>
              <w:bottom w:w="57" w:type="dxa"/>
            </w:tcMar>
          </w:tcPr>
          <w:p w14:paraId="1C772AB5" w14:textId="77777777" w:rsidR="00C47639" w:rsidRPr="00FD2055" w:rsidRDefault="00C47639" w:rsidP="00C47639">
            <w:pPr>
              <w:pStyle w:val="Standaard-Tabellen"/>
            </w:pPr>
            <w:r w:rsidRPr="008A5992">
              <w:rPr>
                <w:lang w:eastAsia="en-US"/>
              </w:rPr>
              <w:t xml:space="preserve">Tier </w:t>
            </w:r>
            <w:r>
              <w:rPr>
                <w:lang w:eastAsia="en-US"/>
              </w:rPr>
              <w:t>3</w:t>
            </w:r>
            <w:r w:rsidRPr="008A5992">
              <w:rPr>
                <w:lang w:eastAsia="en-US"/>
              </w:rPr>
              <w:t xml:space="preserve">, no PPE, </w:t>
            </w:r>
            <w:r>
              <w:rPr>
                <w:lang w:eastAsia="en-US"/>
              </w:rPr>
              <w:t>inhalation</w:t>
            </w:r>
            <w:r w:rsidRPr="008A5992">
              <w:rPr>
                <w:lang w:eastAsia="en-US"/>
              </w:rPr>
              <w:t>, 1 application/day</w:t>
            </w:r>
          </w:p>
        </w:tc>
        <w:tc>
          <w:tcPr>
            <w:tcW w:w="891" w:type="pct"/>
            <w:tcBorders>
              <w:top w:val="double" w:sz="4" w:space="0" w:color="auto"/>
              <w:bottom w:val="single" w:sz="18" w:space="0" w:color="auto"/>
            </w:tcBorders>
            <w:shd w:val="clear" w:color="auto" w:fill="auto"/>
            <w:tcMar>
              <w:top w:w="57" w:type="dxa"/>
              <w:bottom w:w="57" w:type="dxa"/>
            </w:tcMar>
            <w:vAlign w:val="center"/>
          </w:tcPr>
          <w:p w14:paraId="22AE12C2" w14:textId="77777777" w:rsidR="00C47639" w:rsidRPr="00FD2055" w:rsidRDefault="00C47639" w:rsidP="00C47639">
            <w:pPr>
              <w:pStyle w:val="Standaard-Tabellen"/>
            </w:pPr>
            <w:r w:rsidRPr="00787510">
              <w:rPr>
                <w:rFonts w:cs="Arial"/>
              </w:rPr>
              <w:t>0.0</w:t>
            </w:r>
            <w:r>
              <w:rPr>
                <w:rFonts w:cs="Arial"/>
              </w:rPr>
              <w:t>02917</w:t>
            </w:r>
            <w:r w:rsidRPr="00787510">
              <w:rPr>
                <w:rFonts w:cs="Arial"/>
              </w:rPr>
              <w:t xml:space="preserve"> mg/kg </w:t>
            </w:r>
            <w:proofErr w:type="spellStart"/>
            <w:r w:rsidRPr="00787510">
              <w:rPr>
                <w:rFonts w:cs="Arial"/>
              </w:rPr>
              <w:t>bw</w:t>
            </w:r>
            <w:proofErr w:type="spellEnd"/>
          </w:p>
        </w:tc>
      </w:tr>
      <w:tr w:rsidR="00C47639" w:rsidRPr="00FD2055" w14:paraId="2E0D45FD" w14:textId="77777777" w:rsidTr="00C47639">
        <w:trPr>
          <w:tblHeader/>
        </w:trPr>
        <w:tc>
          <w:tcPr>
            <w:tcW w:w="710" w:type="pct"/>
            <w:vMerge w:val="restart"/>
            <w:tcBorders>
              <w:top w:val="single" w:sz="18" w:space="0" w:color="auto"/>
            </w:tcBorders>
            <w:tcMar>
              <w:top w:w="57" w:type="dxa"/>
              <w:bottom w:w="57" w:type="dxa"/>
            </w:tcMar>
          </w:tcPr>
          <w:p w14:paraId="5D2120CE" w14:textId="77777777" w:rsidR="00C47639" w:rsidRPr="00FD2055" w:rsidRDefault="00C47639" w:rsidP="00C47639">
            <w:pPr>
              <w:pStyle w:val="Standaard-Tabellen"/>
            </w:pPr>
            <w:r>
              <w:rPr>
                <w:lang w:eastAsia="en-US"/>
              </w:rPr>
              <w:t>3.</w:t>
            </w:r>
          </w:p>
        </w:tc>
        <w:tc>
          <w:tcPr>
            <w:tcW w:w="1581" w:type="pct"/>
            <w:tcBorders>
              <w:top w:val="single" w:sz="18" w:space="0" w:color="auto"/>
            </w:tcBorders>
            <w:shd w:val="clear" w:color="auto" w:fill="auto"/>
            <w:tcMar>
              <w:top w:w="57" w:type="dxa"/>
              <w:bottom w:w="57" w:type="dxa"/>
            </w:tcMar>
          </w:tcPr>
          <w:p w14:paraId="5AF4670F" w14:textId="77777777" w:rsidR="00C47639" w:rsidRPr="00FD2055" w:rsidRDefault="00C47639" w:rsidP="00C47639">
            <w:pPr>
              <w:pStyle w:val="Standaard-Tabellen"/>
            </w:pPr>
            <w:r>
              <w:rPr>
                <w:lang w:eastAsia="en-US"/>
              </w:rPr>
              <w:t>Non-professionals, adult</w:t>
            </w:r>
          </w:p>
        </w:tc>
        <w:tc>
          <w:tcPr>
            <w:tcW w:w="1818" w:type="pct"/>
            <w:tcMar>
              <w:top w:w="57" w:type="dxa"/>
              <w:bottom w:w="57" w:type="dxa"/>
            </w:tcMar>
          </w:tcPr>
          <w:p w14:paraId="6D229DB0" w14:textId="77777777" w:rsidR="00C47639" w:rsidRPr="00FD2055" w:rsidRDefault="00C47639" w:rsidP="00C47639">
            <w:pPr>
              <w:pStyle w:val="Standaard-Tabellen"/>
            </w:pPr>
            <w:r>
              <w:rPr>
                <w:lang w:eastAsia="en-US"/>
              </w:rPr>
              <w:t>Tier 1, no PPE,</w:t>
            </w:r>
            <w:r w:rsidRPr="00FC31C2">
              <w:rPr>
                <w:lang w:eastAsia="en-US"/>
              </w:rPr>
              <w:t xml:space="preserve"> Hand-mouth transfer reverse reference scenario</w:t>
            </w:r>
            <w:r>
              <w:rPr>
                <w:lang w:eastAsia="en-US"/>
              </w:rPr>
              <w:t>, oral</w:t>
            </w:r>
          </w:p>
        </w:tc>
        <w:tc>
          <w:tcPr>
            <w:tcW w:w="891" w:type="pct"/>
            <w:tcBorders>
              <w:top w:val="single" w:sz="18" w:space="0" w:color="auto"/>
            </w:tcBorders>
            <w:tcMar>
              <w:top w:w="57" w:type="dxa"/>
              <w:bottom w:w="57" w:type="dxa"/>
            </w:tcMar>
            <w:vAlign w:val="center"/>
          </w:tcPr>
          <w:p w14:paraId="640850B6" w14:textId="77777777" w:rsidR="00C47639" w:rsidRPr="00FD2055" w:rsidRDefault="00C47639" w:rsidP="00C47639">
            <w:pPr>
              <w:pStyle w:val="Standaard-Tabellen"/>
            </w:pPr>
            <w:r>
              <w:t>U</w:t>
            </w:r>
            <w:r w:rsidRPr="00787510">
              <w:t>p to 6.13 applications</w:t>
            </w:r>
          </w:p>
        </w:tc>
      </w:tr>
      <w:tr w:rsidR="00C47639" w:rsidRPr="00FD2055" w14:paraId="21C5DD0F" w14:textId="77777777" w:rsidTr="00C47639">
        <w:trPr>
          <w:tblHeader/>
        </w:trPr>
        <w:tc>
          <w:tcPr>
            <w:tcW w:w="710" w:type="pct"/>
            <w:vMerge/>
            <w:tcMar>
              <w:top w:w="57" w:type="dxa"/>
              <w:bottom w:w="57" w:type="dxa"/>
            </w:tcMar>
          </w:tcPr>
          <w:p w14:paraId="4E42B5A7" w14:textId="77777777" w:rsidR="00C47639" w:rsidRPr="00FD2055" w:rsidRDefault="00C47639" w:rsidP="00C47639">
            <w:pPr>
              <w:pStyle w:val="Standaard-Tabellen"/>
            </w:pPr>
          </w:p>
        </w:tc>
        <w:tc>
          <w:tcPr>
            <w:tcW w:w="1581" w:type="pct"/>
            <w:shd w:val="clear" w:color="auto" w:fill="auto"/>
            <w:tcMar>
              <w:top w:w="57" w:type="dxa"/>
              <w:bottom w:w="57" w:type="dxa"/>
            </w:tcMar>
          </w:tcPr>
          <w:p w14:paraId="703FB117" w14:textId="77777777" w:rsidR="00C47639" w:rsidRPr="00FD2055" w:rsidRDefault="00C47639" w:rsidP="00C47639">
            <w:pPr>
              <w:pStyle w:val="Standaard-Tabellen"/>
            </w:pPr>
            <w:r>
              <w:rPr>
                <w:lang w:eastAsia="en-US"/>
              </w:rPr>
              <w:t>Non-professionals, child (6-12)</w:t>
            </w:r>
          </w:p>
        </w:tc>
        <w:tc>
          <w:tcPr>
            <w:tcW w:w="1818" w:type="pct"/>
            <w:tcMar>
              <w:top w:w="57" w:type="dxa"/>
              <w:bottom w:w="57" w:type="dxa"/>
            </w:tcMar>
          </w:tcPr>
          <w:p w14:paraId="5679AEFF" w14:textId="77777777" w:rsidR="00C47639" w:rsidRPr="00FD2055" w:rsidRDefault="00C47639" w:rsidP="00C47639">
            <w:pPr>
              <w:pStyle w:val="Standaard-Tabellen"/>
            </w:pPr>
            <w:r>
              <w:rPr>
                <w:lang w:eastAsia="en-US"/>
              </w:rPr>
              <w:t>Tier 1, no PPE,</w:t>
            </w:r>
            <w:r w:rsidRPr="00FC31C2">
              <w:rPr>
                <w:lang w:eastAsia="en-US"/>
              </w:rPr>
              <w:t xml:space="preserve"> Hand-mouth transfer reverse reference scenario</w:t>
            </w:r>
            <w:r>
              <w:rPr>
                <w:lang w:eastAsia="en-US"/>
              </w:rPr>
              <w:t>, oral</w:t>
            </w:r>
          </w:p>
        </w:tc>
        <w:tc>
          <w:tcPr>
            <w:tcW w:w="891" w:type="pct"/>
            <w:tcMar>
              <w:top w:w="57" w:type="dxa"/>
              <w:bottom w:w="57" w:type="dxa"/>
            </w:tcMar>
            <w:vAlign w:val="center"/>
          </w:tcPr>
          <w:p w14:paraId="153B5F5B" w14:textId="77777777" w:rsidR="00C47639" w:rsidRPr="00FD2055" w:rsidRDefault="00C47639" w:rsidP="00C47639">
            <w:pPr>
              <w:pStyle w:val="Standaard-Tabellen"/>
            </w:pPr>
            <w:r>
              <w:t>U</w:t>
            </w:r>
            <w:r w:rsidRPr="00787510">
              <w:t>p to 2.20 applications</w:t>
            </w:r>
          </w:p>
        </w:tc>
      </w:tr>
      <w:tr w:rsidR="00C47639" w:rsidRPr="00FD2055" w14:paraId="5C2B3D70" w14:textId="77777777" w:rsidTr="00C47639">
        <w:trPr>
          <w:tblHeader/>
        </w:trPr>
        <w:tc>
          <w:tcPr>
            <w:tcW w:w="710" w:type="pct"/>
            <w:vMerge/>
            <w:tcMar>
              <w:top w:w="57" w:type="dxa"/>
              <w:bottom w:w="57" w:type="dxa"/>
            </w:tcMar>
          </w:tcPr>
          <w:p w14:paraId="3EBE485D" w14:textId="77777777" w:rsidR="00C47639" w:rsidRPr="00FD2055" w:rsidRDefault="00C47639" w:rsidP="00C47639">
            <w:pPr>
              <w:pStyle w:val="Standaard-Tabellen"/>
            </w:pPr>
          </w:p>
        </w:tc>
        <w:tc>
          <w:tcPr>
            <w:tcW w:w="1581" w:type="pct"/>
            <w:shd w:val="clear" w:color="auto" w:fill="auto"/>
            <w:tcMar>
              <w:top w:w="57" w:type="dxa"/>
              <w:bottom w:w="57" w:type="dxa"/>
            </w:tcMar>
          </w:tcPr>
          <w:p w14:paraId="24EAEF4E" w14:textId="77777777" w:rsidR="00C47639" w:rsidRDefault="00C47639" w:rsidP="00C47639">
            <w:pPr>
              <w:pStyle w:val="Standaard-Tabellen"/>
              <w:rPr>
                <w:lang w:eastAsia="en-US"/>
              </w:rPr>
            </w:pPr>
            <w:r>
              <w:rPr>
                <w:lang w:eastAsia="en-US"/>
              </w:rPr>
              <w:t>Non-professionals, child (2-6)</w:t>
            </w:r>
          </w:p>
        </w:tc>
        <w:tc>
          <w:tcPr>
            <w:tcW w:w="1818" w:type="pct"/>
            <w:tcMar>
              <w:top w:w="57" w:type="dxa"/>
              <w:bottom w:w="57" w:type="dxa"/>
            </w:tcMar>
          </w:tcPr>
          <w:p w14:paraId="63EB3CCE" w14:textId="77777777" w:rsidR="00C47639" w:rsidRDefault="00C47639" w:rsidP="00C47639">
            <w:pPr>
              <w:pStyle w:val="Standaard-Tabellen"/>
              <w:rPr>
                <w:lang w:eastAsia="en-US"/>
              </w:rPr>
            </w:pPr>
            <w:r>
              <w:rPr>
                <w:lang w:eastAsia="en-US"/>
              </w:rPr>
              <w:t>Tier 1, no PPE,</w:t>
            </w:r>
            <w:r w:rsidRPr="00FC31C2">
              <w:rPr>
                <w:lang w:eastAsia="en-US"/>
              </w:rPr>
              <w:t xml:space="preserve"> Hand-mouth transfer reverse reference scenario</w:t>
            </w:r>
            <w:r>
              <w:rPr>
                <w:lang w:eastAsia="en-US"/>
              </w:rPr>
              <w:t>, oral</w:t>
            </w:r>
          </w:p>
        </w:tc>
        <w:tc>
          <w:tcPr>
            <w:tcW w:w="891" w:type="pct"/>
            <w:tcMar>
              <w:top w:w="57" w:type="dxa"/>
              <w:bottom w:w="57" w:type="dxa"/>
            </w:tcMar>
            <w:vAlign w:val="center"/>
          </w:tcPr>
          <w:p w14:paraId="528890E3" w14:textId="77777777" w:rsidR="00C47639" w:rsidRDefault="00C47639" w:rsidP="00C47639">
            <w:pPr>
              <w:pStyle w:val="Standaard-Tabellen"/>
            </w:pPr>
            <w:r>
              <w:t>U</w:t>
            </w:r>
            <w:r w:rsidRPr="00787510">
              <w:t>p to 1.94 applications</w:t>
            </w:r>
          </w:p>
        </w:tc>
      </w:tr>
      <w:tr w:rsidR="00C47639" w:rsidRPr="00FD2055" w14:paraId="527E5E9D" w14:textId="77777777" w:rsidTr="00C47639">
        <w:trPr>
          <w:tblHeader/>
        </w:trPr>
        <w:tc>
          <w:tcPr>
            <w:tcW w:w="710" w:type="pct"/>
            <w:vMerge/>
            <w:tcMar>
              <w:top w:w="57" w:type="dxa"/>
              <w:bottom w:w="57" w:type="dxa"/>
            </w:tcMar>
          </w:tcPr>
          <w:p w14:paraId="01E0DDE3" w14:textId="77777777" w:rsidR="00C47639" w:rsidRPr="00FD2055" w:rsidRDefault="00C47639" w:rsidP="00C47639">
            <w:pPr>
              <w:pStyle w:val="Standaard-Tabellen"/>
            </w:pPr>
          </w:p>
        </w:tc>
        <w:tc>
          <w:tcPr>
            <w:tcW w:w="1581" w:type="pct"/>
            <w:shd w:val="clear" w:color="auto" w:fill="auto"/>
            <w:tcMar>
              <w:top w:w="57" w:type="dxa"/>
              <w:bottom w:w="57" w:type="dxa"/>
            </w:tcMar>
          </w:tcPr>
          <w:p w14:paraId="2AAD0C08" w14:textId="77777777" w:rsidR="00C47639" w:rsidRPr="00FD2055" w:rsidRDefault="00C47639" w:rsidP="00C47639">
            <w:pPr>
              <w:pStyle w:val="Standaard-Tabellen"/>
            </w:pPr>
            <w:r>
              <w:rPr>
                <w:lang w:eastAsia="en-US"/>
              </w:rPr>
              <w:t>Non-professionals, toddler</w:t>
            </w:r>
          </w:p>
        </w:tc>
        <w:tc>
          <w:tcPr>
            <w:tcW w:w="1818" w:type="pct"/>
            <w:tcMar>
              <w:top w:w="57" w:type="dxa"/>
              <w:bottom w:w="57" w:type="dxa"/>
            </w:tcMar>
          </w:tcPr>
          <w:p w14:paraId="4BB35C16" w14:textId="77777777" w:rsidR="00C47639" w:rsidRPr="00FD2055" w:rsidRDefault="00C47639" w:rsidP="00C47639">
            <w:pPr>
              <w:pStyle w:val="Standaard-Tabellen"/>
            </w:pPr>
            <w:r>
              <w:rPr>
                <w:lang w:eastAsia="en-US"/>
              </w:rPr>
              <w:t>Tier 1, no PPE,</w:t>
            </w:r>
            <w:r w:rsidRPr="00FC31C2">
              <w:rPr>
                <w:lang w:eastAsia="en-US"/>
              </w:rPr>
              <w:t xml:space="preserve"> Hand-mouth transfer reverse reference scenario</w:t>
            </w:r>
            <w:r>
              <w:rPr>
                <w:lang w:eastAsia="en-US"/>
              </w:rPr>
              <w:t>, oral</w:t>
            </w:r>
          </w:p>
        </w:tc>
        <w:tc>
          <w:tcPr>
            <w:tcW w:w="891" w:type="pct"/>
            <w:tcMar>
              <w:top w:w="57" w:type="dxa"/>
              <w:bottom w:w="57" w:type="dxa"/>
            </w:tcMar>
            <w:vAlign w:val="center"/>
          </w:tcPr>
          <w:p w14:paraId="3AE085EB" w14:textId="77777777" w:rsidR="00C47639" w:rsidRPr="00FD2055" w:rsidRDefault="00C47639" w:rsidP="00C47639">
            <w:pPr>
              <w:pStyle w:val="Standaard-Tabellen"/>
            </w:pPr>
            <w:r>
              <w:t>U</w:t>
            </w:r>
            <w:r w:rsidRPr="00787510">
              <w:t>p to 1.77 applications</w:t>
            </w:r>
          </w:p>
        </w:tc>
      </w:tr>
      <w:tr w:rsidR="00C47639" w:rsidRPr="00FD2055" w14:paraId="7003FD7C" w14:textId="77777777" w:rsidTr="00C47639">
        <w:trPr>
          <w:tblHeader/>
        </w:trPr>
        <w:tc>
          <w:tcPr>
            <w:tcW w:w="710" w:type="pct"/>
            <w:vMerge/>
            <w:tcMar>
              <w:top w:w="57" w:type="dxa"/>
              <w:bottom w:w="57" w:type="dxa"/>
            </w:tcMar>
          </w:tcPr>
          <w:p w14:paraId="5500897F" w14:textId="77777777" w:rsidR="00C47639" w:rsidRPr="00FD2055" w:rsidRDefault="00C47639" w:rsidP="00C47639">
            <w:pPr>
              <w:pStyle w:val="Standaard-Tabellen"/>
            </w:pPr>
          </w:p>
        </w:tc>
        <w:tc>
          <w:tcPr>
            <w:tcW w:w="1581" w:type="pct"/>
            <w:tcBorders>
              <w:bottom w:val="single" w:sz="18" w:space="0" w:color="auto"/>
            </w:tcBorders>
            <w:shd w:val="clear" w:color="auto" w:fill="auto"/>
            <w:tcMar>
              <w:top w:w="57" w:type="dxa"/>
              <w:bottom w:w="57" w:type="dxa"/>
            </w:tcMar>
          </w:tcPr>
          <w:p w14:paraId="10A7AC86" w14:textId="77777777" w:rsidR="00C47639" w:rsidRPr="00FD2055" w:rsidRDefault="00C47639" w:rsidP="00C47639">
            <w:pPr>
              <w:pStyle w:val="Standaard-Tabellen"/>
            </w:pPr>
            <w:r>
              <w:rPr>
                <w:lang w:eastAsia="en-US"/>
              </w:rPr>
              <w:t>Non-professionals, infant</w:t>
            </w:r>
          </w:p>
        </w:tc>
        <w:tc>
          <w:tcPr>
            <w:tcW w:w="1818" w:type="pct"/>
            <w:tcBorders>
              <w:bottom w:val="single" w:sz="18" w:space="0" w:color="auto"/>
            </w:tcBorders>
            <w:tcMar>
              <w:top w:w="57" w:type="dxa"/>
              <w:bottom w:w="57" w:type="dxa"/>
            </w:tcMar>
          </w:tcPr>
          <w:p w14:paraId="0B924CED" w14:textId="77777777" w:rsidR="00C47639" w:rsidRPr="00FD2055" w:rsidRDefault="00C47639" w:rsidP="00C47639">
            <w:pPr>
              <w:pStyle w:val="Standaard-Tabellen"/>
            </w:pPr>
            <w:r>
              <w:rPr>
                <w:lang w:eastAsia="en-US"/>
              </w:rPr>
              <w:t>Tier 1, no PPE,</w:t>
            </w:r>
            <w:r w:rsidRPr="00FC31C2">
              <w:rPr>
                <w:lang w:eastAsia="en-US"/>
              </w:rPr>
              <w:t xml:space="preserve"> Hand-mouth transfer reverse reference scenario</w:t>
            </w:r>
            <w:r>
              <w:rPr>
                <w:lang w:eastAsia="en-US"/>
              </w:rPr>
              <w:t>, oral</w:t>
            </w:r>
          </w:p>
        </w:tc>
        <w:tc>
          <w:tcPr>
            <w:tcW w:w="891" w:type="pct"/>
            <w:tcBorders>
              <w:bottom w:val="single" w:sz="18" w:space="0" w:color="auto"/>
            </w:tcBorders>
            <w:tcMar>
              <w:top w:w="57" w:type="dxa"/>
              <w:bottom w:w="57" w:type="dxa"/>
            </w:tcMar>
            <w:vAlign w:val="center"/>
          </w:tcPr>
          <w:p w14:paraId="069DD513" w14:textId="77777777" w:rsidR="00C47639" w:rsidRPr="00FD2055" w:rsidRDefault="00C47639" w:rsidP="00C47639">
            <w:pPr>
              <w:pStyle w:val="Standaard-Tabellen"/>
            </w:pPr>
            <w:r>
              <w:t>U</w:t>
            </w:r>
            <w:r w:rsidRPr="00787510">
              <w:t>p to 1.65 applications</w:t>
            </w:r>
          </w:p>
        </w:tc>
      </w:tr>
      <w:tr w:rsidR="00C47639" w:rsidRPr="00FD2055" w14:paraId="3D6E74E5" w14:textId="77777777" w:rsidTr="00C47639">
        <w:trPr>
          <w:tblHeader/>
        </w:trPr>
        <w:tc>
          <w:tcPr>
            <w:tcW w:w="710" w:type="pct"/>
            <w:tcBorders>
              <w:top w:val="single" w:sz="18" w:space="0" w:color="auto"/>
              <w:bottom w:val="single" w:sz="18" w:space="0" w:color="auto"/>
            </w:tcBorders>
            <w:tcMar>
              <w:top w:w="57" w:type="dxa"/>
              <w:bottom w:w="57" w:type="dxa"/>
            </w:tcMar>
          </w:tcPr>
          <w:p w14:paraId="6420781A" w14:textId="77777777" w:rsidR="00C47639" w:rsidRPr="00FD2055" w:rsidRDefault="00C47639" w:rsidP="00C47639">
            <w:pPr>
              <w:pStyle w:val="Standaard-Tabellen"/>
            </w:pPr>
            <w:r>
              <w:rPr>
                <w:lang w:eastAsia="en-US"/>
              </w:rPr>
              <w:t>4.</w:t>
            </w:r>
          </w:p>
        </w:tc>
        <w:tc>
          <w:tcPr>
            <w:tcW w:w="1581" w:type="pct"/>
            <w:tcBorders>
              <w:top w:val="single" w:sz="18" w:space="0" w:color="auto"/>
              <w:bottom w:val="single" w:sz="18" w:space="0" w:color="auto"/>
            </w:tcBorders>
            <w:shd w:val="clear" w:color="auto" w:fill="auto"/>
            <w:tcMar>
              <w:top w:w="57" w:type="dxa"/>
              <w:bottom w:w="57" w:type="dxa"/>
            </w:tcMar>
          </w:tcPr>
          <w:p w14:paraId="4CAC799A" w14:textId="77777777" w:rsidR="00C47639" w:rsidRPr="00FD2055" w:rsidRDefault="00C47639" w:rsidP="00C47639">
            <w:pPr>
              <w:pStyle w:val="Standaard-Tabellen"/>
            </w:pPr>
            <w:r>
              <w:rPr>
                <w:lang w:eastAsia="en-US"/>
              </w:rPr>
              <w:t>Non-professionals, adult</w:t>
            </w:r>
          </w:p>
        </w:tc>
        <w:tc>
          <w:tcPr>
            <w:tcW w:w="1818" w:type="pct"/>
            <w:tcBorders>
              <w:top w:val="single" w:sz="18" w:space="0" w:color="auto"/>
              <w:bottom w:val="single" w:sz="18" w:space="0" w:color="auto"/>
            </w:tcBorders>
            <w:tcMar>
              <w:top w:w="57" w:type="dxa"/>
              <w:bottom w:w="57" w:type="dxa"/>
            </w:tcMar>
          </w:tcPr>
          <w:p w14:paraId="0FC1E1F7" w14:textId="77777777" w:rsidR="00C47639" w:rsidRPr="00FD2055" w:rsidRDefault="00C47639" w:rsidP="00C47639">
            <w:pPr>
              <w:pStyle w:val="Standaard-Tabellen"/>
            </w:pPr>
            <w:r>
              <w:rPr>
                <w:lang w:eastAsia="en-US"/>
              </w:rPr>
              <w:t xml:space="preserve">Tier 1, no PPE, </w:t>
            </w:r>
            <w:proofErr w:type="spellStart"/>
            <w:r>
              <w:rPr>
                <w:lang w:eastAsia="en-US"/>
              </w:rPr>
              <w:t>inhal+oral</w:t>
            </w:r>
            <w:proofErr w:type="spellEnd"/>
            <w:r>
              <w:rPr>
                <w:lang w:eastAsia="en-US"/>
              </w:rPr>
              <w:t xml:space="preserve">, 7 </w:t>
            </w:r>
            <w:proofErr w:type="spellStart"/>
            <w:r>
              <w:rPr>
                <w:lang w:eastAsia="en-US"/>
              </w:rPr>
              <w:t>appl</w:t>
            </w:r>
            <w:proofErr w:type="spellEnd"/>
            <w:r>
              <w:rPr>
                <w:lang w:eastAsia="en-US"/>
              </w:rPr>
              <w:t>/d</w:t>
            </w:r>
          </w:p>
        </w:tc>
        <w:tc>
          <w:tcPr>
            <w:tcW w:w="891" w:type="pct"/>
            <w:tcBorders>
              <w:top w:val="single" w:sz="18" w:space="0" w:color="auto"/>
              <w:bottom w:val="single" w:sz="18" w:space="0" w:color="auto"/>
            </w:tcBorders>
            <w:shd w:val="clear" w:color="auto" w:fill="auto"/>
            <w:tcMar>
              <w:top w:w="57" w:type="dxa"/>
              <w:bottom w:w="57" w:type="dxa"/>
            </w:tcMar>
            <w:vAlign w:val="center"/>
          </w:tcPr>
          <w:p w14:paraId="1C066C1E" w14:textId="77777777" w:rsidR="00C47639" w:rsidRPr="00FD2055" w:rsidRDefault="00C47639" w:rsidP="00C47639">
            <w:pPr>
              <w:pStyle w:val="Standaard-Tabellen"/>
            </w:pPr>
            <w:r w:rsidRPr="007C0455">
              <w:t xml:space="preserve">0.0204 mg/kg </w:t>
            </w:r>
            <w:proofErr w:type="spellStart"/>
            <w:r w:rsidRPr="007C0455">
              <w:t>bw</w:t>
            </w:r>
            <w:proofErr w:type="spellEnd"/>
            <w:r w:rsidRPr="007C0455" w:rsidDel="008B0A53">
              <w:t xml:space="preserve"> </w:t>
            </w:r>
          </w:p>
        </w:tc>
      </w:tr>
      <w:tr w:rsidR="00C47639" w:rsidRPr="00FD2055" w14:paraId="55A760BD" w14:textId="77777777" w:rsidTr="00C47639">
        <w:trPr>
          <w:tblHeader/>
        </w:trPr>
        <w:tc>
          <w:tcPr>
            <w:tcW w:w="710" w:type="pct"/>
            <w:vMerge w:val="restart"/>
            <w:tcBorders>
              <w:top w:val="single" w:sz="18" w:space="0" w:color="auto"/>
            </w:tcBorders>
            <w:tcMar>
              <w:top w:w="57" w:type="dxa"/>
              <w:bottom w:w="57" w:type="dxa"/>
            </w:tcMar>
          </w:tcPr>
          <w:p w14:paraId="51873F4B" w14:textId="77777777" w:rsidR="00C47639" w:rsidRPr="00FD2055" w:rsidRDefault="00C47639" w:rsidP="00C47639">
            <w:pPr>
              <w:pStyle w:val="Standaard-Tabellen"/>
            </w:pPr>
            <w:r>
              <w:rPr>
                <w:lang w:eastAsia="en-US"/>
              </w:rPr>
              <w:t>5.</w:t>
            </w:r>
          </w:p>
        </w:tc>
        <w:tc>
          <w:tcPr>
            <w:tcW w:w="1581" w:type="pct"/>
            <w:tcBorders>
              <w:top w:val="single" w:sz="18" w:space="0" w:color="auto"/>
            </w:tcBorders>
            <w:shd w:val="clear" w:color="auto" w:fill="auto"/>
            <w:tcMar>
              <w:top w:w="57" w:type="dxa"/>
              <w:bottom w:w="57" w:type="dxa"/>
            </w:tcMar>
          </w:tcPr>
          <w:p w14:paraId="4C9412BC" w14:textId="77777777" w:rsidR="00C47639" w:rsidRPr="00FD2055" w:rsidRDefault="00C47639" w:rsidP="00C47639">
            <w:pPr>
              <w:pStyle w:val="Standaard-Tabellen"/>
            </w:pPr>
            <w:r>
              <w:rPr>
                <w:lang w:eastAsia="en-US"/>
              </w:rPr>
              <w:t>Non-professionals, adult</w:t>
            </w:r>
          </w:p>
        </w:tc>
        <w:tc>
          <w:tcPr>
            <w:tcW w:w="1818" w:type="pct"/>
            <w:tcBorders>
              <w:top w:val="single" w:sz="18" w:space="0" w:color="auto"/>
            </w:tcBorders>
            <w:tcMar>
              <w:top w:w="57" w:type="dxa"/>
              <w:bottom w:w="57" w:type="dxa"/>
            </w:tcMar>
          </w:tcPr>
          <w:p w14:paraId="679FA51D" w14:textId="77777777" w:rsidR="00C47639" w:rsidRPr="00FD2055" w:rsidRDefault="00C47639" w:rsidP="00C47639">
            <w:pPr>
              <w:pStyle w:val="Standaard-Tabellen"/>
            </w:pPr>
            <w:r>
              <w:t xml:space="preserve">Tier 1 / no PPE </w:t>
            </w:r>
          </w:p>
        </w:tc>
        <w:tc>
          <w:tcPr>
            <w:tcW w:w="891" w:type="pct"/>
            <w:shd w:val="clear" w:color="auto" w:fill="auto"/>
            <w:tcMar>
              <w:top w:w="57" w:type="dxa"/>
              <w:bottom w:w="57" w:type="dxa"/>
            </w:tcMar>
            <w:vAlign w:val="center"/>
          </w:tcPr>
          <w:p w14:paraId="728E3C2C" w14:textId="77777777" w:rsidR="00C47639" w:rsidRPr="00FD2055" w:rsidRDefault="00C47639" w:rsidP="00C47639">
            <w:pPr>
              <w:pStyle w:val="Standaard-Tabellen"/>
            </w:pPr>
            <w:r w:rsidRPr="00787510">
              <w:t xml:space="preserve">2.12 mg/kg </w:t>
            </w:r>
            <w:proofErr w:type="spellStart"/>
            <w:r w:rsidRPr="00787510">
              <w:t>bw</w:t>
            </w:r>
            <w:proofErr w:type="spellEnd"/>
            <w:r w:rsidRPr="00787510">
              <w:t>/day</w:t>
            </w:r>
          </w:p>
        </w:tc>
      </w:tr>
      <w:tr w:rsidR="00C47639" w:rsidRPr="00FD2055" w14:paraId="63C7C743" w14:textId="77777777" w:rsidTr="00C47639">
        <w:trPr>
          <w:tblHeader/>
        </w:trPr>
        <w:tc>
          <w:tcPr>
            <w:tcW w:w="710" w:type="pct"/>
            <w:vMerge/>
            <w:tcMar>
              <w:top w:w="57" w:type="dxa"/>
              <w:bottom w:w="57" w:type="dxa"/>
            </w:tcMar>
          </w:tcPr>
          <w:p w14:paraId="11371D23" w14:textId="77777777" w:rsidR="00C47639" w:rsidRDefault="00C47639" w:rsidP="00C47639">
            <w:pPr>
              <w:pStyle w:val="Standaard-Tabellen"/>
              <w:rPr>
                <w:lang w:eastAsia="en-US"/>
              </w:rPr>
            </w:pPr>
          </w:p>
        </w:tc>
        <w:tc>
          <w:tcPr>
            <w:tcW w:w="1581" w:type="pct"/>
            <w:shd w:val="clear" w:color="auto" w:fill="auto"/>
            <w:tcMar>
              <w:top w:w="57" w:type="dxa"/>
              <w:bottom w:w="57" w:type="dxa"/>
            </w:tcMar>
          </w:tcPr>
          <w:p w14:paraId="0A657F77" w14:textId="77777777" w:rsidR="00C47639" w:rsidRDefault="00C47639" w:rsidP="00C47639">
            <w:pPr>
              <w:pStyle w:val="Standaard-Tabellen"/>
              <w:rPr>
                <w:lang w:eastAsia="en-US"/>
              </w:rPr>
            </w:pPr>
            <w:r>
              <w:rPr>
                <w:lang w:eastAsia="en-US"/>
              </w:rPr>
              <w:t>Non-professionals, child (6-12)</w:t>
            </w:r>
          </w:p>
        </w:tc>
        <w:tc>
          <w:tcPr>
            <w:tcW w:w="1818" w:type="pct"/>
            <w:tcMar>
              <w:top w:w="57" w:type="dxa"/>
              <w:bottom w:w="57" w:type="dxa"/>
            </w:tcMar>
          </w:tcPr>
          <w:p w14:paraId="72D7B119" w14:textId="77777777" w:rsidR="00C47639" w:rsidRDefault="00C47639" w:rsidP="00C47639">
            <w:pPr>
              <w:pStyle w:val="Standaard-Tabellen"/>
            </w:pPr>
            <w:r>
              <w:t xml:space="preserve">Tier 1 / </w:t>
            </w:r>
            <w:r w:rsidRPr="00B41694">
              <w:t>no PPE</w:t>
            </w:r>
          </w:p>
        </w:tc>
        <w:tc>
          <w:tcPr>
            <w:tcW w:w="891" w:type="pct"/>
            <w:shd w:val="clear" w:color="auto" w:fill="auto"/>
            <w:tcMar>
              <w:top w:w="57" w:type="dxa"/>
              <w:bottom w:w="57" w:type="dxa"/>
            </w:tcMar>
            <w:vAlign w:val="center"/>
          </w:tcPr>
          <w:p w14:paraId="57B2071D" w14:textId="77777777" w:rsidR="00C47639" w:rsidRPr="00B42BEF" w:rsidRDefault="00C47639" w:rsidP="00C47639">
            <w:pPr>
              <w:pStyle w:val="Standaard-Tabellen"/>
            </w:pPr>
            <w:r w:rsidRPr="00787510">
              <w:t xml:space="preserve">3.12 mg/kg </w:t>
            </w:r>
            <w:proofErr w:type="spellStart"/>
            <w:r w:rsidRPr="00787510">
              <w:t>bw</w:t>
            </w:r>
            <w:proofErr w:type="spellEnd"/>
            <w:r w:rsidRPr="00787510">
              <w:t>/day</w:t>
            </w:r>
          </w:p>
        </w:tc>
      </w:tr>
      <w:tr w:rsidR="00C47639" w:rsidRPr="00FD2055" w14:paraId="5BC5BED3" w14:textId="77777777" w:rsidTr="00C47639">
        <w:trPr>
          <w:tblHeader/>
        </w:trPr>
        <w:tc>
          <w:tcPr>
            <w:tcW w:w="710" w:type="pct"/>
            <w:vMerge/>
            <w:tcMar>
              <w:top w:w="57" w:type="dxa"/>
              <w:bottom w:w="57" w:type="dxa"/>
            </w:tcMar>
          </w:tcPr>
          <w:p w14:paraId="02344C7B" w14:textId="77777777" w:rsidR="00C47639" w:rsidRDefault="00C47639" w:rsidP="00C47639">
            <w:pPr>
              <w:pStyle w:val="Standaard-Tabellen"/>
              <w:rPr>
                <w:lang w:eastAsia="en-US"/>
              </w:rPr>
            </w:pPr>
          </w:p>
        </w:tc>
        <w:tc>
          <w:tcPr>
            <w:tcW w:w="1581" w:type="pct"/>
            <w:shd w:val="clear" w:color="auto" w:fill="auto"/>
            <w:tcMar>
              <w:top w:w="57" w:type="dxa"/>
              <w:bottom w:w="57" w:type="dxa"/>
            </w:tcMar>
          </w:tcPr>
          <w:p w14:paraId="2B66B6D1" w14:textId="77777777" w:rsidR="00C47639" w:rsidRDefault="00C47639" w:rsidP="00C47639">
            <w:pPr>
              <w:pStyle w:val="Standaard-Tabellen"/>
              <w:rPr>
                <w:lang w:eastAsia="en-US"/>
              </w:rPr>
            </w:pPr>
            <w:r>
              <w:rPr>
                <w:lang w:eastAsia="en-US"/>
              </w:rPr>
              <w:t>Non-professionals, child (2-6)</w:t>
            </w:r>
          </w:p>
        </w:tc>
        <w:tc>
          <w:tcPr>
            <w:tcW w:w="1818" w:type="pct"/>
            <w:tcMar>
              <w:top w:w="57" w:type="dxa"/>
              <w:bottom w:w="57" w:type="dxa"/>
            </w:tcMar>
          </w:tcPr>
          <w:p w14:paraId="1E80493F" w14:textId="77777777" w:rsidR="00C47639" w:rsidRDefault="00C47639" w:rsidP="00C47639">
            <w:pPr>
              <w:pStyle w:val="Standaard-Tabellen"/>
            </w:pPr>
            <w:r>
              <w:t xml:space="preserve">Tier 1 / </w:t>
            </w:r>
            <w:r w:rsidRPr="00B41694">
              <w:t>no PPE</w:t>
            </w:r>
          </w:p>
        </w:tc>
        <w:tc>
          <w:tcPr>
            <w:tcW w:w="891" w:type="pct"/>
            <w:shd w:val="clear" w:color="auto" w:fill="auto"/>
            <w:tcMar>
              <w:top w:w="57" w:type="dxa"/>
              <w:bottom w:w="57" w:type="dxa"/>
            </w:tcMar>
            <w:vAlign w:val="center"/>
          </w:tcPr>
          <w:p w14:paraId="3A86ADC9" w14:textId="77777777" w:rsidR="00C47639" w:rsidRDefault="00C47639" w:rsidP="00C47639">
            <w:pPr>
              <w:pStyle w:val="Standaard-Tabellen"/>
            </w:pPr>
            <w:r w:rsidRPr="00787510">
              <w:t xml:space="preserve">3.37 mg/kg </w:t>
            </w:r>
            <w:proofErr w:type="spellStart"/>
            <w:r w:rsidRPr="00787510">
              <w:t>bw</w:t>
            </w:r>
            <w:proofErr w:type="spellEnd"/>
            <w:r w:rsidRPr="00787510">
              <w:t>/day</w:t>
            </w:r>
          </w:p>
        </w:tc>
      </w:tr>
      <w:tr w:rsidR="00C47639" w:rsidRPr="00FD2055" w14:paraId="43AE6B71" w14:textId="77777777" w:rsidTr="00C47639">
        <w:trPr>
          <w:tblHeader/>
        </w:trPr>
        <w:tc>
          <w:tcPr>
            <w:tcW w:w="710" w:type="pct"/>
            <w:vMerge/>
            <w:tcMar>
              <w:top w:w="57" w:type="dxa"/>
              <w:bottom w:w="57" w:type="dxa"/>
            </w:tcMar>
          </w:tcPr>
          <w:p w14:paraId="4C369771" w14:textId="77777777" w:rsidR="00C47639" w:rsidRDefault="00C47639" w:rsidP="00C47639">
            <w:pPr>
              <w:pStyle w:val="Standaard-Tabellen"/>
              <w:rPr>
                <w:lang w:eastAsia="en-US"/>
              </w:rPr>
            </w:pPr>
          </w:p>
        </w:tc>
        <w:tc>
          <w:tcPr>
            <w:tcW w:w="1581" w:type="pct"/>
            <w:shd w:val="clear" w:color="auto" w:fill="auto"/>
            <w:tcMar>
              <w:top w:w="57" w:type="dxa"/>
              <w:bottom w:w="57" w:type="dxa"/>
            </w:tcMar>
          </w:tcPr>
          <w:p w14:paraId="655CAE61" w14:textId="77777777" w:rsidR="00C47639" w:rsidRDefault="00C47639" w:rsidP="00C47639">
            <w:pPr>
              <w:pStyle w:val="Standaard-Tabellen"/>
              <w:rPr>
                <w:lang w:eastAsia="en-US"/>
              </w:rPr>
            </w:pPr>
            <w:r>
              <w:rPr>
                <w:lang w:eastAsia="en-US"/>
              </w:rPr>
              <w:t>Non-professionals, toddler</w:t>
            </w:r>
          </w:p>
        </w:tc>
        <w:tc>
          <w:tcPr>
            <w:tcW w:w="1818" w:type="pct"/>
            <w:tcMar>
              <w:top w:w="57" w:type="dxa"/>
              <w:bottom w:w="57" w:type="dxa"/>
            </w:tcMar>
          </w:tcPr>
          <w:p w14:paraId="2F9AA165" w14:textId="77777777" w:rsidR="00C47639" w:rsidRDefault="00C47639" w:rsidP="00C47639">
            <w:pPr>
              <w:pStyle w:val="Standaard-Tabellen"/>
            </w:pPr>
            <w:r>
              <w:t xml:space="preserve">Tier 1 / </w:t>
            </w:r>
            <w:r w:rsidRPr="00B41694">
              <w:t>no PPE</w:t>
            </w:r>
          </w:p>
        </w:tc>
        <w:tc>
          <w:tcPr>
            <w:tcW w:w="891" w:type="pct"/>
            <w:shd w:val="clear" w:color="auto" w:fill="auto"/>
            <w:tcMar>
              <w:top w:w="57" w:type="dxa"/>
              <w:bottom w:w="57" w:type="dxa"/>
            </w:tcMar>
            <w:vAlign w:val="center"/>
          </w:tcPr>
          <w:p w14:paraId="5A2E7795" w14:textId="77777777" w:rsidR="00C47639" w:rsidRPr="00B42BEF" w:rsidRDefault="00C47639" w:rsidP="00C47639">
            <w:pPr>
              <w:pStyle w:val="Standaard-Tabellen"/>
            </w:pPr>
            <w:r w:rsidRPr="00787510">
              <w:t xml:space="preserve">3.71 mg/kg </w:t>
            </w:r>
            <w:proofErr w:type="spellStart"/>
            <w:r w:rsidRPr="00787510">
              <w:t>bw</w:t>
            </w:r>
            <w:proofErr w:type="spellEnd"/>
            <w:r w:rsidRPr="00787510">
              <w:t>/day</w:t>
            </w:r>
          </w:p>
        </w:tc>
      </w:tr>
      <w:tr w:rsidR="00C47639" w:rsidRPr="00FD2055" w14:paraId="40A7E283" w14:textId="77777777" w:rsidTr="00C47639">
        <w:trPr>
          <w:tblHeader/>
        </w:trPr>
        <w:tc>
          <w:tcPr>
            <w:tcW w:w="710" w:type="pct"/>
            <w:vMerge/>
            <w:tcBorders>
              <w:bottom w:val="single" w:sz="18" w:space="0" w:color="auto"/>
            </w:tcBorders>
            <w:tcMar>
              <w:top w:w="57" w:type="dxa"/>
              <w:bottom w:w="57" w:type="dxa"/>
            </w:tcMar>
          </w:tcPr>
          <w:p w14:paraId="155C9F80" w14:textId="77777777" w:rsidR="00C47639" w:rsidRDefault="00C47639" w:rsidP="00C47639">
            <w:pPr>
              <w:pStyle w:val="Standaard-Tabellen"/>
              <w:rPr>
                <w:lang w:eastAsia="en-US"/>
              </w:rPr>
            </w:pPr>
          </w:p>
        </w:tc>
        <w:tc>
          <w:tcPr>
            <w:tcW w:w="1581" w:type="pct"/>
            <w:tcBorders>
              <w:bottom w:val="single" w:sz="18" w:space="0" w:color="auto"/>
            </w:tcBorders>
            <w:shd w:val="clear" w:color="auto" w:fill="auto"/>
            <w:tcMar>
              <w:top w:w="57" w:type="dxa"/>
              <w:bottom w:w="57" w:type="dxa"/>
            </w:tcMar>
          </w:tcPr>
          <w:p w14:paraId="1D5FB5FD" w14:textId="77777777" w:rsidR="00C47639" w:rsidRDefault="00C47639" w:rsidP="00C47639">
            <w:pPr>
              <w:pStyle w:val="Standaard-Tabellen"/>
              <w:rPr>
                <w:lang w:eastAsia="en-US"/>
              </w:rPr>
            </w:pPr>
            <w:r>
              <w:rPr>
                <w:lang w:eastAsia="en-US"/>
              </w:rPr>
              <w:t>Non-professionals, infant</w:t>
            </w:r>
          </w:p>
        </w:tc>
        <w:tc>
          <w:tcPr>
            <w:tcW w:w="1818" w:type="pct"/>
            <w:tcBorders>
              <w:bottom w:val="single" w:sz="18" w:space="0" w:color="auto"/>
            </w:tcBorders>
            <w:tcMar>
              <w:top w:w="57" w:type="dxa"/>
              <w:bottom w:w="57" w:type="dxa"/>
            </w:tcMar>
          </w:tcPr>
          <w:p w14:paraId="7BD55F22" w14:textId="77777777" w:rsidR="00C47639" w:rsidRDefault="00C47639" w:rsidP="00C47639">
            <w:pPr>
              <w:pStyle w:val="Standaard-Tabellen"/>
            </w:pPr>
            <w:r>
              <w:t xml:space="preserve">Tier 1 / </w:t>
            </w:r>
            <w:r w:rsidRPr="00B41694">
              <w:t>no PPE</w:t>
            </w:r>
          </w:p>
        </w:tc>
        <w:tc>
          <w:tcPr>
            <w:tcW w:w="891" w:type="pct"/>
            <w:tcBorders>
              <w:bottom w:val="single" w:sz="18" w:space="0" w:color="auto"/>
            </w:tcBorders>
            <w:shd w:val="clear" w:color="auto" w:fill="auto"/>
            <w:tcMar>
              <w:top w:w="57" w:type="dxa"/>
              <w:bottom w:w="57" w:type="dxa"/>
            </w:tcMar>
            <w:vAlign w:val="center"/>
          </w:tcPr>
          <w:p w14:paraId="43AF8C58" w14:textId="77777777" w:rsidR="00C47639" w:rsidRPr="00B42BEF" w:rsidRDefault="00C47639" w:rsidP="00C47639">
            <w:pPr>
              <w:pStyle w:val="Standaard-Tabellen"/>
            </w:pPr>
            <w:r w:rsidRPr="00787510">
              <w:t xml:space="preserve">2.64 mg/kg </w:t>
            </w:r>
            <w:proofErr w:type="spellStart"/>
            <w:r w:rsidRPr="00787510">
              <w:t>bw</w:t>
            </w:r>
            <w:proofErr w:type="spellEnd"/>
            <w:r w:rsidRPr="00787510">
              <w:t>/day</w:t>
            </w:r>
          </w:p>
        </w:tc>
      </w:tr>
      <w:tr w:rsidR="00C47639" w:rsidRPr="00FD2055" w14:paraId="55AE39C2" w14:textId="77777777" w:rsidTr="00C47639">
        <w:trPr>
          <w:tblHeader/>
        </w:trPr>
        <w:tc>
          <w:tcPr>
            <w:tcW w:w="710" w:type="pct"/>
            <w:vMerge w:val="restart"/>
            <w:tcBorders>
              <w:top w:val="single" w:sz="18" w:space="0" w:color="auto"/>
            </w:tcBorders>
            <w:tcMar>
              <w:top w:w="57" w:type="dxa"/>
              <w:bottom w:w="57" w:type="dxa"/>
            </w:tcMar>
          </w:tcPr>
          <w:p w14:paraId="03A98D91" w14:textId="77777777" w:rsidR="00C47639" w:rsidRDefault="00C47639" w:rsidP="00C47639">
            <w:pPr>
              <w:pStyle w:val="Standaard-Tabellen"/>
              <w:rPr>
                <w:lang w:eastAsia="en-US"/>
              </w:rPr>
            </w:pPr>
            <w:r>
              <w:rPr>
                <w:lang w:eastAsia="en-US"/>
              </w:rPr>
              <w:t>6.</w:t>
            </w:r>
          </w:p>
        </w:tc>
        <w:tc>
          <w:tcPr>
            <w:tcW w:w="1581" w:type="pct"/>
            <w:tcBorders>
              <w:top w:val="single" w:sz="18" w:space="0" w:color="auto"/>
            </w:tcBorders>
            <w:shd w:val="clear" w:color="auto" w:fill="auto"/>
            <w:tcMar>
              <w:top w:w="57" w:type="dxa"/>
              <w:bottom w:w="57" w:type="dxa"/>
            </w:tcMar>
          </w:tcPr>
          <w:p w14:paraId="1AA89C37" w14:textId="77777777" w:rsidR="00C47639" w:rsidRDefault="00C47639" w:rsidP="00C47639">
            <w:pPr>
              <w:pStyle w:val="Standaard-Tabellen"/>
              <w:rPr>
                <w:lang w:eastAsia="en-US"/>
              </w:rPr>
            </w:pPr>
            <w:r>
              <w:rPr>
                <w:lang w:eastAsia="en-US"/>
              </w:rPr>
              <w:t>Professionals</w:t>
            </w:r>
          </w:p>
        </w:tc>
        <w:tc>
          <w:tcPr>
            <w:tcW w:w="1818" w:type="pct"/>
            <w:tcBorders>
              <w:top w:val="single" w:sz="18" w:space="0" w:color="auto"/>
            </w:tcBorders>
            <w:tcMar>
              <w:top w:w="57" w:type="dxa"/>
              <w:bottom w:w="57" w:type="dxa"/>
            </w:tcMar>
          </w:tcPr>
          <w:p w14:paraId="517DA7B8" w14:textId="77777777" w:rsidR="00C47639" w:rsidRDefault="00C47639" w:rsidP="00C47639">
            <w:pPr>
              <w:pStyle w:val="Standaard-Tabellen"/>
            </w:pPr>
            <w:r>
              <w:t xml:space="preserve">Tier 1 / </w:t>
            </w:r>
            <w:r w:rsidRPr="00B41694">
              <w:t>no PPE</w:t>
            </w:r>
          </w:p>
        </w:tc>
        <w:tc>
          <w:tcPr>
            <w:tcW w:w="891" w:type="pct"/>
            <w:tcBorders>
              <w:top w:val="single" w:sz="18" w:space="0" w:color="auto"/>
            </w:tcBorders>
            <w:shd w:val="clear" w:color="auto" w:fill="auto"/>
            <w:tcMar>
              <w:top w:w="57" w:type="dxa"/>
              <w:bottom w:w="57" w:type="dxa"/>
            </w:tcMar>
          </w:tcPr>
          <w:p w14:paraId="5C983175" w14:textId="77777777" w:rsidR="00C47639" w:rsidRPr="00B42BEF" w:rsidRDefault="00C47639" w:rsidP="00C47639">
            <w:pPr>
              <w:pStyle w:val="Standaard-Tabellen"/>
            </w:pPr>
            <w:r>
              <w:t xml:space="preserve">8.5 mg/kg </w:t>
            </w:r>
            <w:proofErr w:type="spellStart"/>
            <w:r>
              <w:t>bw</w:t>
            </w:r>
            <w:proofErr w:type="spellEnd"/>
            <w:r>
              <w:t>/d</w:t>
            </w:r>
          </w:p>
        </w:tc>
      </w:tr>
      <w:tr w:rsidR="00C47639" w:rsidRPr="00FD2055" w14:paraId="6FB8BD77" w14:textId="77777777" w:rsidTr="00C47639">
        <w:trPr>
          <w:tblHeader/>
        </w:trPr>
        <w:tc>
          <w:tcPr>
            <w:tcW w:w="710" w:type="pct"/>
            <w:vMerge/>
            <w:tcMar>
              <w:top w:w="57" w:type="dxa"/>
              <w:bottom w:w="57" w:type="dxa"/>
            </w:tcMar>
          </w:tcPr>
          <w:p w14:paraId="17EAA2AB" w14:textId="77777777" w:rsidR="00C47639" w:rsidRDefault="00C47639" w:rsidP="00C47639">
            <w:pPr>
              <w:pStyle w:val="Standaard-Tabellen"/>
              <w:rPr>
                <w:lang w:eastAsia="en-US"/>
              </w:rPr>
            </w:pPr>
          </w:p>
        </w:tc>
        <w:tc>
          <w:tcPr>
            <w:tcW w:w="1581" w:type="pct"/>
            <w:shd w:val="clear" w:color="auto" w:fill="auto"/>
            <w:tcMar>
              <w:top w:w="57" w:type="dxa"/>
              <w:bottom w:w="57" w:type="dxa"/>
            </w:tcMar>
          </w:tcPr>
          <w:p w14:paraId="1F6F2FC6" w14:textId="77777777" w:rsidR="00C47639" w:rsidRDefault="00C47639" w:rsidP="00C47639">
            <w:pPr>
              <w:pStyle w:val="Standaard-Tabellen"/>
              <w:rPr>
                <w:lang w:eastAsia="en-US"/>
              </w:rPr>
            </w:pPr>
            <w:r>
              <w:rPr>
                <w:lang w:eastAsia="en-US"/>
              </w:rPr>
              <w:t>Professionals</w:t>
            </w:r>
          </w:p>
        </w:tc>
        <w:tc>
          <w:tcPr>
            <w:tcW w:w="1818" w:type="pct"/>
            <w:tcMar>
              <w:top w:w="57" w:type="dxa"/>
              <w:bottom w:w="57" w:type="dxa"/>
            </w:tcMar>
          </w:tcPr>
          <w:p w14:paraId="07887482" w14:textId="77777777" w:rsidR="00C47639" w:rsidRDefault="00C47639" w:rsidP="00C47639">
            <w:pPr>
              <w:pStyle w:val="Standaard-Tabellen"/>
            </w:pPr>
            <w:r>
              <w:t xml:space="preserve">Tier 2/ </w:t>
            </w:r>
            <w:r w:rsidRPr="00D371B6">
              <w:t>Uncoated cotton coverall</w:t>
            </w:r>
          </w:p>
        </w:tc>
        <w:tc>
          <w:tcPr>
            <w:tcW w:w="891" w:type="pct"/>
            <w:shd w:val="clear" w:color="auto" w:fill="auto"/>
            <w:tcMar>
              <w:top w:w="57" w:type="dxa"/>
              <w:bottom w:w="57" w:type="dxa"/>
            </w:tcMar>
          </w:tcPr>
          <w:p w14:paraId="18EA4DD6" w14:textId="77777777" w:rsidR="00C47639" w:rsidRPr="00B42BEF" w:rsidRDefault="00C47639" w:rsidP="00C47639">
            <w:pPr>
              <w:pStyle w:val="Standaard-Tabellen"/>
            </w:pPr>
            <w:r w:rsidRPr="00D371B6">
              <w:t>2</w:t>
            </w:r>
            <w:r>
              <w:t>.</w:t>
            </w:r>
            <w:r w:rsidRPr="00D371B6">
              <w:t xml:space="preserve">25 mg/kg </w:t>
            </w:r>
            <w:proofErr w:type="spellStart"/>
            <w:r w:rsidRPr="00D371B6">
              <w:t>bw</w:t>
            </w:r>
            <w:proofErr w:type="spellEnd"/>
            <w:r w:rsidRPr="00D371B6">
              <w:t>/d</w:t>
            </w:r>
          </w:p>
        </w:tc>
      </w:tr>
      <w:tr w:rsidR="00C47639" w:rsidRPr="00FD2055" w14:paraId="252691C9" w14:textId="77777777" w:rsidTr="00C47639">
        <w:trPr>
          <w:tblHeader/>
        </w:trPr>
        <w:tc>
          <w:tcPr>
            <w:tcW w:w="710" w:type="pct"/>
            <w:vMerge/>
            <w:tcMar>
              <w:top w:w="57" w:type="dxa"/>
              <w:bottom w:w="57" w:type="dxa"/>
            </w:tcMar>
          </w:tcPr>
          <w:p w14:paraId="1D497D50" w14:textId="77777777" w:rsidR="00C47639" w:rsidRDefault="00C47639" w:rsidP="00C47639">
            <w:pPr>
              <w:pStyle w:val="Standaard-Tabellen"/>
              <w:rPr>
                <w:lang w:eastAsia="en-US"/>
              </w:rPr>
            </w:pPr>
          </w:p>
        </w:tc>
        <w:tc>
          <w:tcPr>
            <w:tcW w:w="1581" w:type="pct"/>
            <w:shd w:val="clear" w:color="auto" w:fill="auto"/>
            <w:tcMar>
              <w:top w:w="57" w:type="dxa"/>
              <w:bottom w:w="57" w:type="dxa"/>
            </w:tcMar>
          </w:tcPr>
          <w:p w14:paraId="27591BF0" w14:textId="77777777" w:rsidR="00C47639" w:rsidRDefault="00C47639" w:rsidP="00C47639">
            <w:pPr>
              <w:pStyle w:val="Standaard-Tabellen"/>
              <w:rPr>
                <w:lang w:eastAsia="en-US"/>
              </w:rPr>
            </w:pPr>
            <w:r>
              <w:rPr>
                <w:lang w:eastAsia="en-US"/>
              </w:rPr>
              <w:t>Professionals</w:t>
            </w:r>
          </w:p>
        </w:tc>
        <w:tc>
          <w:tcPr>
            <w:tcW w:w="1818" w:type="pct"/>
            <w:tcMar>
              <w:top w:w="57" w:type="dxa"/>
              <w:bottom w:w="57" w:type="dxa"/>
            </w:tcMar>
          </w:tcPr>
          <w:p w14:paraId="209190AB" w14:textId="77777777" w:rsidR="00C47639" w:rsidRDefault="00C47639" w:rsidP="00C47639">
            <w:pPr>
              <w:pStyle w:val="Standaard-Tabellen"/>
            </w:pPr>
            <w:r>
              <w:t>Tier 3/ Uncoated cotton coverall and gloves</w:t>
            </w:r>
          </w:p>
        </w:tc>
        <w:tc>
          <w:tcPr>
            <w:tcW w:w="891" w:type="pct"/>
            <w:shd w:val="clear" w:color="auto" w:fill="auto"/>
            <w:tcMar>
              <w:top w:w="57" w:type="dxa"/>
              <w:bottom w:w="57" w:type="dxa"/>
            </w:tcMar>
          </w:tcPr>
          <w:p w14:paraId="0B67B8BB" w14:textId="77777777" w:rsidR="00C47639" w:rsidRPr="00B42BEF" w:rsidRDefault="00C47639" w:rsidP="00C47639">
            <w:pPr>
              <w:pStyle w:val="Standaard-Tabellen"/>
            </w:pPr>
            <w:r>
              <w:t xml:space="preserve">2.1 mg/kg </w:t>
            </w:r>
            <w:proofErr w:type="spellStart"/>
            <w:r>
              <w:t>bw</w:t>
            </w:r>
            <w:proofErr w:type="spellEnd"/>
            <w:r>
              <w:t>/d</w:t>
            </w:r>
          </w:p>
        </w:tc>
      </w:tr>
    </w:tbl>
    <w:p w14:paraId="53B39A2B" w14:textId="77777777" w:rsidR="00C47639" w:rsidRDefault="00C47639" w:rsidP="00C47639">
      <w:pPr>
        <w:spacing w:before="0" w:after="160" w:line="259" w:lineRule="auto"/>
      </w:pPr>
    </w:p>
    <w:p w14:paraId="2C2E4EC5" w14:textId="77777777" w:rsidR="00C47639" w:rsidRDefault="00C47639" w:rsidP="00C47639">
      <w:pPr>
        <w:spacing w:before="0" w:after="160" w:line="259" w:lineRule="auto"/>
      </w:pPr>
      <w:r>
        <w:br w:type="page"/>
      </w:r>
    </w:p>
    <w:p w14:paraId="0790ABAB" w14:textId="77777777" w:rsidR="00C47639" w:rsidRDefault="00C47639" w:rsidP="00C47639">
      <w:pPr>
        <w:pStyle w:val="Titre4"/>
      </w:pPr>
      <w:bookmarkStart w:id="215" w:name="_Toc532391107"/>
      <w:bookmarkStart w:id="216" w:name="_Toc8296521"/>
      <w:r>
        <w:lastRenderedPageBreak/>
        <w:t xml:space="preserve">Risk </w:t>
      </w:r>
      <w:proofErr w:type="spellStart"/>
      <w:r>
        <w:t>characterisation</w:t>
      </w:r>
      <w:proofErr w:type="spellEnd"/>
      <w:r>
        <w:t xml:space="preserve"> for human health</w:t>
      </w:r>
      <w:bookmarkEnd w:id="215"/>
      <w:bookmarkEnd w:id="216"/>
    </w:p>
    <w:p w14:paraId="54167944" w14:textId="77777777" w:rsidR="00C47639" w:rsidRDefault="00C47639" w:rsidP="00C47639">
      <w:pPr>
        <w:pStyle w:val="Titre5"/>
        <w:numPr>
          <w:ilvl w:val="0"/>
          <w:numId w:val="0"/>
        </w:numPr>
      </w:pPr>
      <w:bookmarkStart w:id="217" w:name="_Toc532391108"/>
      <w:bookmarkStart w:id="218" w:name="_Toc8296522"/>
      <w:r>
        <w:t xml:space="preserve">Reference values to be used in Risk </w:t>
      </w:r>
      <w:proofErr w:type="spellStart"/>
      <w:r>
        <w:t>Characterisation</w:t>
      </w:r>
      <w:bookmarkEnd w:id="217"/>
      <w:bookmarkEnd w:id="21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80"/>
        <w:gridCol w:w="1212"/>
        <w:gridCol w:w="560"/>
        <w:gridCol w:w="1504"/>
        <w:gridCol w:w="2978"/>
      </w:tblGrid>
      <w:tr w:rsidR="00C47639" w:rsidRPr="00FE0250" w14:paraId="205997DA" w14:textId="77777777" w:rsidTr="00C47639">
        <w:tc>
          <w:tcPr>
            <w:tcW w:w="569" w:type="pct"/>
            <w:shd w:val="clear" w:color="auto" w:fill="BFBFBF" w:themeFill="background1" w:themeFillShade="BF"/>
          </w:tcPr>
          <w:p w14:paraId="7D36FDBE" w14:textId="77777777" w:rsidR="00C47639" w:rsidRPr="00FE0250" w:rsidRDefault="00C47639" w:rsidP="00C47639">
            <w:pPr>
              <w:pStyle w:val="Standaard-Tabellen"/>
              <w:rPr>
                <w:b/>
              </w:rPr>
            </w:pPr>
            <w:r w:rsidRPr="00FE0250">
              <w:rPr>
                <w:b/>
              </w:rPr>
              <w:t xml:space="preserve">Reference </w:t>
            </w:r>
          </w:p>
        </w:tc>
        <w:tc>
          <w:tcPr>
            <w:tcW w:w="1012" w:type="pct"/>
            <w:shd w:val="clear" w:color="auto" w:fill="BFBFBF" w:themeFill="background1" w:themeFillShade="BF"/>
          </w:tcPr>
          <w:p w14:paraId="41B14C46" w14:textId="77777777" w:rsidR="00C47639" w:rsidRPr="00FE0250" w:rsidRDefault="00C47639" w:rsidP="00C47639">
            <w:pPr>
              <w:pStyle w:val="Standaard-Tabellen"/>
              <w:rPr>
                <w:b/>
              </w:rPr>
            </w:pPr>
            <w:r w:rsidRPr="00FE0250">
              <w:rPr>
                <w:b/>
              </w:rPr>
              <w:t>Study</w:t>
            </w:r>
          </w:p>
        </w:tc>
        <w:tc>
          <w:tcPr>
            <w:tcW w:w="710" w:type="pct"/>
            <w:shd w:val="clear" w:color="auto" w:fill="BFBFBF" w:themeFill="background1" w:themeFillShade="BF"/>
          </w:tcPr>
          <w:p w14:paraId="49C7E2C9" w14:textId="77777777" w:rsidR="00C47639" w:rsidRPr="00FE0250" w:rsidRDefault="00C47639" w:rsidP="00C47639">
            <w:pPr>
              <w:pStyle w:val="Standaard-Tabellen"/>
              <w:rPr>
                <w:b/>
              </w:rPr>
            </w:pPr>
            <w:r w:rsidRPr="00FE0250">
              <w:rPr>
                <w:b/>
              </w:rPr>
              <w:t>NOAEL (LOAEL)</w:t>
            </w:r>
          </w:p>
        </w:tc>
        <w:tc>
          <w:tcPr>
            <w:tcW w:w="195" w:type="pct"/>
            <w:shd w:val="clear" w:color="auto" w:fill="BFBFBF" w:themeFill="background1" w:themeFillShade="BF"/>
          </w:tcPr>
          <w:p w14:paraId="14540C31" w14:textId="77777777" w:rsidR="00C47639" w:rsidRPr="00FE0250" w:rsidRDefault="00C47639" w:rsidP="00C47639">
            <w:pPr>
              <w:pStyle w:val="Standaard-Tabellen"/>
              <w:rPr>
                <w:b/>
                <w:vertAlign w:val="superscript"/>
              </w:rPr>
            </w:pPr>
            <w:r w:rsidRPr="00FE0250">
              <w:rPr>
                <w:b/>
              </w:rPr>
              <w:t>AF</w:t>
            </w:r>
            <w:r w:rsidRPr="00FE0250">
              <w:rPr>
                <w:b/>
                <w:vertAlign w:val="superscript"/>
              </w:rPr>
              <w:t>1</w:t>
            </w:r>
          </w:p>
        </w:tc>
        <w:tc>
          <w:tcPr>
            <w:tcW w:w="865" w:type="pct"/>
            <w:shd w:val="clear" w:color="auto" w:fill="BFBFBF" w:themeFill="background1" w:themeFillShade="BF"/>
          </w:tcPr>
          <w:p w14:paraId="77647F1A" w14:textId="77777777" w:rsidR="00C47639" w:rsidRPr="00FE0250" w:rsidRDefault="00C47639" w:rsidP="00C47639">
            <w:pPr>
              <w:pStyle w:val="Standaard-Tabellen"/>
              <w:rPr>
                <w:b/>
              </w:rPr>
            </w:pPr>
            <w:r w:rsidRPr="00FE0250">
              <w:rPr>
                <w:b/>
              </w:rPr>
              <w:t>Correction for oral absorption</w:t>
            </w:r>
          </w:p>
        </w:tc>
        <w:tc>
          <w:tcPr>
            <w:tcW w:w="1650" w:type="pct"/>
            <w:shd w:val="clear" w:color="auto" w:fill="BFBFBF" w:themeFill="background1" w:themeFillShade="BF"/>
          </w:tcPr>
          <w:p w14:paraId="656CF756" w14:textId="77777777" w:rsidR="00C47639" w:rsidRPr="00FE0250" w:rsidRDefault="00C47639" w:rsidP="00C47639">
            <w:pPr>
              <w:pStyle w:val="Standaard-Tabellen"/>
              <w:rPr>
                <w:b/>
              </w:rPr>
            </w:pPr>
            <w:r w:rsidRPr="00FE0250">
              <w:rPr>
                <w:b/>
              </w:rPr>
              <w:t>Value</w:t>
            </w:r>
          </w:p>
        </w:tc>
      </w:tr>
      <w:tr w:rsidR="00C47639" w:rsidRPr="00FD2055" w14:paraId="4AD4E50E" w14:textId="77777777" w:rsidTr="00C47639">
        <w:tc>
          <w:tcPr>
            <w:tcW w:w="569" w:type="pct"/>
            <w:shd w:val="clear" w:color="auto" w:fill="auto"/>
          </w:tcPr>
          <w:p w14:paraId="28235878" w14:textId="77777777" w:rsidR="00C47639" w:rsidRPr="00FD2055" w:rsidRDefault="00C47639" w:rsidP="00C47639">
            <w:pPr>
              <w:pStyle w:val="Standaard-Tabellen"/>
            </w:pPr>
            <w:proofErr w:type="spellStart"/>
            <w:r w:rsidRPr="00FD2055">
              <w:t>AELshort</w:t>
            </w:r>
            <w:proofErr w:type="spellEnd"/>
            <w:r w:rsidRPr="00FD2055">
              <w:t>-term</w:t>
            </w:r>
          </w:p>
        </w:tc>
        <w:tc>
          <w:tcPr>
            <w:tcW w:w="1012" w:type="pct"/>
          </w:tcPr>
          <w:p w14:paraId="6F05B800" w14:textId="77777777" w:rsidR="00C47639" w:rsidRDefault="00C47639" w:rsidP="00C47639">
            <w:pPr>
              <w:pStyle w:val="Standaard-Tabellen"/>
            </w:pPr>
            <w:r>
              <w:t>Rabbit, oral, 28-days toxicity study</w:t>
            </w:r>
          </w:p>
          <w:p w14:paraId="4970D1FC" w14:textId="77777777" w:rsidR="00C47639" w:rsidRPr="00FD2055" w:rsidRDefault="00C47639" w:rsidP="00C47639">
            <w:pPr>
              <w:pStyle w:val="Standaard-Tabellen"/>
            </w:pPr>
            <w:r>
              <w:t>Rabbit, oral, developmental study</w:t>
            </w:r>
          </w:p>
        </w:tc>
        <w:tc>
          <w:tcPr>
            <w:tcW w:w="710" w:type="pct"/>
          </w:tcPr>
          <w:p w14:paraId="08347F4D" w14:textId="77777777" w:rsidR="00C47639" w:rsidRDefault="00C47639" w:rsidP="00C47639">
            <w:pPr>
              <w:pStyle w:val="Standaard-Tabellen"/>
              <w:rPr>
                <w:lang w:eastAsia="en-US"/>
              </w:rPr>
            </w:pPr>
            <w:r>
              <w:rPr>
                <w:lang w:eastAsia="en-US"/>
              </w:rPr>
              <w:t xml:space="preserve">500 (1500) mg/kg </w:t>
            </w:r>
            <w:proofErr w:type="spellStart"/>
            <w:r>
              <w:rPr>
                <w:lang w:eastAsia="en-US"/>
              </w:rPr>
              <w:t>bw</w:t>
            </w:r>
            <w:proofErr w:type="spellEnd"/>
            <w:r>
              <w:rPr>
                <w:lang w:eastAsia="en-US"/>
              </w:rPr>
              <w:t>/d</w:t>
            </w:r>
          </w:p>
          <w:p w14:paraId="61045CC6" w14:textId="77777777" w:rsidR="00C47639" w:rsidRDefault="00C47639" w:rsidP="00C47639">
            <w:pPr>
              <w:pStyle w:val="Standaard-Tabellen"/>
              <w:rPr>
                <w:lang w:eastAsia="en-US"/>
              </w:rPr>
            </w:pPr>
          </w:p>
          <w:p w14:paraId="7F6813C8" w14:textId="77777777" w:rsidR="00C47639" w:rsidRPr="00FD2055" w:rsidRDefault="00C47639" w:rsidP="00C47639">
            <w:pPr>
              <w:pStyle w:val="Standaard-Tabellen"/>
            </w:pPr>
            <w:r>
              <w:rPr>
                <w:lang w:eastAsia="en-US"/>
              </w:rPr>
              <w:t xml:space="preserve">300 (600) mg/kg </w:t>
            </w:r>
            <w:proofErr w:type="spellStart"/>
            <w:r>
              <w:rPr>
                <w:lang w:eastAsia="en-US"/>
              </w:rPr>
              <w:t>bw</w:t>
            </w:r>
            <w:proofErr w:type="spellEnd"/>
            <w:r>
              <w:rPr>
                <w:lang w:eastAsia="en-US"/>
              </w:rPr>
              <w:t>/d</w:t>
            </w:r>
          </w:p>
        </w:tc>
        <w:tc>
          <w:tcPr>
            <w:tcW w:w="195" w:type="pct"/>
          </w:tcPr>
          <w:p w14:paraId="56CBE986" w14:textId="77777777" w:rsidR="00C47639" w:rsidRPr="00FD2055" w:rsidRDefault="00C47639" w:rsidP="00C47639">
            <w:pPr>
              <w:pStyle w:val="Standaard-Tabellen"/>
            </w:pPr>
            <w:r>
              <w:rPr>
                <w:lang w:eastAsia="en-US"/>
              </w:rPr>
              <w:t>100</w:t>
            </w:r>
          </w:p>
        </w:tc>
        <w:tc>
          <w:tcPr>
            <w:tcW w:w="865" w:type="pct"/>
          </w:tcPr>
          <w:p w14:paraId="67CA9BE9" w14:textId="77777777" w:rsidR="00C47639" w:rsidRPr="00FD2055" w:rsidRDefault="00C47639" w:rsidP="00C47639">
            <w:pPr>
              <w:pStyle w:val="Standaard-Tabellen"/>
            </w:pPr>
            <w:r>
              <w:rPr>
                <w:lang w:eastAsia="en-US"/>
              </w:rPr>
              <w:t>100%</w:t>
            </w:r>
          </w:p>
        </w:tc>
        <w:tc>
          <w:tcPr>
            <w:tcW w:w="1650" w:type="pct"/>
            <w:shd w:val="clear" w:color="auto" w:fill="auto"/>
          </w:tcPr>
          <w:p w14:paraId="62CC1880" w14:textId="77777777" w:rsidR="00C47639" w:rsidRPr="00FD2055" w:rsidRDefault="00C47639" w:rsidP="00C47639">
            <w:pPr>
              <w:pStyle w:val="Standaard-Tabellen"/>
            </w:pPr>
            <w:r>
              <w:rPr>
                <w:lang w:eastAsia="en-US"/>
              </w:rPr>
              <w:t xml:space="preserve">5 mg/kg </w:t>
            </w:r>
            <w:proofErr w:type="spellStart"/>
            <w:r>
              <w:rPr>
                <w:lang w:eastAsia="en-US"/>
              </w:rPr>
              <w:t>bw</w:t>
            </w:r>
            <w:proofErr w:type="spellEnd"/>
            <w:r>
              <w:rPr>
                <w:lang w:eastAsia="en-US"/>
              </w:rPr>
              <w:t>/d</w:t>
            </w:r>
          </w:p>
        </w:tc>
      </w:tr>
      <w:tr w:rsidR="00C47639" w:rsidRPr="00FD2055" w14:paraId="2BF8E3BF" w14:textId="77777777" w:rsidTr="00C47639">
        <w:tc>
          <w:tcPr>
            <w:tcW w:w="569" w:type="pct"/>
            <w:shd w:val="clear" w:color="auto" w:fill="auto"/>
          </w:tcPr>
          <w:p w14:paraId="64641BE8" w14:textId="77777777" w:rsidR="00C47639" w:rsidRPr="00FD2055" w:rsidRDefault="00C47639" w:rsidP="00C47639">
            <w:pPr>
              <w:pStyle w:val="Standaard-Tabellen"/>
            </w:pPr>
            <w:proofErr w:type="spellStart"/>
            <w:r w:rsidRPr="00FD2055">
              <w:t>AELmedium</w:t>
            </w:r>
            <w:proofErr w:type="spellEnd"/>
            <w:r w:rsidRPr="00FD2055">
              <w:t>-term</w:t>
            </w:r>
          </w:p>
        </w:tc>
        <w:tc>
          <w:tcPr>
            <w:tcW w:w="1012" w:type="pct"/>
          </w:tcPr>
          <w:p w14:paraId="6F8F7A9B" w14:textId="77777777" w:rsidR="00C47639" w:rsidRDefault="00C47639" w:rsidP="00C47639">
            <w:pPr>
              <w:pStyle w:val="Standaard-Tabellen"/>
            </w:pPr>
            <w:r>
              <w:t>Rabbit, oral, 28-days toxicity study</w:t>
            </w:r>
          </w:p>
          <w:p w14:paraId="6E5F78A7" w14:textId="77777777" w:rsidR="00C47639" w:rsidRPr="00FD2055" w:rsidRDefault="00C47639" w:rsidP="00C47639">
            <w:pPr>
              <w:pStyle w:val="Standaard-Tabellen"/>
            </w:pPr>
            <w:r>
              <w:t>Rabbit, oral, developmental study</w:t>
            </w:r>
          </w:p>
        </w:tc>
        <w:tc>
          <w:tcPr>
            <w:tcW w:w="710" w:type="pct"/>
          </w:tcPr>
          <w:p w14:paraId="5FA491AE" w14:textId="77777777" w:rsidR="00C47639" w:rsidRDefault="00C47639" w:rsidP="00C47639">
            <w:pPr>
              <w:pStyle w:val="Standaard-Tabellen"/>
              <w:rPr>
                <w:lang w:eastAsia="en-US"/>
              </w:rPr>
            </w:pPr>
            <w:r>
              <w:rPr>
                <w:lang w:eastAsia="en-US"/>
              </w:rPr>
              <w:t xml:space="preserve">500 (1500) mg/kg </w:t>
            </w:r>
            <w:proofErr w:type="spellStart"/>
            <w:r>
              <w:rPr>
                <w:lang w:eastAsia="en-US"/>
              </w:rPr>
              <w:t>bw</w:t>
            </w:r>
            <w:proofErr w:type="spellEnd"/>
            <w:r>
              <w:rPr>
                <w:lang w:eastAsia="en-US"/>
              </w:rPr>
              <w:t>/d</w:t>
            </w:r>
          </w:p>
          <w:p w14:paraId="4775B985" w14:textId="77777777" w:rsidR="00C47639" w:rsidRDefault="00C47639" w:rsidP="00C47639">
            <w:pPr>
              <w:pStyle w:val="Standaard-Tabellen"/>
              <w:rPr>
                <w:lang w:eastAsia="en-US"/>
              </w:rPr>
            </w:pPr>
          </w:p>
          <w:p w14:paraId="0A5B0015" w14:textId="77777777" w:rsidR="00C47639" w:rsidRPr="00FD2055" w:rsidRDefault="00C47639" w:rsidP="00C47639">
            <w:pPr>
              <w:pStyle w:val="Standaard-Tabellen"/>
            </w:pPr>
            <w:r>
              <w:rPr>
                <w:lang w:eastAsia="en-US"/>
              </w:rPr>
              <w:t xml:space="preserve">300 (600) mg/kg </w:t>
            </w:r>
            <w:proofErr w:type="spellStart"/>
            <w:r>
              <w:rPr>
                <w:lang w:eastAsia="en-US"/>
              </w:rPr>
              <w:t>bw</w:t>
            </w:r>
            <w:proofErr w:type="spellEnd"/>
            <w:r>
              <w:rPr>
                <w:lang w:eastAsia="en-US"/>
              </w:rPr>
              <w:t>/d</w:t>
            </w:r>
          </w:p>
        </w:tc>
        <w:tc>
          <w:tcPr>
            <w:tcW w:w="195" w:type="pct"/>
          </w:tcPr>
          <w:p w14:paraId="601ED428" w14:textId="77777777" w:rsidR="00C47639" w:rsidRPr="00FD2055" w:rsidRDefault="00C47639" w:rsidP="00C47639">
            <w:pPr>
              <w:pStyle w:val="Standaard-Tabellen"/>
            </w:pPr>
            <w:r>
              <w:rPr>
                <w:lang w:eastAsia="en-US"/>
              </w:rPr>
              <w:t>100</w:t>
            </w:r>
          </w:p>
        </w:tc>
        <w:tc>
          <w:tcPr>
            <w:tcW w:w="865" w:type="pct"/>
          </w:tcPr>
          <w:p w14:paraId="19BDFB05" w14:textId="77777777" w:rsidR="00C47639" w:rsidRPr="00FD2055" w:rsidRDefault="00C47639" w:rsidP="00C47639">
            <w:pPr>
              <w:pStyle w:val="Standaard-Tabellen"/>
            </w:pPr>
            <w:r>
              <w:rPr>
                <w:lang w:eastAsia="en-US"/>
              </w:rPr>
              <w:t>100%</w:t>
            </w:r>
          </w:p>
        </w:tc>
        <w:tc>
          <w:tcPr>
            <w:tcW w:w="1650" w:type="pct"/>
            <w:shd w:val="clear" w:color="auto" w:fill="auto"/>
          </w:tcPr>
          <w:p w14:paraId="2853A54B" w14:textId="77777777" w:rsidR="00C47639" w:rsidRPr="00FD2055" w:rsidRDefault="00C47639" w:rsidP="00C47639">
            <w:pPr>
              <w:pStyle w:val="Standaard-Tabellen"/>
            </w:pPr>
            <w:r>
              <w:rPr>
                <w:lang w:eastAsia="en-US"/>
              </w:rPr>
              <w:t xml:space="preserve">5 mg/kg </w:t>
            </w:r>
            <w:proofErr w:type="spellStart"/>
            <w:r>
              <w:rPr>
                <w:lang w:eastAsia="en-US"/>
              </w:rPr>
              <w:t>bw</w:t>
            </w:r>
            <w:proofErr w:type="spellEnd"/>
            <w:r>
              <w:rPr>
                <w:lang w:eastAsia="en-US"/>
              </w:rPr>
              <w:t>/d</w:t>
            </w:r>
          </w:p>
        </w:tc>
      </w:tr>
      <w:tr w:rsidR="00C47639" w:rsidRPr="00FD2055" w14:paraId="3918F1A8" w14:textId="77777777" w:rsidTr="00C47639">
        <w:tc>
          <w:tcPr>
            <w:tcW w:w="569" w:type="pct"/>
            <w:shd w:val="clear" w:color="auto" w:fill="auto"/>
          </w:tcPr>
          <w:p w14:paraId="0645E464" w14:textId="77777777" w:rsidR="00C47639" w:rsidRPr="00FD2055" w:rsidRDefault="00C47639" w:rsidP="00C47639">
            <w:pPr>
              <w:pStyle w:val="Standaard-Tabellen"/>
            </w:pPr>
            <w:proofErr w:type="spellStart"/>
            <w:r w:rsidRPr="00FD2055">
              <w:t>AELlong</w:t>
            </w:r>
            <w:proofErr w:type="spellEnd"/>
            <w:r w:rsidRPr="00FD2055">
              <w:t>-term</w:t>
            </w:r>
          </w:p>
        </w:tc>
        <w:tc>
          <w:tcPr>
            <w:tcW w:w="1012" w:type="pct"/>
          </w:tcPr>
          <w:p w14:paraId="4257872D" w14:textId="77777777" w:rsidR="00C47639" w:rsidRDefault="00C47639" w:rsidP="00C47639">
            <w:pPr>
              <w:pStyle w:val="Standaard-Tabellen"/>
            </w:pPr>
            <w:r>
              <w:t>Rabbit, oral, 28-days toxicity study</w:t>
            </w:r>
          </w:p>
          <w:p w14:paraId="32E9A1B0" w14:textId="77777777" w:rsidR="00C47639" w:rsidRPr="00FD2055" w:rsidRDefault="00C47639" w:rsidP="00C47639">
            <w:pPr>
              <w:pStyle w:val="Standaard-Tabellen"/>
            </w:pPr>
            <w:r>
              <w:t>Rabbit, oral, developmental study</w:t>
            </w:r>
          </w:p>
        </w:tc>
        <w:tc>
          <w:tcPr>
            <w:tcW w:w="710" w:type="pct"/>
          </w:tcPr>
          <w:p w14:paraId="47ECBCB2" w14:textId="77777777" w:rsidR="00C47639" w:rsidRDefault="00C47639" w:rsidP="00C47639">
            <w:pPr>
              <w:pStyle w:val="Standaard-Tabellen"/>
              <w:rPr>
                <w:lang w:eastAsia="en-US"/>
              </w:rPr>
            </w:pPr>
            <w:r>
              <w:rPr>
                <w:lang w:eastAsia="en-US"/>
              </w:rPr>
              <w:t xml:space="preserve">500 (1500) mg/kg </w:t>
            </w:r>
            <w:proofErr w:type="spellStart"/>
            <w:r>
              <w:rPr>
                <w:lang w:eastAsia="en-US"/>
              </w:rPr>
              <w:t>bw</w:t>
            </w:r>
            <w:proofErr w:type="spellEnd"/>
            <w:r>
              <w:rPr>
                <w:lang w:eastAsia="en-US"/>
              </w:rPr>
              <w:t>/d</w:t>
            </w:r>
          </w:p>
          <w:p w14:paraId="600FD7BF" w14:textId="77777777" w:rsidR="00C47639" w:rsidRDefault="00C47639" w:rsidP="00C47639">
            <w:pPr>
              <w:pStyle w:val="Standaard-Tabellen"/>
              <w:rPr>
                <w:lang w:eastAsia="en-US"/>
              </w:rPr>
            </w:pPr>
          </w:p>
          <w:p w14:paraId="5AD4A77B" w14:textId="77777777" w:rsidR="00C47639" w:rsidRPr="00FD2055" w:rsidRDefault="00C47639" w:rsidP="00C47639">
            <w:pPr>
              <w:pStyle w:val="Standaard-Tabellen"/>
            </w:pPr>
            <w:r>
              <w:rPr>
                <w:lang w:eastAsia="en-US"/>
              </w:rPr>
              <w:t xml:space="preserve">300 (600) mg/kg </w:t>
            </w:r>
            <w:proofErr w:type="spellStart"/>
            <w:r>
              <w:rPr>
                <w:lang w:eastAsia="en-US"/>
              </w:rPr>
              <w:t>bw</w:t>
            </w:r>
            <w:proofErr w:type="spellEnd"/>
            <w:r>
              <w:rPr>
                <w:lang w:eastAsia="en-US"/>
              </w:rPr>
              <w:t>/d</w:t>
            </w:r>
          </w:p>
        </w:tc>
        <w:tc>
          <w:tcPr>
            <w:tcW w:w="195" w:type="pct"/>
          </w:tcPr>
          <w:p w14:paraId="2B2A0582" w14:textId="77777777" w:rsidR="00C47639" w:rsidRPr="00FD2055" w:rsidRDefault="00C47639" w:rsidP="00C47639">
            <w:pPr>
              <w:pStyle w:val="Standaard-Tabellen"/>
            </w:pPr>
            <w:r>
              <w:rPr>
                <w:lang w:eastAsia="en-US"/>
              </w:rPr>
              <w:t>100</w:t>
            </w:r>
          </w:p>
        </w:tc>
        <w:tc>
          <w:tcPr>
            <w:tcW w:w="865" w:type="pct"/>
          </w:tcPr>
          <w:p w14:paraId="06220E51" w14:textId="77777777" w:rsidR="00C47639" w:rsidRPr="00FD2055" w:rsidRDefault="00C47639" w:rsidP="00C47639">
            <w:pPr>
              <w:pStyle w:val="Standaard-Tabellen"/>
            </w:pPr>
            <w:r>
              <w:rPr>
                <w:lang w:eastAsia="en-US"/>
              </w:rPr>
              <w:t>100%</w:t>
            </w:r>
          </w:p>
        </w:tc>
        <w:tc>
          <w:tcPr>
            <w:tcW w:w="1650" w:type="pct"/>
            <w:shd w:val="clear" w:color="auto" w:fill="auto"/>
          </w:tcPr>
          <w:p w14:paraId="638BF4D8" w14:textId="77777777" w:rsidR="00C47639" w:rsidRDefault="00C47639" w:rsidP="00C47639">
            <w:pPr>
              <w:pStyle w:val="Standaard-Tabellen"/>
            </w:pPr>
            <w:r>
              <w:t xml:space="preserve">5 mg/kg </w:t>
            </w:r>
            <w:proofErr w:type="spellStart"/>
            <w:r>
              <w:t>bw</w:t>
            </w:r>
            <w:proofErr w:type="spellEnd"/>
            <w:r>
              <w:t>/d</w:t>
            </w:r>
          </w:p>
          <w:p w14:paraId="0B3CDDE3" w14:textId="77777777" w:rsidR="00C47639" w:rsidRPr="00FD2055" w:rsidRDefault="00C47639" w:rsidP="00C47639">
            <w:pPr>
              <w:pStyle w:val="Standaard-Tabellen"/>
            </w:pPr>
            <w:r>
              <w:t>(not applicable here, maximum number of applications is 28 days per year)</w:t>
            </w:r>
          </w:p>
        </w:tc>
      </w:tr>
      <w:tr w:rsidR="00C47639" w:rsidRPr="00FD2055" w14:paraId="6F903DC0" w14:textId="77777777" w:rsidTr="00C47639">
        <w:tc>
          <w:tcPr>
            <w:tcW w:w="569" w:type="pct"/>
            <w:shd w:val="clear" w:color="auto" w:fill="auto"/>
          </w:tcPr>
          <w:p w14:paraId="0CFB899C" w14:textId="77777777" w:rsidR="00C47639" w:rsidRPr="00FD2055" w:rsidRDefault="00C47639" w:rsidP="00C47639">
            <w:pPr>
              <w:pStyle w:val="Standaard-Tabellen"/>
            </w:pPr>
            <w:proofErr w:type="spellStart"/>
            <w:r w:rsidRPr="00FD2055">
              <w:t>ARfD</w:t>
            </w:r>
            <w:proofErr w:type="spellEnd"/>
          </w:p>
        </w:tc>
        <w:tc>
          <w:tcPr>
            <w:tcW w:w="1012" w:type="pct"/>
          </w:tcPr>
          <w:p w14:paraId="28DAD567" w14:textId="77777777" w:rsidR="00C47639" w:rsidRPr="00FD2055" w:rsidRDefault="00C47639" w:rsidP="00C47639">
            <w:pPr>
              <w:pStyle w:val="Standaard-Tabellen"/>
            </w:pPr>
            <w:proofErr w:type="spellStart"/>
            <w:r>
              <w:rPr>
                <w:lang w:eastAsia="en-US"/>
              </w:rPr>
              <w:t>n.a</w:t>
            </w:r>
            <w:proofErr w:type="spellEnd"/>
            <w:r>
              <w:rPr>
                <w:lang w:eastAsia="en-US"/>
              </w:rPr>
              <w:t>.</w:t>
            </w:r>
          </w:p>
        </w:tc>
        <w:tc>
          <w:tcPr>
            <w:tcW w:w="710" w:type="pct"/>
          </w:tcPr>
          <w:p w14:paraId="6E399EF1" w14:textId="77777777" w:rsidR="00C47639" w:rsidRPr="00FD2055" w:rsidRDefault="00C47639" w:rsidP="00C47639">
            <w:pPr>
              <w:pStyle w:val="Standaard-Tabellen"/>
            </w:pPr>
            <w:proofErr w:type="spellStart"/>
            <w:r>
              <w:rPr>
                <w:lang w:eastAsia="en-US"/>
              </w:rPr>
              <w:t>n.a</w:t>
            </w:r>
            <w:proofErr w:type="spellEnd"/>
            <w:r>
              <w:rPr>
                <w:lang w:eastAsia="en-US"/>
              </w:rPr>
              <w:t>.</w:t>
            </w:r>
          </w:p>
        </w:tc>
        <w:tc>
          <w:tcPr>
            <w:tcW w:w="195" w:type="pct"/>
          </w:tcPr>
          <w:p w14:paraId="33936B2D" w14:textId="77777777" w:rsidR="00C47639" w:rsidRPr="00FD2055" w:rsidRDefault="00C47639" w:rsidP="00C47639">
            <w:pPr>
              <w:pStyle w:val="Standaard-Tabellen"/>
            </w:pPr>
          </w:p>
        </w:tc>
        <w:tc>
          <w:tcPr>
            <w:tcW w:w="865" w:type="pct"/>
          </w:tcPr>
          <w:p w14:paraId="39837F48" w14:textId="77777777" w:rsidR="00C47639" w:rsidRPr="00FD2055" w:rsidRDefault="00C47639" w:rsidP="00C47639">
            <w:pPr>
              <w:pStyle w:val="Standaard-Tabellen"/>
            </w:pPr>
          </w:p>
        </w:tc>
        <w:tc>
          <w:tcPr>
            <w:tcW w:w="1650" w:type="pct"/>
            <w:shd w:val="clear" w:color="auto" w:fill="auto"/>
          </w:tcPr>
          <w:p w14:paraId="04B6B025" w14:textId="77777777" w:rsidR="00C47639" w:rsidRPr="00FD2055" w:rsidRDefault="00C47639" w:rsidP="00C47639">
            <w:pPr>
              <w:pStyle w:val="Standaard-Tabellen"/>
            </w:pPr>
            <w:r>
              <w:t>not applicable, no residues in food or feed occur</w:t>
            </w:r>
          </w:p>
        </w:tc>
      </w:tr>
      <w:tr w:rsidR="00C47639" w:rsidRPr="00FD2055" w14:paraId="25DE4A76" w14:textId="77777777" w:rsidTr="00C47639">
        <w:tc>
          <w:tcPr>
            <w:tcW w:w="569" w:type="pct"/>
            <w:shd w:val="clear" w:color="auto" w:fill="auto"/>
          </w:tcPr>
          <w:p w14:paraId="0B9DE571" w14:textId="77777777" w:rsidR="00C47639" w:rsidRPr="00FD2055" w:rsidRDefault="00C47639" w:rsidP="00C47639">
            <w:pPr>
              <w:pStyle w:val="Standaard-Tabellen"/>
            </w:pPr>
            <w:r w:rsidRPr="00FD2055">
              <w:t>ADI</w:t>
            </w:r>
          </w:p>
        </w:tc>
        <w:tc>
          <w:tcPr>
            <w:tcW w:w="1012" w:type="pct"/>
          </w:tcPr>
          <w:p w14:paraId="4377C8BD" w14:textId="77777777" w:rsidR="00C47639" w:rsidRPr="00FD2055" w:rsidRDefault="00C47639" w:rsidP="00C47639">
            <w:pPr>
              <w:pStyle w:val="Standaard-Tabellen"/>
            </w:pPr>
            <w:proofErr w:type="spellStart"/>
            <w:r>
              <w:rPr>
                <w:lang w:eastAsia="en-US"/>
              </w:rPr>
              <w:t>n.a</w:t>
            </w:r>
            <w:proofErr w:type="spellEnd"/>
            <w:r>
              <w:rPr>
                <w:lang w:eastAsia="en-US"/>
              </w:rPr>
              <w:t>.</w:t>
            </w:r>
          </w:p>
        </w:tc>
        <w:tc>
          <w:tcPr>
            <w:tcW w:w="710" w:type="pct"/>
          </w:tcPr>
          <w:p w14:paraId="655CC656" w14:textId="77777777" w:rsidR="00C47639" w:rsidRPr="00FD2055" w:rsidRDefault="00C47639" w:rsidP="00C47639">
            <w:pPr>
              <w:pStyle w:val="Standaard-Tabellen"/>
            </w:pPr>
            <w:proofErr w:type="spellStart"/>
            <w:r>
              <w:rPr>
                <w:lang w:eastAsia="en-US"/>
              </w:rPr>
              <w:t>n.a</w:t>
            </w:r>
            <w:proofErr w:type="spellEnd"/>
            <w:r>
              <w:rPr>
                <w:lang w:eastAsia="en-US"/>
              </w:rPr>
              <w:t>.</w:t>
            </w:r>
          </w:p>
        </w:tc>
        <w:tc>
          <w:tcPr>
            <w:tcW w:w="195" w:type="pct"/>
          </w:tcPr>
          <w:p w14:paraId="3331BC9E" w14:textId="77777777" w:rsidR="00C47639" w:rsidRPr="00FD2055" w:rsidRDefault="00C47639" w:rsidP="00C47639">
            <w:pPr>
              <w:pStyle w:val="Standaard-Tabellen"/>
            </w:pPr>
          </w:p>
        </w:tc>
        <w:tc>
          <w:tcPr>
            <w:tcW w:w="865" w:type="pct"/>
          </w:tcPr>
          <w:p w14:paraId="161DB80B" w14:textId="77777777" w:rsidR="00C47639" w:rsidRPr="00FD2055" w:rsidRDefault="00C47639" w:rsidP="00C47639">
            <w:pPr>
              <w:pStyle w:val="Standaard-Tabellen"/>
            </w:pPr>
          </w:p>
        </w:tc>
        <w:tc>
          <w:tcPr>
            <w:tcW w:w="1650" w:type="pct"/>
            <w:shd w:val="clear" w:color="auto" w:fill="auto"/>
          </w:tcPr>
          <w:p w14:paraId="0D2A2BC8" w14:textId="77777777" w:rsidR="00C47639" w:rsidRPr="00FD2055" w:rsidRDefault="00C47639" w:rsidP="00C47639">
            <w:pPr>
              <w:pStyle w:val="Standaard-Tabellen"/>
            </w:pPr>
            <w:r>
              <w:t>not applicable, no residues in food or feed occur</w:t>
            </w:r>
          </w:p>
        </w:tc>
      </w:tr>
    </w:tbl>
    <w:p w14:paraId="5BDB4A30" w14:textId="77777777" w:rsidR="00C47639" w:rsidRPr="00FD2055" w:rsidRDefault="00C47639" w:rsidP="00C47639">
      <w:pPr>
        <w:pStyle w:val="Voetnoot"/>
      </w:pPr>
      <w:r w:rsidRPr="00FD2055">
        <w:rPr>
          <w:vertAlign w:val="superscript"/>
        </w:rPr>
        <w:t>1</w:t>
      </w:r>
      <w:r w:rsidRPr="00071FD4">
        <w:rPr>
          <w:iCs/>
        </w:rPr>
        <w:t xml:space="preserve"> </w:t>
      </w:r>
      <w:r>
        <w:rPr>
          <w:iCs/>
        </w:rPr>
        <w:t>reason for assessment factor: f</w:t>
      </w:r>
      <w:r w:rsidRPr="004B5CD8">
        <w:rPr>
          <w:iCs/>
        </w:rPr>
        <w:t>actor 10 for both intra-species and interspecies differences</w:t>
      </w:r>
      <w:r>
        <w:rPr>
          <w:iCs/>
        </w:rPr>
        <w:t>. No extrapolation factor for duration is needed, as the overall NOAEL is derived from a repeated 28d-oral toxicity study and a teratogenicity study.</w:t>
      </w:r>
    </w:p>
    <w:p w14:paraId="06B9EB8F" w14:textId="77777777" w:rsidR="00C47639" w:rsidRPr="00FD2055" w:rsidRDefault="00C47639" w:rsidP="00C47639">
      <w:pPr>
        <w:spacing w:line="260" w:lineRule="atLeast"/>
        <w:jc w:val="both"/>
      </w:pPr>
    </w:p>
    <w:p w14:paraId="258E7171" w14:textId="77777777" w:rsidR="00C47639" w:rsidRDefault="00C47639" w:rsidP="00C47639">
      <w:pPr>
        <w:spacing w:before="0" w:after="160" w:line="259" w:lineRule="auto"/>
      </w:pPr>
      <w:r>
        <w:br w:type="page"/>
      </w:r>
    </w:p>
    <w:p w14:paraId="64A2C122" w14:textId="77777777" w:rsidR="00C47639" w:rsidRPr="00FD2055" w:rsidRDefault="00C47639" w:rsidP="00C371C6">
      <w:pPr>
        <w:pStyle w:val="Titre5"/>
        <w:numPr>
          <w:ilvl w:val="0"/>
          <w:numId w:val="34"/>
        </w:numPr>
      </w:pPr>
      <w:bookmarkStart w:id="219" w:name="_Toc403472775"/>
      <w:bookmarkStart w:id="220" w:name="_Toc389729089"/>
      <w:bookmarkStart w:id="221" w:name="_Toc532391109"/>
      <w:bookmarkStart w:id="222" w:name="_Toc8296523"/>
      <w:r w:rsidRPr="00FD2055">
        <w:lastRenderedPageBreak/>
        <w:t>Risk for industrial users</w:t>
      </w:r>
      <w:bookmarkEnd w:id="219"/>
      <w:bookmarkEnd w:id="220"/>
      <w:bookmarkEnd w:id="221"/>
      <w:bookmarkEnd w:id="222"/>
    </w:p>
    <w:p w14:paraId="52D82153" w14:textId="77777777" w:rsidR="00C47639" w:rsidRPr="00FD2055" w:rsidRDefault="00C47639" w:rsidP="00C47639">
      <w:pPr>
        <w:pStyle w:val="Titre6"/>
      </w:pPr>
      <w:proofErr w:type="spellStart"/>
      <w:r w:rsidRPr="00FD2055">
        <w:t>Systemic</w:t>
      </w:r>
      <w:proofErr w:type="spellEnd"/>
      <w:r w:rsidRPr="00FD2055">
        <w:t xml:space="preserve"> </w:t>
      </w:r>
      <w:proofErr w:type="spellStart"/>
      <w:r w:rsidRPr="00FD2055">
        <w:t>effects</w:t>
      </w:r>
      <w:proofErr w:type="spellEnd"/>
      <w:r w:rsidRPr="00FD2055">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610"/>
        <w:gridCol w:w="1334"/>
        <w:gridCol w:w="1074"/>
        <w:gridCol w:w="1438"/>
        <w:gridCol w:w="1594"/>
        <w:gridCol w:w="1323"/>
      </w:tblGrid>
      <w:tr w:rsidR="00C47639" w:rsidRPr="00C82D5E" w14:paraId="1DC735D6" w14:textId="77777777" w:rsidTr="00C47639">
        <w:tc>
          <w:tcPr>
            <w:tcW w:w="0" w:type="auto"/>
            <w:shd w:val="clear" w:color="auto" w:fill="BFBFBF" w:themeFill="background1" w:themeFillShade="BF"/>
          </w:tcPr>
          <w:p w14:paraId="48833D2D" w14:textId="77777777" w:rsidR="00C47639" w:rsidRPr="00C82D5E" w:rsidRDefault="00C47639" w:rsidP="00C47639">
            <w:pPr>
              <w:pStyle w:val="Standaard-Tabellen"/>
              <w:rPr>
                <w:b/>
              </w:rPr>
            </w:pPr>
            <w:r w:rsidRPr="00C82D5E">
              <w:rPr>
                <w:b/>
              </w:rPr>
              <w:t>Task/</w:t>
            </w:r>
          </w:p>
          <w:p w14:paraId="6DCEC0E2" w14:textId="77777777" w:rsidR="00C47639" w:rsidRPr="00C82D5E" w:rsidRDefault="00C47639" w:rsidP="00C47639">
            <w:pPr>
              <w:pStyle w:val="Standaard-Tabellen"/>
              <w:rPr>
                <w:b/>
              </w:rPr>
            </w:pPr>
            <w:r w:rsidRPr="00C82D5E">
              <w:rPr>
                <w:b/>
              </w:rPr>
              <w:t>Scenario</w:t>
            </w:r>
          </w:p>
        </w:tc>
        <w:tc>
          <w:tcPr>
            <w:tcW w:w="0" w:type="auto"/>
            <w:shd w:val="clear" w:color="auto" w:fill="BFBFBF" w:themeFill="background1" w:themeFillShade="BF"/>
          </w:tcPr>
          <w:p w14:paraId="2FCAA0A1" w14:textId="77777777" w:rsidR="00C47639" w:rsidRPr="00C82D5E" w:rsidRDefault="00C47639" w:rsidP="00C47639">
            <w:pPr>
              <w:pStyle w:val="Standaard-Tabellen"/>
              <w:rPr>
                <w:b/>
              </w:rPr>
            </w:pPr>
            <w:r w:rsidRPr="00C82D5E">
              <w:rPr>
                <w:b/>
              </w:rPr>
              <w:t>Tier</w:t>
            </w:r>
          </w:p>
        </w:tc>
        <w:tc>
          <w:tcPr>
            <w:tcW w:w="0" w:type="auto"/>
            <w:shd w:val="clear" w:color="auto" w:fill="BFBFBF" w:themeFill="background1" w:themeFillShade="BF"/>
          </w:tcPr>
          <w:p w14:paraId="0B810427" w14:textId="77777777" w:rsidR="00C47639" w:rsidRPr="00C82D5E" w:rsidRDefault="00C47639" w:rsidP="00C47639">
            <w:pPr>
              <w:pStyle w:val="Standaard-Tabellen"/>
              <w:rPr>
                <w:b/>
              </w:rPr>
            </w:pPr>
            <w:r w:rsidRPr="00C82D5E">
              <w:rPr>
                <w:b/>
              </w:rPr>
              <w:t>Systemic NOAEL</w:t>
            </w:r>
          </w:p>
          <w:p w14:paraId="6F890077"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0" w:type="auto"/>
            <w:shd w:val="clear" w:color="auto" w:fill="BFBFBF" w:themeFill="background1" w:themeFillShade="BF"/>
          </w:tcPr>
          <w:p w14:paraId="75E3CD30" w14:textId="77777777" w:rsidR="00C47639" w:rsidRPr="00C82D5E" w:rsidRDefault="00C47639" w:rsidP="00C47639">
            <w:pPr>
              <w:pStyle w:val="Standaard-Tabellen"/>
              <w:rPr>
                <w:b/>
                <w:lang w:val="es-ES"/>
              </w:rPr>
            </w:pPr>
            <w:r w:rsidRPr="00C82D5E">
              <w:rPr>
                <w:b/>
                <w:lang w:val="es-ES"/>
              </w:rPr>
              <w:t>AEL</w:t>
            </w:r>
          </w:p>
          <w:p w14:paraId="3F43A34C" w14:textId="77777777" w:rsidR="00C47639" w:rsidRPr="00C82D5E" w:rsidRDefault="00C47639" w:rsidP="00C47639">
            <w:pPr>
              <w:pStyle w:val="Standaard-Tabellen"/>
              <w:rPr>
                <w:b/>
                <w:lang w:val="es-ES"/>
              </w:rPr>
            </w:pPr>
            <w:r w:rsidRPr="00C82D5E">
              <w:rPr>
                <w:b/>
                <w:lang w:val="es-ES"/>
              </w:rPr>
              <w:t xml:space="preserve">mg/kg </w:t>
            </w:r>
            <w:proofErr w:type="spellStart"/>
            <w:r w:rsidRPr="00C82D5E">
              <w:rPr>
                <w:b/>
                <w:lang w:val="es-ES"/>
              </w:rPr>
              <w:t>bw</w:t>
            </w:r>
            <w:proofErr w:type="spellEnd"/>
            <w:r w:rsidRPr="00C82D5E">
              <w:rPr>
                <w:b/>
                <w:lang w:val="es-ES"/>
              </w:rPr>
              <w:t>/d</w:t>
            </w:r>
          </w:p>
        </w:tc>
        <w:tc>
          <w:tcPr>
            <w:tcW w:w="0" w:type="auto"/>
            <w:shd w:val="clear" w:color="auto" w:fill="BFBFBF" w:themeFill="background1" w:themeFillShade="BF"/>
          </w:tcPr>
          <w:p w14:paraId="20DC7400" w14:textId="77777777" w:rsidR="00C47639" w:rsidRPr="00C82D5E" w:rsidRDefault="00C47639" w:rsidP="00C47639">
            <w:pPr>
              <w:pStyle w:val="Standaard-Tabellen"/>
              <w:rPr>
                <w:b/>
              </w:rPr>
            </w:pPr>
            <w:r w:rsidRPr="00C82D5E">
              <w:rPr>
                <w:b/>
              </w:rPr>
              <w:t>Estimated uptake</w:t>
            </w:r>
          </w:p>
          <w:p w14:paraId="445AF23A"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0" w:type="auto"/>
            <w:shd w:val="clear" w:color="auto" w:fill="BFBFBF" w:themeFill="background1" w:themeFillShade="BF"/>
          </w:tcPr>
          <w:p w14:paraId="700B66D2" w14:textId="77777777" w:rsidR="00C47639" w:rsidRPr="00C82D5E" w:rsidRDefault="00C47639" w:rsidP="00C47639">
            <w:pPr>
              <w:pStyle w:val="Standaard-Tabellen"/>
              <w:rPr>
                <w:b/>
              </w:rPr>
            </w:pPr>
            <w:r w:rsidRPr="00C82D5E">
              <w:rPr>
                <w:b/>
              </w:rPr>
              <w:t xml:space="preserve">Estimated uptake/ AEL </w:t>
            </w:r>
          </w:p>
          <w:p w14:paraId="007478A2" w14:textId="77777777" w:rsidR="00C47639" w:rsidRPr="00C82D5E" w:rsidRDefault="00C47639" w:rsidP="00C47639">
            <w:pPr>
              <w:pStyle w:val="Standaard-Tabellen"/>
              <w:rPr>
                <w:b/>
              </w:rPr>
            </w:pPr>
            <w:r w:rsidRPr="00C82D5E">
              <w:rPr>
                <w:b/>
              </w:rPr>
              <w:t>(%)</w:t>
            </w:r>
          </w:p>
        </w:tc>
        <w:tc>
          <w:tcPr>
            <w:tcW w:w="0" w:type="auto"/>
            <w:shd w:val="clear" w:color="auto" w:fill="BFBFBF" w:themeFill="background1" w:themeFillShade="BF"/>
          </w:tcPr>
          <w:p w14:paraId="0F449986" w14:textId="77777777" w:rsidR="00C47639" w:rsidRPr="00C82D5E" w:rsidRDefault="00C47639" w:rsidP="00C47639">
            <w:pPr>
              <w:pStyle w:val="Standaard-Tabellen"/>
              <w:rPr>
                <w:b/>
              </w:rPr>
            </w:pPr>
            <w:r w:rsidRPr="00C82D5E">
              <w:rPr>
                <w:b/>
              </w:rPr>
              <w:t>Acceptable</w:t>
            </w:r>
          </w:p>
          <w:p w14:paraId="55C265C6" w14:textId="77777777" w:rsidR="00C47639" w:rsidRPr="00C82D5E" w:rsidRDefault="00C47639" w:rsidP="00C47639">
            <w:pPr>
              <w:pStyle w:val="Standaard-Tabellen"/>
              <w:rPr>
                <w:b/>
              </w:rPr>
            </w:pPr>
            <w:r w:rsidRPr="00C82D5E">
              <w:rPr>
                <w:b/>
              </w:rPr>
              <w:t>(yes/no)</w:t>
            </w:r>
          </w:p>
        </w:tc>
      </w:tr>
      <w:tr w:rsidR="00C47639" w:rsidRPr="00FD2055" w14:paraId="216C4F37" w14:textId="77777777" w:rsidTr="00C47639">
        <w:tc>
          <w:tcPr>
            <w:tcW w:w="0" w:type="auto"/>
            <w:shd w:val="clear" w:color="auto" w:fill="auto"/>
          </w:tcPr>
          <w:p w14:paraId="7E6906E4" w14:textId="77777777" w:rsidR="00C47639" w:rsidRPr="00FD2055" w:rsidRDefault="00C47639" w:rsidP="00C47639">
            <w:pPr>
              <w:pStyle w:val="Standaard-Tabellen"/>
            </w:pPr>
            <w:r>
              <w:rPr>
                <w:lang w:eastAsia="en-US"/>
              </w:rPr>
              <w:t>Scenario 6, mixing &amp; loading, professional</w:t>
            </w:r>
          </w:p>
        </w:tc>
        <w:tc>
          <w:tcPr>
            <w:tcW w:w="0" w:type="auto"/>
            <w:shd w:val="clear" w:color="auto" w:fill="auto"/>
          </w:tcPr>
          <w:p w14:paraId="1E3A42DB" w14:textId="77777777" w:rsidR="00C47639" w:rsidRPr="00FD2055" w:rsidRDefault="00C47639" w:rsidP="00C47639">
            <w:pPr>
              <w:pStyle w:val="Standaard-Tabellen"/>
            </w:pPr>
            <w:r>
              <w:rPr>
                <w:lang w:eastAsia="en-US"/>
              </w:rPr>
              <w:t>1</w:t>
            </w:r>
          </w:p>
        </w:tc>
        <w:tc>
          <w:tcPr>
            <w:tcW w:w="0" w:type="auto"/>
            <w:shd w:val="clear" w:color="auto" w:fill="auto"/>
          </w:tcPr>
          <w:p w14:paraId="3C237FEF" w14:textId="77777777" w:rsidR="00C47639" w:rsidRPr="00FD2055" w:rsidRDefault="00C47639" w:rsidP="00C47639">
            <w:pPr>
              <w:pStyle w:val="Standaard-Tabellen"/>
            </w:pPr>
            <w:r w:rsidRPr="0091532F">
              <w:rPr>
                <w:szCs w:val="18"/>
                <w:lang w:eastAsia="en-US"/>
              </w:rPr>
              <w:t xml:space="preserve">500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38EFCC64" w14:textId="77777777" w:rsidR="00C47639" w:rsidRPr="00FD2055" w:rsidRDefault="00C47639" w:rsidP="00C47639">
            <w:pPr>
              <w:pStyle w:val="Standaard-Tabellen"/>
            </w:pPr>
            <w:r w:rsidRPr="0091532F">
              <w:rPr>
                <w:szCs w:val="18"/>
                <w:lang w:eastAsia="en-US"/>
              </w:rPr>
              <w:t xml:space="preserve">5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6280E6A0" w14:textId="77777777" w:rsidR="00C47639" w:rsidRPr="00FD2055" w:rsidRDefault="00C47639" w:rsidP="00C47639">
            <w:pPr>
              <w:pStyle w:val="Standaard-Tabellen"/>
            </w:pPr>
            <w:r>
              <w:t xml:space="preserve">8.5 mg/kg </w:t>
            </w:r>
            <w:proofErr w:type="spellStart"/>
            <w:r>
              <w:t>bw</w:t>
            </w:r>
            <w:proofErr w:type="spellEnd"/>
            <w:r>
              <w:t>/d</w:t>
            </w:r>
          </w:p>
        </w:tc>
        <w:tc>
          <w:tcPr>
            <w:tcW w:w="0" w:type="auto"/>
            <w:shd w:val="clear" w:color="auto" w:fill="auto"/>
          </w:tcPr>
          <w:p w14:paraId="061C8137" w14:textId="77777777" w:rsidR="00C47639" w:rsidRPr="00FD2055" w:rsidRDefault="00C47639" w:rsidP="00C47639">
            <w:pPr>
              <w:pStyle w:val="Standaard-Tabellen"/>
            </w:pPr>
            <w:r>
              <w:rPr>
                <w:lang w:eastAsia="en-US"/>
              </w:rPr>
              <w:t>170%</w:t>
            </w:r>
          </w:p>
        </w:tc>
        <w:tc>
          <w:tcPr>
            <w:tcW w:w="0" w:type="auto"/>
            <w:shd w:val="clear" w:color="auto" w:fill="auto"/>
          </w:tcPr>
          <w:p w14:paraId="0E95BC7A" w14:textId="77777777" w:rsidR="00C47639" w:rsidRPr="00FD2055" w:rsidRDefault="00C47639" w:rsidP="00C47639">
            <w:pPr>
              <w:pStyle w:val="Standaard-Tabellen"/>
            </w:pPr>
            <w:r>
              <w:rPr>
                <w:lang w:eastAsia="en-US"/>
              </w:rPr>
              <w:t>no</w:t>
            </w:r>
          </w:p>
        </w:tc>
      </w:tr>
      <w:tr w:rsidR="00C47639" w:rsidRPr="00FD2055" w14:paraId="6590E9B4" w14:textId="77777777" w:rsidTr="00C47639">
        <w:tc>
          <w:tcPr>
            <w:tcW w:w="0" w:type="auto"/>
            <w:shd w:val="clear" w:color="auto" w:fill="auto"/>
          </w:tcPr>
          <w:p w14:paraId="5327C1FA" w14:textId="77777777" w:rsidR="00C47639" w:rsidRPr="00FD2055" w:rsidRDefault="00C47639" w:rsidP="00C47639">
            <w:pPr>
              <w:pStyle w:val="Standaard-Tabellen"/>
            </w:pPr>
            <w:r>
              <w:rPr>
                <w:lang w:eastAsia="en-US"/>
              </w:rPr>
              <w:t>Scenario 6, mixing &amp; loading, professional</w:t>
            </w:r>
          </w:p>
        </w:tc>
        <w:tc>
          <w:tcPr>
            <w:tcW w:w="0" w:type="auto"/>
            <w:shd w:val="clear" w:color="auto" w:fill="auto"/>
          </w:tcPr>
          <w:p w14:paraId="37497B39" w14:textId="77777777" w:rsidR="00C47639" w:rsidRPr="00FD2055" w:rsidRDefault="00C47639" w:rsidP="00C47639">
            <w:pPr>
              <w:pStyle w:val="Standaard-Tabellen"/>
            </w:pPr>
            <w:r>
              <w:rPr>
                <w:lang w:eastAsia="en-US"/>
              </w:rPr>
              <w:t>2</w:t>
            </w:r>
          </w:p>
        </w:tc>
        <w:tc>
          <w:tcPr>
            <w:tcW w:w="0" w:type="auto"/>
            <w:shd w:val="clear" w:color="auto" w:fill="auto"/>
          </w:tcPr>
          <w:p w14:paraId="190906A9" w14:textId="77777777" w:rsidR="00C47639" w:rsidRPr="00FD2055" w:rsidRDefault="00C47639" w:rsidP="00C47639">
            <w:pPr>
              <w:pStyle w:val="Standaard-Tabellen"/>
            </w:pPr>
            <w:r w:rsidRPr="0091532F">
              <w:rPr>
                <w:szCs w:val="18"/>
                <w:lang w:eastAsia="en-US"/>
              </w:rPr>
              <w:t xml:space="preserve">500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0A5149C7" w14:textId="77777777" w:rsidR="00C47639" w:rsidRPr="00FD2055" w:rsidRDefault="00C47639" w:rsidP="00C47639">
            <w:pPr>
              <w:pStyle w:val="Standaard-Tabellen"/>
            </w:pPr>
            <w:r w:rsidRPr="0091532F">
              <w:rPr>
                <w:szCs w:val="18"/>
                <w:lang w:eastAsia="en-US"/>
              </w:rPr>
              <w:t xml:space="preserve">5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6B881C99" w14:textId="77777777" w:rsidR="00C47639" w:rsidRPr="00FD2055" w:rsidRDefault="00C47639" w:rsidP="00C47639">
            <w:pPr>
              <w:pStyle w:val="Standaard-Tabellen"/>
            </w:pPr>
            <w:r>
              <w:t>2.</w:t>
            </w:r>
            <w:r w:rsidRPr="00D371B6">
              <w:t xml:space="preserve">25 mg/kg </w:t>
            </w:r>
            <w:proofErr w:type="spellStart"/>
            <w:r w:rsidRPr="00D371B6">
              <w:t>bw</w:t>
            </w:r>
            <w:proofErr w:type="spellEnd"/>
            <w:r w:rsidRPr="00D371B6">
              <w:t>/d</w:t>
            </w:r>
          </w:p>
        </w:tc>
        <w:tc>
          <w:tcPr>
            <w:tcW w:w="0" w:type="auto"/>
            <w:shd w:val="clear" w:color="auto" w:fill="auto"/>
          </w:tcPr>
          <w:p w14:paraId="5FBE1A75" w14:textId="77777777" w:rsidR="00C47639" w:rsidRPr="00FD2055" w:rsidRDefault="00C47639" w:rsidP="00C47639">
            <w:pPr>
              <w:pStyle w:val="Standaard-Tabellen"/>
            </w:pPr>
            <w:r>
              <w:rPr>
                <w:lang w:eastAsia="en-US"/>
              </w:rPr>
              <w:t>45%</w:t>
            </w:r>
          </w:p>
        </w:tc>
        <w:tc>
          <w:tcPr>
            <w:tcW w:w="0" w:type="auto"/>
            <w:shd w:val="clear" w:color="auto" w:fill="auto"/>
          </w:tcPr>
          <w:p w14:paraId="1B09E488" w14:textId="77777777" w:rsidR="00C47639" w:rsidRPr="00FD2055" w:rsidRDefault="00C47639" w:rsidP="00C47639">
            <w:pPr>
              <w:pStyle w:val="Standaard-Tabellen"/>
            </w:pPr>
            <w:r>
              <w:rPr>
                <w:lang w:eastAsia="en-US"/>
              </w:rPr>
              <w:t>yes</w:t>
            </w:r>
          </w:p>
        </w:tc>
      </w:tr>
      <w:tr w:rsidR="00C47639" w:rsidRPr="00FD2055" w14:paraId="79DCA1B3" w14:textId="77777777" w:rsidTr="00C47639">
        <w:tc>
          <w:tcPr>
            <w:tcW w:w="0" w:type="auto"/>
            <w:shd w:val="clear" w:color="auto" w:fill="auto"/>
          </w:tcPr>
          <w:p w14:paraId="0362965B" w14:textId="77777777" w:rsidR="00C47639" w:rsidRPr="00FD2055" w:rsidRDefault="00C47639" w:rsidP="00C47639">
            <w:pPr>
              <w:pStyle w:val="Standaard-Tabellen"/>
            </w:pPr>
            <w:r>
              <w:rPr>
                <w:lang w:eastAsia="en-US"/>
              </w:rPr>
              <w:t>Scenario 6, mixing &amp; loading, professional</w:t>
            </w:r>
          </w:p>
        </w:tc>
        <w:tc>
          <w:tcPr>
            <w:tcW w:w="0" w:type="auto"/>
            <w:shd w:val="clear" w:color="auto" w:fill="auto"/>
          </w:tcPr>
          <w:p w14:paraId="782ECD1D" w14:textId="77777777" w:rsidR="00C47639" w:rsidRPr="00FD2055" w:rsidRDefault="00C47639" w:rsidP="00C47639">
            <w:pPr>
              <w:pStyle w:val="Standaard-Tabellen"/>
            </w:pPr>
            <w:r>
              <w:rPr>
                <w:lang w:eastAsia="en-US"/>
              </w:rPr>
              <w:t>3</w:t>
            </w:r>
          </w:p>
        </w:tc>
        <w:tc>
          <w:tcPr>
            <w:tcW w:w="0" w:type="auto"/>
            <w:shd w:val="clear" w:color="auto" w:fill="auto"/>
          </w:tcPr>
          <w:p w14:paraId="367FCA3F" w14:textId="77777777" w:rsidR="00C47639" w:rsidRPr="00FD2055" w:rsidRDefault="00C47639" w:rsidP="00C47639">
            <w:pPr>
              <w:pStyle w:val="Standaard-Tabellen"/>
            </w:pPr>
            <w:r w:rsidRPr="0091532F">
              <w:rPr>
                <w:szCs w:val="18"/>
                <w:lang w:eastAsia="en-US"/>
              </w:rPr>
              <w:t xml:space="preserve">500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5F7E9E57" w14:textId="77777777" w:rsidR="00C47639" w:rsidRPr="00FD2055" w:rsidRDefault="00C47639" w:rsidP="00C47639">
            <w:pPr>
              <w:pStyle w:val="Standaard-Tabellen"/>
            </w:pPr>
            <w:r w:rsidRPr="0091532F">
              <w:rPr>
                <w:szCs w:val="18"/>
                <w:lang w:eastAsia="en-US"/>
              </w:rPr>
              <w:t xml:space="preserve">5 mg/kg </w:t>
            </w:r>
            <w:proofErr w:type="spellStart"/>
            <w:r w:rsidRPr="0091532F">
              <w:rPr>
                <w:szCs w:val="18"/>
                <w:lang w:eastAsia="en-US"/>
              </w:rPr>
              <w:t>bw</w:t>
            </w:r>
            <w:proofErr w:type="spellEnd"/>
            <w:r w:rsidRPr="0091532F">
              <w:rPr>
                <w:szCs w:val="18"/>
                <w:lang w:eastAsia="en-US"/>
              </w:rPr>
              <w:t>/d</w:t>
            </w:r>
          </w:p>
        </w:tc>
        <w:tc>
          <w:tcPr>
            <w:tcW w:w="0" w:type="auto"/>
            <w:shd w:val="clear" w:color="auto" w:fill="auto"/>
          </w:tcPr>
          <w:p w14:paraId="178D4613" w14:textId="77777777" w:rsidR="00C47639" w:rsidRPr="00FD2055" w:rsidRDefault="00C47639" w:rsidP="00C47639">
            <w:pPr>
              <w:pStyle w:val="Standaard-Tabellen"/>
            </w:pPr>
            <w:r>
              <w:t xml:space="preserve">2.1 mg/kg </w:t>
            </w:r>
            <w:proofErr w:type="spellStart"/>
            <w:r>
              <w:t>bw</w:t>
            </w:r>
            <w:proofErr w:type="spellEnd"/>
            <w:r>
              <w:t>/d</w:t>
            </w:r>
          </w:p>
        </w:tc>
        <w:tc>
          <w:tcPr>
            <w:tcW w:w="0" w:type="auto"/>
            <w:shd w:val="clear" w:color="auto" w:fill="auto"/>
          </w:tcPr>
          <w:p w14:paraId="21C611E8" w14:textId="77777777" w:rsidR="00C47639" w:rsidRPr="00FD2055" w:rsidRDefault="00C47639" w:rsidP="00C47639">
            <w:pPr>
              <w:pStyle w:val="Standaard-Tabellen"/>
            </w:pPr>
            <w:r>
              <w:rPr>
                <w:lang w:eastAsia="en-US"/>
              </w:rPr>
              <w:t>42%</w:t>
            </w:r>
          </w:p>
        </w:tc>
        <w:tc>
          <w:tcPr>
            <w:tcW w:w="0" w:type="auto"/>
            <w:shd w:val="clear" w:color="auto" w:fill="auto"/>
          </w:tcPr>
          <w:p w14:paraId="46A9C44D" w14:textId="77777777" w:rsidR="00C47639" w:rsidRPr="00FD2055" w:rsidRDefault="00C47639" w:rsidP="00C47639">
            <w:pPr>
              <w:pStyle w:val="Standaard-Tabellen"/>
            </w:pPr>
            <w:r>
              <w:rPr>
                <w:lang w:eastAsia="en-US"/>
              </w:rPr>
              <w:t>yes</w:t>
            </w:r>
          </w:p>
        </w:tc>
      </w:tr>
    </w:tbl>
    <w:p w14:paraId="2034472A" w14:textId="77777777" w:rsidR="00C47639" w:rsidRPr="00FD2055" w:rsidRDefault="00C47639" w:rsidP="00C47639"/>
    <w:p w14:paraId="109AE8E8" w14:textId="77777777" w:rsidR="00C47639" w:rsidRPr="00FD2055" w:rsidRDefault="00C47639" w:rsidP="00C47639">
      <w:pPr>
        <w:pStyle w:val="Titre6"/>
      </w:pPr>
      <w:proofErr w:type="spellStart"/>
      <w:r w:rsidRPr="00FD2055">
        <w:t>Combined</w:t>
      </w:r>
      <w:proofErr w:type="spellEnd"/>
      <w:r w:rsidRPr="00FD2055">
        <w:t xml:space="preserve"> </w:t>
      </w:r>
      <w:proofErr w:type="spellStart"/>
      <w:r w:rsidRPr="00FD2055">
        <w:t>scenarios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10"/>
        <w:gridCol w:w="1368"/>
        <w:gridCol w:w="1093"/>
        <w:gridCol w:w="1458"/>
        <w:gridCol w:w="1894"/>
        <w:gridCol w:w="1323"/>
      </w:tblGrid>
      <w:tr w:rsidR="00C47639" w:rsidRPr="00C82D5E" w14:paraId="3566367B" w14:textId="77777777" w:rsidTr="00C47639">
        <w:trPr>
          <w:jc w:val="center"/>
        </w:trPr>
        <w:tc>
          <w:tcPr>
            <w:tcW w:w="927" w:type="pct"/>
            <w:shd w:val="clear" w:color="auto" w:fill="BFBFBF" w:themeFill="background1" w:themeFillShade="BF"/>
          </w:tcPr>
          <w:p w14:paraId="21E5CD2C" w14:textId="77777777" w:rsidR="00C47639" w:rsidRPr="00C82D5E" w:rsidRDefault="00C47639" w:rsidP="00C47639">
            <w:pPr>
              <w:pStyle w:val="Standaard-Tabellen"/>
              <w:rPr>
                <w:b/>
              </w:rPr>
            </w:pPr>
            <w:r w:rsidRPr="00C82D5E">
              <w:rPr>
                <w:b/>
              </w:rPr>
              <w:t>Scenarios combined</w:t>
            </w:r>
          </w:p>
        </w:tc>
        <w:tc>
          <w:tcPr>
            <w:tcW w:w="252" w:type="pct"/>
            <w:shd w:val="clear" w:color="auto" w:fill="BFBFBF" w:themeFill="background1" w:themeFillShade="BF"/>
          </w:tcPr>
          <w:p w14:paraId="07FCD001" w14:textId="77777777" w:rsidR="00C47639" w:rsidRPr="00C82D5E" w:rsidRDefault="00C47639" w:rsidP="00C47639">
            <w:pPr>
              <w:pStyle w:val="Standaard-Tabellen"/>
              <w:rPr>
                <w:b/>
              </w:rPr>
            </w:pPr>
            <w:r w:rsidRPr="00C82D5E">
              <w:rPr>
                <w:b/>
              </w:rPr>
              <w:t>Tier</w:t>
            </w:r>
          </w:p>
        </w:tc>
        <w:tc>
          <w:tcPr>
            <w:tcW w:w="774" w:type="pct"/>
            <w:shd w:val="clear" w:color="auto" w:fill="BFBFBF" w:themeFill="background1" w:themeFillShade="BF"/>
          </w:tcPr>
          <w:p w14:paraId="08C460A0" w14:textId="77777777" w:rsidR="00C47639" w:rsidRPr="00C82D5E" w:rsidRDefault="00C47639" w:rsidP="00C47639">
            <w:pPr>
              <w:pStyle w:val="Standaard-Tabellen"/>
              <w:rPr>
                <w:b/>
              </w:rPr>
            </w:pPr>
            <w:r w:rsidRPr="00C82D5E">
              <w:rPr>
                <w:b/>
              </w:rPr>
              <w:t>Systemic NOAEL</w:t>
            </w:r>
          </w:p>
          <w:p w14:paraId="70BB9EAF"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627" w:type="pct"/>
            <w:shd w:val="clear" w:color="auto" w:fill="BFBFBF" w:themeFill="background1" w:themeFillShade="BF"/>
          </w:tcPr>
          <w:p w14:paraId="68C38121" w14:textId="77777777" w:rsidR="00C47639" w:rsidRPr="00C82D5E" w:rsidRDefault="00C47639" w:rsidP="00C47639">
            <w:pPr>
              <w:pStyle w:val="Standaard-Tabellen"/>
              <w:rPr>
                <w:b/>
                <w:lang w:val="es-ES"/>
              </w:rPr>
            </w:pPr>
            <w:r w:rsidRPr="00C82D5E">
              <w:rPr>
                <w:b/>
                <w:lang w:val="es-ES"/>
              </w:rPr>
              <w:t>AEL</w:t>
            </w:r>
          </w:p>
          <w:p w14:paraId="2F3DBC03" w14:textId="77777777" w:rsidR="00C47639" w:rsidRPr="00C82D5E" w:rsidRDefault="00C47639" w:rsidP="00C47639">
            <w:pPr>
              <w:pStyle w:val="Standaard-Tabellen"/>
              <w:rPr>
                <w:b/>
                <w:lang w:val="es-ES"/>
              </w:rPr>
            </w:pPr>
            <w:r w:rsidRPr="00C82D5E">
              <w:rPr>
                <w:b/>
                <w:lang w:val="es-ES"/>
              </w:rPr>
              <w:t xml:space="preserve">mg/kg </w:t>
            </w:r>
            <w:proofErr w:type="spellStart"/>
            <w:r w:rsidRPr="00C82D5E">
              <w:rPr>
                <w:b/>
                <w:lang w:val="es-ES"/>
              </w:rPr>
              <w:t>bw</w:t>
            </w:r>
            <w:proofErr w:type="spellEnd"/>
            <w:r w:rsidRPr="00C82D5E">
              <w:rPr>
                <w:b/>
                <w:lang w:val="es-ES"/>
              </w:rPr>
              <w:t>/d</w:t>
            </w:r>
          </w:p>
        </w:tc>
        <w:tc>
          <w:tcPr>
            <w:tcW w:w="821" w:type="pct"/>
            <w:shd w:val="clear" w:color="auto" w:fill="BFBFBF" w:themeFill="background1" w:themeFillShade="BF"/>
          </w:tcPr>
          <w:p w14:paraId="6E627D94" w14:textId="77777777" w:rsidR="00C47639" w:rsidRPr="00C82D5E" w:rsidRDefault="00C47639" w:rsidP="00C47639">
            <w:pPr>
              <w:pStyle w:val="Standaard-Tabellen"/>
              <w:rPr>
                <w:b/>
              </w:rPr>
            </w:pPr>
            <w:r w:rsidRPr="00C82D5E">
              <w:rPr>
                <w:b/>
              </w:rPr>
              <w:t>Estimated uptake</w:t>
            </w:r>
          </w:p>
          <w:p w14:paraId="53788356"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1053" w:type="pct"/>
            <w:shd w:val="clear" w:color="auto" w:fill="BFBFBF" w:themeFill="background1" w:themeFillShade="BF"/>
          </w:tcPr>
          <w:p w14:paraId="51535BB9" w14:textId="77777777" w:rsidR="00C47639" w:rsidRPr="00C82D5E" w:rsidRDefault="00C47639" w:rsidP="00C47639">
            <w:pPr>
              <w:pStyle w:val="Standaard-Tabellen"/>
              <w:rPr>
                <w:b/>
              </w:rPr>
            </w:pPr>
            <w:r w:rsidRPr="00C82D5E">
              <w:rPr>
                <w:b/>
              </w:rPr>
              <w:t xml:space="preserve">Estimated uptake/ AEL </w:t>
            </w:r>
          </w:p>
          <w:p w14:paraId="05F2AE1D" w14:textId="77777777" w:rsidR="00C47639" w:rsidRPr="00C82D5E" w:rsidRDefault="00C47639" w:rsidP="00C47639">
            <w:pPr>
              <w:pStyle w:val="Standaard-Tabellen"/>
              <w:rPr>
                <w:b/>
              </w:rPr>
            </w:pPr>
            <w:r w:rsidRPr="00C82D5E">
              <w:rPr>
                <w:b/>
              </w:rPr>
              <w:t>(%)</w:t>
            </w:r>
          </w:p>
        </w:tc>
        <w:tc>
          <w:tcPr>
            <w:tcW w:w="546" w:type="pct"/>
            <w:shd w:val="clear" w:color="auto" w:fill="BFBFBF" w:themeFill="background1" w:themeFillShade="BF"/>
          </w:tcPr>
          <w:p w14:paraId="4A0E4336" w14:textId="77777777" w:rsidR="00C47639" w:rsidRPr="00C82D5E" w:rsidRDefault="00C47639" w:rsidP="00C47639">
            <w:pPr>
              <w:pStyle w:val="Standaard-Tabellen"/>
              <w:rPr>
                <w:b/>
              </w:rPr>
            </w:pPr>
            <w:r w:rsidRPr="00C82D5E">
              <w:rPr>
                <w:b/>
              </w:rPr>
              <w:t>Acceptable</w:t>
            </w:r>
          </w:p>
          <w:p w14:paraId="20353CB2" w14:textId="77777777" w:rsidR="00C47639" w:rsidRPr="00C82D5E" w:rsidRDefault="00C47639" w:rsidP="00C47639">
            <w:pPr>
              <w:pStyle w:val="Standaard-Tabellen"/>
              <w:rPr>
                <w:b/>
              </w:rPr>
            </w:pPr>
            <w:r w:rsidRPr="00C82D5E">
              <w:rPr>
                <w:b/>
              </w:rPr>
              <w:t>(yes/no)</w:t>
            </w:r>
          </w:p>
        </w:tc>
      </w:tr>
      <w:tr w:rsidR="00C47639" w:rsidRPr="00FD2055" w14:paraId="0F22D2A2" w14:textId="77777777" w:rsidTr="00C47639">
        <w:trPr>
          <w:jc w:val="center"/>
        </w:trPr>
        <w:tc>
          <w:tcPr>
            <w:tcW w:w="927" w:type="pct"/>
            <w:shd w:val="clear" w:color="auto" w:fill="auto"/>
          </w:tcPr>
          <w:p w14:paraId="2D44E0E8" w14:textId="77777777" w:rsidR="00C47639" w:rsidRPr="00FD2055" w:rsidRDefault="00C47639" w:rsidP="00C47639">
            <w:pPr>
              <w:pStyle w:val="Standaard-Tabellen"/>
            </w:pPr>
            <w:proofErr w:type="spellStart"/>
            <w:r>
              <w:t>n.a</w:t>
            </w:r>
            <w:proofErr w:type="spellEnd"/>
            <w:r>
              <w:t>.</w:t>
            </w:r>
          </w:p>
        </w:tc>
        <w:tc>
          <w:tcPr>
            <w:tcW w:w="252" w:type="pct"/>
            <w:shd w:val="clear" w:color="auto" w:fill="auto"/>
          </w:tcPr>
          <w:p w14:paraId="4674DE0D" w14:textId="77777777" w:rsidR="00C47639" w:rsidRPr="00FD2055" w:rsidRDefault="00C47639" w:rsidP="00C47639">
            <w:pPr>
              <w:pStyle w:val="Standaard-Tabellen"/>
            </w:pPr>
          </w:p>
        </w:tc>
        <w:tc>
          <w:tcPr>
            <w:tcW w:w="774" w:type="pct"/>
            <w:shd w:val="clear" w:color="auto" w:fill="auto"/>
          </w:tcPr>
          <w:p w14:paraId="0C77744A" w14:textId="77777777" w:rsidR="00C47639" w:rsidRPr="00FD2055" w:rsidRDefault="00C47639" w:rsidP="00C47639">
            <w:pPr>
              <w:pStyle w:val="Standaard-Tabellen"/>
            </w:pPr>
          </w:p>
        </w:tc>
        <w:tc>
          <w:tcPr>
            <w:tcW w:w="627" w:type="pct"/>
            <w:shd w:val="clear" w:color="auto" w:fill="auto"/>
          </w:tcPr>
          <w:p w14:paraId="5DB4ED02" w14:textId="77777777" w:rsidR="00C47639" w:rsidRPr="00FD2055" w:rsidRDefault="00C47639" w:rsidP="00C47639">
            <w:pPr>
              <w:pStyle w:val="Standaard-Tabellen"/>
            </w:pPr>
          </w:p>
        </w:tc>
        <w:tc>
          <w:tcPr>
            <w:tcW w:w="821" w:type="pct"/>
            <w:shd w:val="clear" w:color="auto" w:fill="auto"/>
          </w:tcPr>
          <w:p w14:paraId="00F5536D" w14:textId="77777777" w:rsidR="00C47639" w:rsidRPr="00FD2055" w:rsidRDefault="00C47639" w:rsidP="00C47639">
            <w:pPr>
              <w:pStyle w:val="Standaard-Tabellen"/>
            </w:pPr>
          </w:p>
        </w:tc>
        <w:tc>
          <w:tcPr>
            <w:tcW w:w="1053" w:type="pct"/>
            <w:shd w:val="clear" w:color="auto" w:fill="auto"/>
          </w:tcPr>
          <w:p w14:paraId="5E8E2D13" w14:textId="77777777" w:rsidR="00C47639" w:rsidRPr="00FD2055" w:rsidRDefault="00C47639" w:rsidP="00C47639">
            <w:pPr>
              <w:pStyle w:val="Standaard-Tabellen"/>
            </w:pPr>
          </w:p>
        </w:tc>
        <w:tc>
          <w:tcPr>
            <w:tcW w:w="546" w:type="pct"/>
            <w:shd w:val="clear" w:color="auto" w:fill="auto"/>
          </w:tcPr>
          <w:p w14:paraId="0F641FC0" w14:textId="77777777" w:rsidR="00C47639" w:rsidRPr="00FD2055" w:rsidRDefault="00C47639" w:rsidP="00C47639">
            <w:pPr>
              <w:pStyle w:val="Standaard-Tabellen"/>
            </w:pPr>
          </w:p>
        </w:tc>
      </w:tr>
    </w:tbl>
    <w:p w14:paraId="45F74813" w14:textId="77777777" w:rsidR="00C47639" w:rsidRPr="00FD2055" w:rsidRDefault="00C47639" w:rsidP="00C47639"/>
    <w:p w14:paraId="3A94D5B9" w14:textId="77777777" w:rsidR="00C47639" w:rsidRPr="008A3D8E" w:rsidRDefault="00C47639" w:rsidP="00C47639">
      <w:pPr>
        <w:pStyle w:val="Titre6"/>
        <w:rPr>
          <w:lang w:val="en-US"/>
        </w:rPr>
      </w:pPr>
      <w:bookmarkStart w:id="223" w:name="_Toc367976987"/>
      <w:r w:rsidRPr="008A3D8E">
        <w:rPr>
          <w:lang w:val="en-US"/>
        </w:rPr>
        <w:t>Local effects</w:t>
      </w:r>
      <w:bookmarkEnd w:id="223"/>
    </w:p>
    <w:p w14:paraId="7AD7E55B" w14:textId="77777777" w:rsidR="00C47639" w:rsidRDefault="00C47639" w:rsidP="00C47639">
      <w:pPr>
        <w:rPr>
          <w:szCs w:val="18"/>
        </w:rPr>
      </w:pPr>
      <w:r>
        <w:rPr>
          <w:szCs w:val="18"/>
        </w:rPr>
        <w:t>The biocidal product is classified</w:t>
      </w:r>
      <w:r w:rsidRPr="00347CC0">
        <w:rPr>
          <w:szCs w:val="18"/>
        </w:rPr>
        <w:t xml:space="preserve"> as </w:t>
      </w:r>
      <w:r>
        <w:t xml:space="preserve">eye damage/irritation cat 2, H319. However, appropriate risk mitigation measures are assumed to be taken by professionals during production, formulation and disposal. Consequently, </w:t>
      </w:r>
      <w:r w:rsidRPr="00347CC0">
        <w:rPr>
          <w:szCs w:val="18"/>
        </w:rPr>
        <w:t>there is no need to consider local effects separately</w:t>
      </w:r>
      <w:r>
        <w:rPr>
          <w:szCs w:val="18"/>
        </w:rPr>
        <w:t>.</w:t>
      </w:r>
    </w:p>
    <w:p w14:paraId="4786DB61" w14:textId="77777777" w:rsidR="00C47639" w:rsidRPr="00FD2055" w:rsidRDefault="00C47639" w:rsidP="00C47639"/>
    <w:p w14:paraId="1B9AF3E1" w14:textId="77777777" w:rsidR="00C47639" w:rsidRPr="008A3D8E" w:rsidRDefault="00C47639" w:rsidP="00C47639">
      <w:pPr>
        <w:pStyle w:val="Titre6"/>
        <w:rPr>
          <w:lang w:val="en-US"/>
        </w:rPr>
      </w:pPr>
      <w:r w:rsidRPr="008A3D8E">
        <w:rPr>
          <w:lang w:val="en-US"/>
        </w:rPr>
        <w:t>Conclusion</w:t>
      </w:r>
    </w:p>
    <w:p w14:paraId="228AB7D6" w14:textId="77777777" w:rsidR="00C47639" w:rsidRDefault="00C47639" w:rsidP="00C47639">
      <w:pPr>
        <w:rPr>
          <w:rFonts w:cs="Times-Roman"/>
        </w:rPr>
      </w:pPr>
      <w:r w:rsidRPr="00DA7A73">
        <w:rPr>
          <w:rFonts w:cs="Times-Roman"/>
        </w:rPr>
        <w:t xml:space="preserve">There is no concern for </w:t>
      </w:r>
      <w:r>
        <w:rPr>
          <w:rFonts w:cs="Times-Roman"/>
        </w:rPr>
        <w:t>professionals working with</w:t>
      </w:r>
      <w:r w:rsidRPr="00DA7A73">
        <w:rPr>
          <w:rFonts w:cs="Times-Roman"/>
        </w:rPr>
        <w:t xml:space="preserve"> Insect Repellent Pump Spray IR3535</w:t>
      </w:r>
      <w:r w:rsidRPr="00AC0EA0">
        <w:rPr>
          <w:rFonts w:cs="Times-Roman"/>
          <w:vertAlign w:val="superscript"/>
        </w:rPr>
        <w:t>®</w:t>
      </w:r>
      <w:r w:rsidRPr="00DA7A73">
        <w:rPr>
          <w:rFonts w:cs="Times-Roman"/>
        </w:rPr>
        <w:t xml:space="preserve"> 20% </w:t>
      </w:r>
      <w:r>
        <w:rPr>
          <w:rFonts w:cs="Times-Roman"/>
        </w:rPr>
        <w:t xml:space="preserve">during </w:t>
      </w:r>
      <w:r>
        <w:t>production, formulation and disposal when using appropriate PPE (minimum PPE required: uncoated cotton coverall).</w:t>
      </w:r>
    </w:p>
    <w:p w14:paraId="3EBB4FF4" w14:textId="77777777" w:rsidR="00C47639" w:rsidRPr="00FD2055" w:rsidRDefault="00C47639" w:rsidP="00C47639">
      <w:pPr>
        <w:pStyle w:val="Titre5"/>
      </w:pPr>
      <w:bookmarkStart w:id="224" w:name="_Toc389729090"/>
      <w:bookmarkStart w:id="225" w:name="_Toc403472776"/>
      <w:bookmarkStart w:id="226" w:name="_Toc532391110"/>
      <w:bookmarkStart w:id="227" w:name="_Toc8296524"/>
      <w:r w:rsidRPr="00FD2055">
        <w:t>Risk for professional users</w:t>
      </w:r>
      <w:bookmarkEnd w:id="224"/>
      <w:bookmarkEnd w:id="225"/>
      <w:bookmarkEnd w:id="226"/>
      <w:bookmarkEnd w:id="227"/>
    </w:p>
    <w:p w14:paraId="32F71ADC" w14:textId="77777777" w:rsidR="00C47639" w:rsidRPr="00FD2055" w:rsidRDefault="00C47639" w:rsidP="00C47639">
      <w:pPr>
        <w:pStyle w:val="Titre6"/>
      </w:pPr>
      <w:proofErr w:type="spellStart"/>
      <w:r w:rsidRPr="00FD2055">
        <w:t>Systemic</w:t>
      </w:r>
      <w:proofErr w:type="spellEnd"/>
      <w:r w:rsidRPr="00FD2055">
        <w:t xml:space="preserve"> </w:t>
      </w:r>
      <w:proofErr w:type="spellStart"/>
      <w:r w:rsidRPr="00FD2055">
        <w:t>effects</w:t>
      </w:r>
      <w:proofErr w:type="spellEnd"/>
      <w:r w:rsidRPr="00FD20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610"/>
        <w:gridCol w:w="1500"/>
        <w:gridCol w:w="1195"/>
        <w:gridCol w:w="1599"/>
        <w:gridCol w:w="2082"/>
        <w:gridCol w:w="1323"/>
      </w:tblGrid>
      <w:tr w:rsidR="00C47639" w:rsidRPr="00C82D5E" w14:paraId="39F8C05A" w14:textId="77777777" w:rsidTr="00C47639">
        <w:tc>
          <w:tcPr>
            <w:tcW w:w="499" w:type="pct"/>
            <w:shd w:val="clear" w:color="auto" w:fill="BFBFBF" w:themeFill="background1" w:themeFillShade="BF"/>
          </w:tcPr>
          <w:p w14:paraId="4CCE2DE2" w14:textId="77777777" w:rsidR="00C47639" w:rsidRPr="00C82D5E" w:rsidRDefault="00C47639" w:rsidP="00C47639">
            <w:pPr>
              <w:pStyle w:val="Standaard-Tabellen"/>
              <w:rPr>
                <w:b/>
              </w:rPr>
            </w:pPr>
            <w:r w:rsidRPr="00C82D5E">
              <w:rPr>
                <w:b/>
              </w:rPr>
              <w:t>Task/</w:t>
            </w:r>
          </w:p>
          <w:p w14:paraId="1CC30747" w14:textId="77777777" w:rsidR="00C47639" w:rsidRPr="00C82D5E" w:rsidRDefault="00C47639" w:rsidP="00C47639">
            <w:pPr>
              <w:pStyle w:val="Standaard-Tabellen"/>
              <w:rPr>
                <w:b/>
              </w:rPr>
            </w:pPr>
            <w:r w:rsidRPr="00C82D5E">
              <w:rPr>
                <w:b/>
              </w:rPr>
              <w:t>Scenario</w:t>
            </w:r>
          </w:p>
        </w:tc>
        <w:tc>
          <w:tcPr>
            <w:tcW w:w="279" w:type="pct"/>
            <w:shd w:val="clear" w:color="auto" w:fill="BFBFBF" w:themeFill="background1" w:themeFillShade="BF"/>
          </w:tcPr>
          <w:p w14:paraId="00FAEFE9" w14:textId="77777777" w:rsidR="00C47639" w:rsidRPr="00C82D5E" w:rsidRDefault="00C47639" w:rsidP="00C47639">
            <w:pPr>
              <w:pStyle w:val="Standaard-Tabellen"/>
              <w:rPr>
                <w:b/>
              </w:rPr>
            </w:pPr>
            <w:r w:rsidRPr="00C82D5E">
              <w:rPr>
                <w:b/>
              </w:rPr>
              <w:t>Tier</w:t>
            </w:r>
          </w:p>
        </w:tc>
        <w:tc>
          <w:tcPr>
            <w:tcW w:w="855" w:type="pct"/>
            <w:shd w:val="clear" w:color="auto" w:fill="BFBFBF" w:themeFill="background1" w:themeFillShade="BF"/>
          </w:tcPr>
          <w:p w14:paraId="35D26B34" w14:textId="77777777" w:rsidR="00C47639" w:rsidRPr="00C82D5E" w:rsidRDefault="00C47639" w:rsidP="00C47639">
            <w:pPr>
              <w:pStyle w:val="Standaard-Tabellen"/>
              <w:rPr>
                <w:b/>
              </w:rPr>
            </w:pPr>
            <w:r w:rsidRPr="00C82D5E">
              <w:rPr>
                <w:b/>
              </w:rPr>
              <w:t>Systemic NOAEL</w:t>
            </w:r>
          </w:p>
          <w:p w14:paraId="64676E26"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693" w:type="pct"/>
            <w:shd w:val="clear" w:color="auto" w:fill="BFBFBF" w:themeFill="background1" w:themeFillShade="BF"/>
          </w:tcPr>
          <w:p w14:paraId="6EF99F50" w14:textId="77777777" w:rsidR="00C47639" w:rsidRPr="00C82D5E" w:rsidRDefault="00C47639" w:rsidP="00C47639">
            <w:pPr>
              <w:pStyle w:val="Standaard-Tabellen"/>
              <w:rPr>
                <w:b/>
                <w:lang w:val="es-ES"/>
              </w:rPr>
            </w:pPr>
            <w:r w:rsidRPr="00C82D5E">
              <w:rPr>
                <w:b/>
                <w:lang w:val="es-ES"/>
              </w:rPr>
              <w:t>AEL</w:t>
            </w:r>
          </w:p>
          <w:p w14:paraId="7961B566" w14:textId="77777777" w:rsidR="00C47639" w:rsidRPr="00C82D5E" w:rsidRDefault="00C47639" w:rsidP="00C47639">
            <w:pPr>
              <w:pStyle w:val="Standaard-Tabellen"/>
              <w:rPr>
                <w:b/>
                <w:lang w:val="es-ES"/>
              </w:rPr>
            </w:pPr>
            <w:r w:rsidRPr="00C82D5E">
              <w:rPr>
                <w:b/>
                <w:lang w:val="es-ES"/>
              </w:rPr>
              <w:t xml:space="preserve">mg/kg </w:t>
            </w:r>
            <w:proofErr w:type="spellStart"/>
            <w:r w:rsidRPr="00C82D5E">
              <w:rPr>
                <w:b/>
                <w:lang w:val="es-ES"/>
              </w:rPr>
              <w:t>bw</w:t>
            </w:r>
            <w:proofErr w:type="spellEnd"/>
            <w:r w:rsidRPr="00C82D5E">
              <w:rPr>
                <w:b/>
                <w:lang w:val="es-ES"/>
              </w:rPr>
              <w:t>/d</w:t>
            </w:r>
          </w:p>
        </w:tc>
        <w:tc>
          <w:tcPr>
            <w:tcW w:w="907" w:type="pct"/>
            <w:shd w:val="clear" w:color="auto" w:fill="BFBFBF" w:themeFill="background1" w:themeFillShade="BF"/>
          </w:tcPr>
          <w:p w14:paraId="3478F547" w14:textId="77777777" w:rsidR="00C47639" w:rsidRPr="00C82D5E" w:rsidRDefault="00C47639" w:rsidP="00C47639">
            <w:pPr>
              <w:pStyle w:val="Standaard-Tabellen"/>
              <w:rPr>
                <w:b/>
              </w:rPr>
            </w:pPr>
            <w:r w:rsidRPr="00C82D5E">
              <w:rPr>
                <w:b/>
              </w:rPr>
              <w:t>Estimated uptake</w:t>
            </w:r>
          </w:p>
          <w:p w14:paraId="1F667BF0"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1164" w:type="pct"/>
            <w:shd w:val="clear" w:color="auto" w:fill="BFBFBF" w:themeFill="background1" w:themeFillShade="BF"/>
          </w:tcPr>
          <w:p w14:paraId="39AD632E" w14:textId="77777777" w:rsidR="00C47639" w:rsidRPr="00C82D5E" w:rsidRDefault="00C47639" w:rsidP="00C47639">
            <w:pPr>
              <w:pStyle w:val="Standaard-Tabellen"/>
              <w:rPr>
                <w:b/>
              </w:rPr>
            </w:pPr>
            <w:r w:rsidRPr="00C82D5E">
              <w:rPr>
                <w:b/>
              </w:rPr>
              <w:t xml:space="preserve">Estimated uptake/ AEL </w:t>
            </w:r>
          </w:p>
          <w:p w14:paraId="4BC2B001" w14:textId="77777777" w:rsidR="00C47639" w:rsidRPr="00C82D5E" w:rsidRDefault="00C47639" w:rsidP="00C47639">
            <w:pPr>
              <w:pStyle w:val="Standaard-Tabellen"/>
              <w:rPr>
                <w:b/>
              </w:rPr>
            </w:pPr>
            <w:r w:rsidRPr="00C82D5E">
              <w:rPr>
                <w:b/>
              </w:rPr>
              <w:t>(%)</w:t>
            </w:r>
          </w:p>
        </w:tc>
        <w:tc>
          <w:tcPr>
            <w:tcW w:w="604" w:type="pct"/>
            <w:shd w:val="clear" w:color="auto" w:fill="BFBFBF" w:themeFill="background1" w:themeFillShade="BF"/>
          </w:tcPr>
          <w:p w14:paraId="06E6FD78" w14:textId="77777777" w:rsidR="00C47639" w:rsidRPr="00C82D5E" w:rsidRDefault="00C47639" w:rsidP="00C47639">
            <w:pPr>
              <w:pStyle w:val="Standaard-Tabellen"/>
              <w:rPr>
                <w:b/>
              </w:rPr>
            </w:pPr>
            <w:r w:rsidRPr="00C82D5E">
              <w:rPr>
                <w:b/>
              </w:rPr>
              <w:t>Acceptable</w:t>
            </w:r>
          </w:p>
          <w:p w14:paraId="669695AB" w14:textId="77777777" w:rsidR="00C47639" w:rsidRPr="00C82D5E" w:rsidRDefault="00C47639" w:rsidP="00C47639">
            <w:pPr>
              <w:pStyle w:val="Standaard-Tabellen"/>
              <w:rPr>
                <w:b/>
              </w:rPr>
            </w:pPr>
            <w:r w:rsidRPr="00C82D5E">
              <w:rPr>
                <w:b/>
              </w:rPr>
              <w:t>(yes/no)</w:t>
            </w:r>
          </w:p>
        </w:tc>
      </w:tr>
      <w:tr w:rsidR="00C47639" w:rsidRPr="00FD2055" w14:paraId="4CBDCD41" w14:textId="77777777" w:rsidTr="00C47639">
        <w:tc>
          <w:tcPr>
            <w:tcW w:w="499" w:type="pct"/>
            <w:shd w:val="clear" w:color="auto" w:fill="auto"/>
          </w:tcPr>
          <w:p w14:paraId="16F80082" w14:textId="77777777" w:rsidR="00C47639" w:rsidRPr="00FD2055" w:rsidRDefault="00C47639" w:rsidP="00C47639">
            <w:pPr>
              <w:pStyle w:val="Standaard-Tabellen"/>
            </w:pPr>
            <w:proofErr w:type="spellStart"/>
            <w:r>
              <w:t>n.a</w:t>
            </w:r>
            <w:proofErr w:type="spellEnd"/>
            <w:r>
              <w:t>.</w:t>
            </w:r>
          </w:p>
        </w:tc>
        <w:tc>
          <w:tcPr>
            <w:tcW w:w="279" w:type="pct"/>
            <w:shd w:val="clear" w:color="auto" w:fill="auto"/>
          </w:tcPr>
          <w:p w14:paraId="43383D77" w14:textId="77777777" w:rsidR="00C47639" w:rsidRPr="00FD2055" w:rsidRDefault="00C47639" w:rsidP="00C47639">
            <w:pPr>
              <w:pStyle w:val="Standaard-Tabellen"/>
            </w:pPr>
          </w:p>
        </w:tc>
        <w:tc>
          <w:tcPr>
            <w:tcW w:w="855" w:type="pct"/>
            <w:shd w:val="clear" w:color="auto" w:fill="auto"/>
          </w:tcPr>
          <w:p w14:paraId="5F9AC795" w14:textId="77777777" w:rsidR="00C47639" w:rsidRPr="00FD2055" w:rsidRDefault="00C47639" w:rsidP="00C47639">
            <w:pPr>
              <w:pStyle w:val="Standaard-Tabellen"/>
            </w:pPr>
          </w:p>
        </w:tc>
        <w:tc>
          <w:tcPr>
            <w:tcW w:w="693" w:type="pct"/>
            <w:shd w:val="clear" w:color="auto" w:fill="auto"/>
          </w:tcPr>
          <w:p w14:paraId="4FE798A9" w14:textId="77777777" w:rsidR="00C47639" w:rsidRPr="00FD2055" w:rsidRDefault="00C47639" w:rsidP="00C47639">
            <w:pPr>
              <w:pStyle w:val="Standaard-Tabellen"/>
            </w:pPr>
          </w:p>
        </w:tc>
        <w:tc>
          <w:tcPr>
            <w:tcW w:w="907" w:type="pct"/>
            <w:shd w:val="clear" w:color="auto" w:fill="auto"/>
          </w:tcPr>
          <w:p w14:paraId="02D87D11" w14:textId="77777777" w:rsidR="00C47639" w:rsidRPr="00FD2055" w:rsidRDefault="00C47639" w:rsidP="00C47639">
            <w:pPr>
              <w:pStyle w:val="Standaard-Tabellen"/>
            </w:pPr>
          </w:p>
        </w:tc>
        <w:tc>
          <w:tcPr>
            <w:tcW w:w="1164" w:type="pct"/>
            <w:shd w:val="clear" w:color="auto" w:fill="auto"/>
          </w:tcPr>
          <w:p w14:paraId="46429758" w14:textId="77777777" w:rsidR="00C47639" w:rsidRPr="00FD2055" w:rsidRDefault="00C47639" w:rsidP="00C47639">
            <w:pPr>
              <w:pStyle w:val="Standaard-Tabellen"/>
            </w:pPr>
          </w:p>
        </w:tc>
        <w:tc>
          <w:tcPr>
            <w:tcW w:w="604" w:type="pct"/>
            <w:shd w:val="clear" w:color="auto" w:fill="auto"/>
          </w:tcPr>
          <w:p w14:paraId="03B4DE38" w14:textId="77777777" w:rsidR="00C47639" w:rsidRPr="00FD2055" w:rsidRDefault="00C47639" w:rsidP="00C47639">
            <w:pPr>
              <w:pStyle w:val="Standaard-Tabellen"/>
            </w:pPr>
          </w:p>
        </w:tc>
      </w:tr>
    </w:tbl>
    <w:p w14:paraId="28781852" w14:textId="77777777" w:rsidR="00C47639" w:rsidRPr="00FD2055" w:rsidRDefault="00C47639" w:rsidP="00C47639"/>
    <w:p w14:paraId="2249D63C" w14:textId="77777777" w:rsidR="00C47639" w:rsidRPr="00FD2055" w:rsidRDefault="00C47639" w:rsidP="00C47639">
      <w:pPr>
        <w:pStyle w:val="Titre6"/>
      </w:pPr>
      <w:proofErr w:type="spellStart"/>
      <w:r w:rsidRPr="00FD2055">
        <w:t>Combined</w:t>
      </w:r>
      <w:proofErr w:type="spellEnd"/>
      <w:r w:rsidRPr="00FD2055">
        <w:t xml:space="preserve"> </w:t>
      </w:r>
      <w:proofErr w:type="spellStart"/>
      <w:r w:rsidRPr="00FD2055">
        <w:t>scenarios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10"/>
        <w:gridCol w:w="1368"/>
        <w:gridCol w:w="1093"/>
        <w:gridCol w:w="1458"/>
        <w:gridCol w:w="1894"/>
        <w:gridCol w:w="1323"/>
      </w:tblGrid>
      <w:tr w:rsidR="00C47639" w:rsidRPr="00C82D5E" w14:paraId="2BF7CDB1" w14:textId="77777777" w:rsidTr="00C47639">
        <w:tc>
          <w:tcPr>
            <w:tcW w:w="927" w:type="pct"/>
            <w:shd w:val="clear" w:color="auto" w:fill="BFBFBF" w:themeFill="background1" w:themeFillShade="BF"/>
          </w:tcPr>
          <w:p w14:paraId="05AC8A7A" w14:textId="77777777" w:rsidR="00C47639" w:rsidRPr="00C82D5E" w:rsidRDefault="00C47639" w:rsidP="00C47639">
            <w:pPr>
              <w:pStyle w:val="Standaard-Tabellen"/>
              <w:rPr>
                <w:b/>
              </w:rPr>
            </w:pPr>
            <w:r w:rsidRPr="00C82D5E">
              <w:rPr>
                <w:b/>
              </w:rPr>
              <w:t>Scenarios combined</w:t>
            </w:r>
          </w:p>
        </w:tc>
        <w:tc>
          <w:tcPr>
            <w:tcW w:w="252" w:type="pct"/>
            <w:shd w:val="clear" w:color="auto" w:fill="BFBFBF" w:themeFill="background1" w:themeFillShade="BF"/>
          </w:tcPr>
          <w:p w14:paraId="47491328" w14:textId="77777777" w:rsidR="00C47639" w:rsidRPr="00C82D5E" w:rsidRDefault="00C47639" w:rsidP="00C47639">
            <w:pPr>
              <w:pStyle w:val="Standaard-Tabellen"/>
              <w:rPr>
                <w:b/>
              </w:rPr>
            </w:pPr>
            <w:r w:rsidRPr="00C82D5E">
              <w:rPr>
                <w:b/>
              </w:rPr>
              <w:t>Tier</w:t>
            </w:r>
          </w:p>
        </w:tc>
        <w:tc>
          <w:tcPr>
            <w:tcW w:w="774" w:type="pct"/>
            <w:shd w:val="clear" w:color="auto" w:fill="BFBFBF" w:themeFill="background1" w:themeFillShade="BF"/>
          </w:tcPr>
          <w:p w14:paraId="5970BF25" w14:textId="77777777" w:rsidR="00C47639" w:rsidRPr="00C82D5E" w:rsidRDefault="00C47639" w:rsidP="00C47639">
            <w:pPr>
              <w:pStyle w:val="Standaard-Tabellen"/>
              <w:rPr>
                <w:b/>
              </w:rPr>
            </w:pPr>
            <w:r w:rsidRPr="00C82D5E">
              <w:rPr>
                <w:b/>
              </w:rPr>
              <w:t>Systemic NOAEL</w:t>
            </w:r>
          </w:p>
          <w:p w14:paraId="5561D192"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627" w:type="pct"/>
            <w:shd w:val="clear" w:color="auto" w:fill="BFBFBF" w:themeFill="background1" w:themeFillShade="BF"/>
          </w:tcPr>
          <w:p w14:paraId="24B1B3CB" w14:textId="77777777" w:rsidR="00C47639" w:rsidRPr="00C82D5E" w:rsidRDefault="00C47639" w:rsidP="00C47639">
            <w:pPr>
              <w:pStyle w:val="Standaard-Tabellen"/>
              <w:rPr>
                <w:b/>
                <w:lang w:val="es-ES"/>
              </w:rPr>
            </w:pPr>
            <w:r w:rsidRPr="00C82D5E">
              <w:rPr>
                <w:b/>
                <w:lang w:val="es-ES"/>
              </w:rPr>
              <w:t>AEL</w:t>
            </w:r>
          </w:p>
          <w:p w14:paraId="504B3FD9" w14:textId="77777777" w:rsidR="00C47639" w:rsidRPr="00C82D5E" w:rsidRDefault="00C47639" w:rsidP="00C47639">
            <w:pPr>
              <w:pStyle w:val="Standaard-Tabellen"/>
              <w:rPr>
                <w:b/>
                <w:lang w:val="es-ES"/>
              </w:rPr>
            </w:pPr>
            <w:r w:rsidRPr="00C82D5E">
              <w:rPr>
                <w:b/>
                <w:lang w:val="es-ES"/>
              </w:rPr>
              <w:t xml:space="preserve">mg/kg </w:t>
            </w:r>
            <w:proofErr w:type="spellStart"/>
            <w:r w:rsidRPr="00C82D5E">
              <w:rPr>
                <w:b/>
                <w:lang w:val="es-ES"/>
              </w:rPr>
              <w:t>bw</w:t>
            </w:r>
            <w:proofErr w:type="spellEnd"/>
            <w:r w:rsidRPr="00C82D5E">
              <w:rPr>
                <w:b/>
                <w:lang w:val="es-ES"/>
              </w:rPr>
              <w:t>/d</w:t>
            </w:r>
          </w:p>
        </w:tc>
        <w:tc>
          <w:tcPr>
            <w:tcW w:w="821" w:type="pct"/>
            <w:shd w:val="clear" w:color="auto" w:fill="BFBFBF" w:themeFill="background1" w:themeFillShade="BF"/>
          </w:tcPr>
          <w:p w14:paraId="71DD3E26" w14:textId="77777777" w:rsidR="00C47639" w:rsidRPr="00C82D5E" w:rsidRDefault="00C47639" w:rsidP="00C47639">
            <w:pPr>
              <w:pStyle w:val="Standaard-Tabellen"/>
              <w:rPr>
                <w:b/>
              </w:rPr>
            </w:pPr>
            <w:r w:rsidRPr="00C82D5E">
              <w:rPr>
                <w:b/>
              </w:rPr>
              <w:t>Estimated uptake</w:t>
            </w:r>
          </w:p>
          <w:p w14:paraId="4FA61B3C" w14:textId="77777777" w:rsidR="00C47639" w:rsidRPr="00C82D5E" w:rsidRDefault="00C47639" w:rsidP="00C47639">
            <w:pPr>
              <w:pStyle w:val="Standaard-Tabellen"/>
              <w:rPr>
                <w:b/>
              </w:rPr>
            </w:pPr>
            <w:r w:rsidRPr="00C82D5E">
              <w:rPr>
                <w:b/>
              </w:rPr>
              <w:t xml:space="preserve">mg/kg </w:t>
            </w:r>
            <w:proofErr w:type="spellStart"/>
            <w:r w:rsidRPr="00C82D5E">
              <w:rPr>
                <w:b/>
              </w:rPr>
              <w:t>bw</w:t>
            </w:r>
            <w:proofErr w:type="spellEnd"/>
            <w:r w:rsidRPr="00C82D5E">
              <w:rPr>
                <w:b/>
              </w:rPr>
              <w:t>/d</w:t>
            </w:r>
          </w:p>
        </w:tc>
        <w:tc>
          <w:tcPr>
            <w:tcW w:w="1053" w:type="pct"/>
            <w:shd w:val="clear" w:color="auto" w:fill="BFBFBF" w:themeFill="background1" w:themeFillShade="BF"/>
          </w:tcPr>
          <w:p w14:paraId="326FA823" w14:textId="77777777" w:rsidR="00C47639" w:rsidRPr="00C82D5E" w:rsidRDefault="00C47639" w:rsidP="00C47639">
            <w:pPr>
              <w:pStyle w:val="Standaard-Tabellen"/>
              <w:rPr>
                <w:b/>
              </w:rPr>
            </w:pPr>
            <w:r w:rsidRPr="00C82D5E">
              <w:rPr>
                <w:b/>
              </w:rPr>
              <w:t xml:space="preserve">Estimated uptake/ AEL </w:t>
            </w:r>
          </w:p>
          <w:p w14:paraId="00920A4E" w14:textId="77777777" w:rsidR="00C47639" w:rsidRPr="00C82D5E" w:rsidRDefault="00C47639" w:rsidP="00C47639">
            <w:pPr>
              <w:pStyle w:val="Standaard-Tabellen"/>
              <w:rPr>
                <w:b/>
              </w:rPr>
            </w:pPr>
            <w:r w:rsidRPr="00C82D5E">
              <w:rPr>
                <w:b/>
              </w:rPr>
              <w:t>(%)</w:t>
            </w:r>
          </w:p>
        </w:tc>
        <w:tc>
          <w:tcPr>
            <w:tcW w:w="547" w:type="pct"/>
            <w:shd w:val="clear" w:color="auto" w:fill="BFBFBF" w:themeFill="background1" w:themeFillShade="BF"/>
          </w:tcPr>
          <w:p w14:paraId="7DA1FFAA" w14:textId="77777777" w:rsidR="00C47639" w:rsidRPr="00C82D5E" w:rsidRDefault="00C47639" w:rsidP="00C47639">
            <w:pPr>
              <w:pStyle w:val="Standaard-Tabellen"/>
              <w:rPr>
                <w:b/>
              </w:rPr>
            </w:pPr>
            <w:r w:rsidRPr="00C82D5E">
              <w:rPr>
                <w:b/>
              </w:rPr>
              <w:t>Acceptable</w:t>
            </w:r>
          </w:p>
          <w:p w14:paraId="4ADA18D7" w14:textId="77777777" w:rsidR="00C47639" w:rsidRPr="00C82D5E" w:rsidRDefault="00C47639" w:rsidP="00C47639">
            <w:pPr>
              <w:pStyle w:val="Standaard-Tabellen"/>
              <w:rPr>
                <w:b/>
              </w:rPr>
            </w:pPr>
            <w:r w:rsidRPr="00C82D5E">
              <w:rPr>
                <w:b/>
              </w:rPr>
              <w:t>(yes/no)</w:t>
            </w:r>
          </w:p>
        </w:tc>
      </w:tr>
      <w:tr w:rsidR="00C47639" w:rsidRPr="00FD2055" w14:paraId="6C8BD782" w14:textId="77777777" w:rsidTr="00C47639">
        <w:tc>
          <w:tcPr>
            <w:tcW w:w="927" w:type="pct"/>
            <w:shd w:val="clear" w:color="auto" w:fill="auto"/>
          </w:tcPr>
          <w:p w14:paraId="5C9AD41E" w14:textId="77777777" w:rsidR="00C47639" w:rsidRPr="00FD2055" w:rsidRDefault="00C47639" w:rsidP="00C47639">
            <w:pPr>
              <w:pStyle w:val="Standaard-Tabellen"/>
            </w:pPr>
            <w:proofErr w:type="spellStart"/>
            <w:r>
              <w:t>n.a</w:t>
            </w:r>
            <w:proofErr w:type="spellEnd"/>
            <w:r>
              <w:t>.</w:t>
            </w:r>
          </w:p>
        </w:tc>
        <w:tc>
          <w:tcPr>
            <w:tcW w:w="252" w:type="pct"/>
            <w:shd w:val="clear" w:color="auto" w:fill="auto"/>
          </w:tcPr>
          <w:p w14:paraId="3AC8746A" w14:textId="77777777" w:rsidR="00C47639" w:rsidRPr="00FD2055" w:rsidRDefault="00C47639" w:rsidP="00C47639">
            <w:pPr>
              <w:pStyle w:val="Standaard-Tabellen"/>
            </w:pPr>
          </w:p>
        </w:tc>
        <w:tc>
          <w:tcPr>
            <w:tcW w:w="774" w:type="pct"/>
            <w:shd w:val="clear" w:color="auto" w:fill="auto"/>
          </w:tcPr>
          <w:p w14:paraId="3726E777" w14:textId="77777777" w:rsidR="00C47639" w:rsidRPr="00FD2055" w:rsidRDefault="00C47639" w:rsidP="00C47639">
            <w:pPr>
              <w:pStyle w:val="Standaard-Tabellen"/>
            </w:pPr>
          </w:p>
        </w:tc>
        <w:tc>
          <w:tcPr>
            <w:tcW w:w="627" w:type="pct"/>
            <w:shd w:val="clear" w:color="auto" w:fill="auto"/>
          </w:tcPr>
          <w:p w14:paraId="6A8A9BB7" w14:textId="77777777" w:rsidR="00C47639" w:rsidRPr="00FD2055" w:rsidRDefault="00C47639" w:rsidP="00C47639">
            <w:pPr>
              <w:pStyle w:val="Standaard-Tabellen"/>
            </w:pPr>
          </w:p>
        </w:tc>
        <w:tc>
          <w:tcPr>
            <w:tcW w:w="821" w:type="pct"/>
            <w:shd w:val="clear" w:color="auto" w:fill="auto"/>
          </w:tcPr>
          <w:p w14:paraId="6284B35D" w14:textId="77777777" w:rsidR="00C47639" w:rsidRPr="00FD2055" w:rsidRDefault="00C47639" w:rsidP="00C47639">
            <w:pPr>
              <w:pStyle w:val="Standaard-Tabellen"/>
            </w:pPr>
          </w:p>
        </w:tc>
        <w:tc>
          <w:tcPr>
            <w:tcW w:w="1053" w:type="pct"/>
            <w:shd w:val="clear" w:color="auto" w:fill="auto"/>
          </w:tcPr>
          <w:p w14:paraId="17E1E89B" w14:textId="77777777" w:rsidR="00C47639" w:rsidRPr="00FD2055" w:rsidRDefault="00C47639" w:rsidP="00C47639">
            <w:pPr>
              <w:pStyle w:val="Standaard-Tabellen"/>
            </w:pPr>
          </w:p>
        </w:tc>
        <w:tc>
          <w:tcPr>
            <w:tcW w:w="547" w:type="pct"/>
            <w:shd w:val="clear" w:color="auto" w:fill="auto"/>
          </w:tcPr>
          <w:p w14:paraId="50A53269" w14:textId="77777777" w:rsidR="00C47639" w:rsidRPr="00FD2055" w:rsidRDefault="00C47639" w:rsidP="00C47639">
            <w:pPr>
              <w:pStyle w:val="Standaard-Tabellen"/>
            </w:pPr>
          </w:p>
        </w:tc>
      </w:tr>
    </w:tbl>
    <w:p w14:paraId="4BD78F9C" w14:textId="77777777" w:rsidR="00C47639" w:rsidRDefault="00C47639" w:rsidP="00C47639"/>
    <w:p w14:paraId="27AD3767" w14:textId="77777777" w:rsidR="00C47639" w:rsidRPr="008A3D8E" w:rsidRDefault="00C47639" w:rsidP="00C47639">
      <w:pPr>
        <w:pStyle w:val="Titre6"/>
        <w:rPr>
          <w:lang w:val="en-US"/>
        </w:rPr>
      </w:pPr>
      <w:r w:rsidRPr="008A3D8E">
        <w:rPr>
          <w:lang w:val="en-US"/>
        </w:rPr>
        <w:t xml:space="preserve">Local effects </w:t>
      </w:r>
    </w:p>
    <w:p w14:paraId="3B333B31" w14:textId="77777777" w:rsidR="00C47639" w:rsidRPr="00FD2055" w:rsidRDefault="00C47639" w:rsidP="00C47639">
      <w:pPr>
        <w:rPr>
          <w:sz w:val="18"/>
        </w:rPr>
      </w:pPr>
      <w:proofErr w:type="spellStart"/>
      <w:r>
        <w:t>n.a</w:t>
      </w:r>
      <w:proofErr w:type="spellEnd"/>
      <w:r>
        <w:t>.</w:t>
      </w:r>
    </w:p>
    <w:p w14:paraId="3772994C" w14:textId="77777777" w:rsidR="00C47639" w:rsidRDefault="00C47639" w:rsidP="00C47639"/>
    <w:p w14:paraId="426FD1ED" w14:textId="77777777" w:rsidR="00C47639" w:rsidRPr="008A3D8E" w:rsidRDefault="00C47639" w:rsidP="00C47639">
      <w:pPr>
        <w:pStyle w:val="Titre6"/>
        <w:rPr>
          <w:lang w:val="en-US"/>
        </w:rPr>
      </w:pPr>
      <w:r w:rsidRPr="008A3D8E">
        <w:rPr>
          <w:lang w:val="en-US"/>
        </w:rPr>
        <w:lastRenderedPageBreak/>
        <w:t>Conclusion</w:t>
      </w:r>
    </w:p>
    <w:p w14:paraId="56D5385A" w14:textId="77777777" w:rsidR="00C47639" w:rsidRDefault="00C47639" w:rsidP="00C47639">
      <w:proofErr w:type="spellStart"/>
      <w:r>
        <w:t>n.a</w:t>
      </w:r>
      <w:proofErr w:type="spellEnd"/>
      <w:r>
        <w:t>.</w:t>
      </w:r>
    </w:p>
    <w:p w14:paraId="4CDFCAEF" w14:textId="77777777" w:rsidR="00C47639" w:rsidRDefault="00C47639" w:rsidP="00C47639">
      <w:pPr>
        <w:pStyle w:val="Titre5"/>
      </w:pPr>
      <w:bookmarkStart w:id="228" w:name="_Toc389729091"/>
      <w:bookmarkStart w:id="229" w:name="_Toc403472777"/>
      <w:bookmarkStart w:id="230" w:name="_Toc532391111"/>
      <w:bookmarkStart w:id="231" w:name="_Toc8296525"/>
      <w:r w:rsidRPr="00FD2055">
        <w:t>Risk for non-professional users</w:t>
      </w:r>
      <w:bookmarkEnd w:id="228"/>
      <w:bookmarkEnd w:id="229"/>
      <w:bookmarkEnd w:id="230"/>
      <w:bookmarkEnd w:id="231"/>
      <w:r w:rsidRPr="00FD2055">
        <w:t xml:space="preserve"> </w:t>
      </w:r>
    </w:p>
    <w:p w14:paraId="4078FE6D" w14:textId="77777777" w:rsidR="00C47639" w:rsidRPr="00494EE0" w:rsidRDefault="00C47639" w:rsidP="00C47639">
      <w:pPr>
        <w:pStyle w:val="Titre6"/>
      </w:pPr>
      <w:proofErr w:type="spellStart"/>
      <w:r w:rsidRPr="00494EE0">
        <w:t>Systemic</w:t>
      </w:r>
      <w:proofErr w:type="spellEnd"/>
      <w:r w:rsidRPr="00494EE0">
        <w:t xml:space="preserve"> </w:t>
      </w:r>
      <w:proofErr w:type="spellStart"/>
      <w:r w:rsidRPr="00494EE0">
        <w:t>effects</w:t>
      </w:r>
      <w:proofErr w:type="spellEnd"/>
      <w:r w:rsidRPr="00494EE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10"/>
        <w:gridCol w:w="1241"/>
        <w:gridCol w:w="1183"/>
        <w:gridCol w:w="1662"/>
        <w:gridCol w:w="1264"/>
        <w:gridCol w:w="1454"/>
      </w:tblGrid>
      <w:tr w:rsidR="00C47639" w:rsidRPr="00015252" w14:paraId="7F0F102E" w14:textId="77777777" w:rsidTr="00C47639">
        <w:tc>
          <w:tcPr>
            <w:tcW w:w="1057" w:type="pct"/>
            <w:shd w:val="clear" w:color="auto" w:fill="BFBFBF" w:themeFill="background1" w:themeFillShade="BF"/>
          </w:tcPr>
          <w:p w14:paraId="7CC58000" w14:textId="77777777" w:rsidR="00C47639" w:rsidRPr="00015252" w:rsidRDefault="00C47639" w:rsidP="00C47639">
            <w:pPr>
              <w:pStyle w:val="Standaard-Tabellen"/>
              <w:rPr>
                <w:b/>
              </w:rPr>
            </w:pPr>
            <w:r w:rsidRPr="00015252">
              <w:rPr>
                <w:b/>
              </w:rPr>
              <w:t>Task/</w:t>
            </w:r>
          </w:p>
          <w:p w14:paraId="3FCC6920" w14:textId="77777777" w:rsidR="00C47639" w:rsidRPr="00015252" w:rsidRDefault="00C47639" w:rsidP="00C47639">
            <w:pPr>
              <w:pStyle w:val="Standaard-Tabellen"/>
              <w:rPr>
                <w:b/>
              </w:rPr>
            </w:pPr>
            <w:r w:rsidRPr="00015252">
              <w:rPr>
                <w:b/>
              </w:rPr>
              <w:t>Scenario</w:t>
            </w:r>
          </w:p>
        </w:tc>
        <w:tc>
          <w:tcPr>
            <w:tcW w:w="324" w:type="pct"/>
            <w:shd w:val="clear" w:color="auto" w:fill="BFBFBF" w:themeFill="background1" w:themeFillShade="BF"/>
          </w:tcPr>
          <w:p w14:paraId="1FE9C479" w14:textId="77777777" w:rsidR="00C47639" w:rsidRPr="00015252" w:rsidRDefault="00C47639" w:rsidP="00C47639">
            <w:pPr>
              <w:pStyle w:val="Standaard-Tabellen"/>
              <w:rPr>
                <w:b/>
              </w:rPr>
            </w:pPr>
            <w:r w:rsidRPr="00015252">
              <w:rPr>
                <w:b/>
              </w:rPr>
              <w:t>Tier</w:t>
            </w:r>
          </w:p>
        </w:tc>
        <w:tc>
          <w:tcPr>
            <w:tcW w:w="660" w:type="pct"/>
            <w:shd w:val="clear" w:color="auto" w:fill="BFBFBF" w:themeFill="background1" w:themeFillShade="BF"/>
          </w:tcPr>
          <w:p w14:paraId="6623133F" w14:textId="77777777" w:rsidR="00C47639" w:rsidRDefault="00C47639" w:rsidP="00C47639">
            <w:pPr>
              <w:pStyle w:val="Standaard-Tabellen"/>
              <w:rPr>
                <w:b/>
              </w:rPr>
            </w:pPr>
            <w:r>
              <w:rPr>
                <w:b/>
              </w:rPr>
              <w:t>Systemic</w:t>
            </w:r>
          </w:p>
          <w:p w14:paraId="6AA6480D" w14:textId="77777777" w:rsidR="00C47639" w:rsidRPr="00015252" w:rsidRDefault="00C47639" w:rsidP="00C47639">
            <w:pPr>
              <w:pStyle w:val="Standaard-Tabellen"/>
              <w:rPr>
                <w:b/>
              </w:rPr>
            </w:pPr>
            <w:r w:rsidRPr="00015252">
              <w:rPr>
                <w:b/>
              </w:rPr>
              <w:t>NOAEL</w:t>
            </w:r>
          </w:p>
          <w:p w14:paraId="082717B5" w14:textId="77777777" w:rsidR="00C47639" w:rsidRPr="00015252" w:rsidRDefault="00C47639" w:rsidP="00C47639">
            <w:pPr>
              <w:pStyle w:val="Standaard-Tabellen"/>
              <w:rPr>
                <w:b/>
              </w:rPr>
            </w:pPr>
            <w:r>
              <w:rPr>
                <w:b/>
              </w:rPr>
              <w:t>[</w:t>
            </w:r>
            <w:r w:rsidRPr="00015252">
              <w:rPr>
                <w:b/>
              </w:rPr>
              <w:t xml:space="preserve">mg/kg </w:t>
            </w:r>
            <w:proofErr w:type="spellStart"/>
            <w:r w:rsidRPr="00015252">
              <w:rPr>
                <w:b/>
              </w:rPr>
              <w:t>bw</w:t>
            </w:r>
            <w:proofErr w:type="spellEnd"/>
            <w:r w:rsidRPr="00015252">
              <w:rPr>
                <w:b/>
              </w:rPr>
              <w:t>/d</w:t>
            </w:r>
            <w:r>
              <w:rPr>
                <w:b/>
              </w:rPr>
              <w:t>]</w:t>
            </w:r>
          </w:p>
        </w:tc>
        <w:tc>
          <w:tcPr>
            <w:tcW w:w="629" w:type="pct"/>
            <w:shd w:val="clear" w:color="auto" w:fill="BFBFBF" w:themeFill="background1" w:themeFillShade="BF"/>
          </w:tcPr>
          <w:p w14:paraId="5EC52D54" w14:textId="77777777" w:rsidR="00C47639" w:rsidRPr="00015252" w:rsidRDefault="00C47639" w:rsidP="00C47639">
            <w:pPr>
              <w:pStyle w:val="Standaard-Tabellen"/>
              <w:rPr>
                <w:b/>
                <w:lang w:val="es-ES"/>
              </w:rPr>
            </w:pPr>
            <w:r w:rsidRPr="00015252">
              <w:rPr>
                <w:b/>
                <w:lang w:val="es-ES"/>
              </w:rPr>
              <w:t>AEL</w:t>
            </w:r>
          </w:p>
          <w:p w14:paraId="4D68E0A8" w14:textId="77777777" w:rsidR="00C47639" w:rsidRPr="00015252" w:rsidRDefault="00C47639" w:rsidP="00C47639">
            <w:pPr>
              <w:pStyle w:val="Standaard-Tabellen"/>
              <w:rPr>
                <w:b/>
                <w:lang w:val="es-ES"/>
              </w:rPr>
            </w:pPr>
            <w:r>
              <w:rPr>
                <w:b/>
                <w:lang w:val="es-ES"/>
              </w:rPr>
              <w:t>[</w:t>
            </w:r>
            <w:r w:rsidRPr="00015252">
              <w:rPr>
                <w:b/>
                <w:lang w:val="es-ES"/>
              </w:rPr>
              <w:t xml:space="preserve">mg/kg </w:t>
            </w:r>
            <w:proofErr w:type="spellStart"/>
            <w:r w:rsidRPr="00015252">
              <w:rPr>
                <w:b/>
                <w:lang w:val="es-ES"/>
              </w:rPr>
              <w:t>bw</w:t>
            </w:r>
            <w:proofErr w:type="spellEnd"/>
            <w:r w:rsidRPr="00015252">
              <w:rPr>
                <w:b/>
                <w:lang w:val="es-ES"/>
              </w:rPr>
              <w:t>/d</w:t>
            </w:r>
            <w:r>
              <w:rPr>
                <w:b/>
                <w:lang w:val="es-ES"/>
              </w:rPr>
              <w:t>]</w:t>
            </w:r>
          </w:p>
        </w:tc>
        <w:tc>
          <w:tcPr>
            <w:tcW w:w="884" w:type="pct"/>
            <w:shd w:val="clear" w:color="auto" w:fill="BFBFBF" w:themeFill="background1" w:themeFillShade="BF"/>
          </w:tcPr>
          <w:p w14:paraId="4B7F7182" w14:textId="77777777" w:rsidR="00C47639" w:rsidRDefault="00C47639" w:rsidP="00C47639">
            <w:pPr>
              <w:pStyle w:val="Standaard-Tabellen"/>
              <w:rPr>
                <w:b/>
              </w:rPr>
            </w:pPr>
            <w:r>
              <w:rPr>
                <w:b/>
              </w:rPr>
              <w:t xml:space="preserve">Estimated </w:t>
            </w:r>
          </w:p>
          <w:p w14:paraId="73327851" w14:textId="77777777" w:rsidR="00C47639" w:rsidRDefault="00C47639" w:rsidP="00C47639">
            <w:pPr>
              <w:pStyle w:val="Standaard-Tabellen"/>
              <w:rPr>
                <w:b/>
              </w:rPr>
            </w:pPr>
            <w:r>
              <w:rPr>
                <w:b/>
              </w:rPr>
              <w:t>Uptake</w:t>
            </w:r>
          </w:p>
          <w:p w14:paraId="723EB16F" w14:textId="77777777" w:rsidR="00C47639" w:rsidRPr="00015252" w:rsidRDefault="00C47639" w:rsidP="00C47639">
            <w:pPr>
              <w:pStyle w:val="Standaard-Tabellen"/>
              <w:rPr>
                <w:b/>
              </w:rPr>
            </w:pPr>
            <w:r>
              <w:rPr>
                <w:b/>
                <w:lang w:val="es-ES"/>
              </w:rPr>
              <w:t>[</w:t>
            </w:r>
            <w:r w:rsidRPr="00015252">
              <w:rPr>
                <w:b/>
                <w:lang w:val="es-ES"/>
              </w:rPr>
              <w:t xml:space="preserve">mg/kg </w:t>
            </w:r>
            <w:proofErr w:type="spellStart"/>
            <w:r w:rsidRPr="00015252">
              <w:rPr>
                <w:b/>
                <w:lang w:val="es-ES"/>
              </w:rPr>
              <w:t>bw</w:t>
            </w:r>
            <w:proofErr w:type="spellEnd"/>
            <w:r w:rsidRPr="00015252">
              <w:rPr>
                <w:b/>
                <w:lang w:val="es-ES"/>
              </w:rPr>
              <w:t>/d</w:t>
            </w:r>
            <w:r>
              <w:rPr>
                <w:b/>
                <w:lang w:val="es-ES"/>
              </w:rPr>
              <w:t>]</w:t>
            </w:r>
          </w:p>
        </w:tc>
        <w:tc>
          <w:tcPr>
            <w:tcW w:w="672" w:type="pct"/>
            <w:shd w:val="clear" w:color="auto" w:fill="BFBFBF" w:themeFill="background1" w:themeFillShade="BF"/>
          </w:tcPr>
          <w:p w14:paraId="6A29F2D2" w14:textId="77777777" w:rsidR="00C47639" w:rsidRDefault="00C47639" w:rsidP="00C47639">
            <w:pPr>
              <w:pStyle w:val="Standaard-Tabellen"/>
              <w:rPr>
                <w:b/>
              </w:rPr>
            </w:pPr>
            <w:r w:rsidRPr="00015252">
              <w:rPr>
                <w:b/>
              </w:rPr>
              <w:t xml:space="preserve">Estimated </w:t>
            </w:r>
          </w:p>
          <w:p w14:paraId="66555A19" w14:textId="77777777" w:rsidR="00C47639" w:rsidRDefault="00C47639" w:rsidP="00C47639">
            <w:pPr>
              <w:pStyle w:val="Standaard-Tabellen"/>
              <w:rPr>
                <w:b/>
              </w:rPr>
            </w:pPr>
            <w:r w:rsidRPr="00015252">
              <w:rPr>
                <w:b/>
              </w:rPr>
              <w:t xml:space="preserve">uptake/ AEL </w:t>
            </w:r>
          </w:p>
          <w:p w14:paraId="736E5BED" w14:textId="77777777" w:rsidR="00C47639" w:rsidRPr="00015252" w:rsidRDefault="00C47639" w:rsidP="00C47639">
            <w:pPr>
              <w:pStyle w:val="Standaard-Tabellen"/>
              <w:rPr>
                <w:b/>
              </w:rPr>
            </w:pPr>
            <w:r w:rsidRPr="00015252">
              <w:rPr>
                <w:b/>
              </w:rPr>
              <w:t>(%)</w:t>
            </w:r>
          </w:p>
        </w:tc>
        <w:tc>
          <w:tcPr>
            <w:tcW w:w="773" w:type="pct"/>
            <w:shd w:val="clear" w:color="auto" w:fill="BFBFBF" w:themeFill="background1" w:themeFillShade="BF"/>
          </w:tcPr>
          <w:p w14:paraId="6BC9940C" w14:textId="77777777" w:rsidR="00C47639" w:rsidRPr="00015252" w:rsidRDefault="00C47639" w:rsidP="00C47639">
            <w:pPr>
              <w:pStyle w:val="Standaard-Tabellen"/>
              <w:rPr>
                <w:b/>
              </w:rPr>
            </w:pPr>
            <w:r w:rsidRPr="00015252">
              <w:rPr>
                <w:b/>
              </w:rPr>
              <w:t>Acceptable</w:t>
            </w:r>
          </w:p>
          <w:p w14:paraId="2F41816D" w14:textId="77777777" w:rsidR="00C47639" w:rsidRPr="00015252" w:rsidRDefault="00C47639" w:rsidP="00C47639">
            <w:pPr>
              <w:pStyle w:val="Standaard-Tabellen"/>
              <w:rPr>
                <w:b/>
              </w:rPr>
            </w:pPr>
            <w:r w:rsidRPr="00015252">
              <w:rPr>
                <w:b/>
              </w:rPr>
              <w:t>(yes/no)</w:t>
            </w:r>
          </w:p>
        </w:tc>
      </w:tr>
      <w:tr w:rsidR="00C47639" w:rsidRPr="00FD2055" w14:paraId="64C1BC8D" w14:textId="77777777" w:rsidTr="00C47639">
        <w:tc>
          <w:tcPr>
            <w:tcW w:w="1057" w:type="pct"/>
            <w:shd w:val="clear" w:color="auto" w:fill="auto"/>
          </w:tcPr>
          <w:p w14:paraId="7FECAFE4" w14:textId="77777777" w:rsidR="00C47639" w:rsidRPr="00FD2055" w:rsidRDefault="00C47639" w:rsidP="00C47639">
            <w:pPr>
              <w:pStyle w:val="Standaard-Tabellen"/>
            </w:pPr>
            <w:r w:rsidRPr="0091532F">
              <w:rPr>
                <w:szCs w:val="18"/>
                <w:lang w:eastAsia="en-US"/>
              </w:rPr>
              <w:t>Scenario 1, dermal, adult</w:t>
            </w:r>
          </w:p>
        </w:tc>
        <w:tc>
          <w:tcPr>
            <w:tcW w:w="324" w:type="pct"/>
            <w:shd w:val="clear" w:color="auto" w:fill="auto"/>
          </w:tcPr>
          <w:p w14:paraId="3624AF58"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867A400" w14:textId="77777777" w:rsidR="00C47639" w:rsidRPr="00FD2055" w:rsidRDefault="00C47639" w:rsidP="00C47639">
            <w:pPr>
              <w:pStyle w:val="Standaard-Tabellen"/>
            </w:pPr>
            <w:r>
              <w:rPr>
                <w:szCs w:val="18"/>
                <w:lang w:eastAsia="en-US"/>
              </w:rPr>
              <w:t>500</w:t>
            </w:r>
          </w:p>
        </w:tc>
        <w:tc>
          <w:tcPr>
            <w:tcW w:w="629" w:type="pct"/>
            <w:shd w:val="clear" w:color="auto" w:fill="auto"/>
          </w:tcPr>
          <w:p w14:paraId="7B0B7674" w14:textId="77777777" w:rsidR="00C47639" w:rsidRPr="00FD2055" w:rsidRDefault="00C47639" w:rsidP="00C47639">
            <w:pPr>
              <w:pStyle w:val="Standaard-Tabellen"/>
            </w:pPr>
            <w:r>
              <w:rPr>
                <w:szCs w:val="18"/>
                <w:lang w:eastAsia="en-US"/>
              </w:rPr>
              <w:t>5</w:t>
            </w:r>
          </w:p>
        </w:tc>
        <w:tc>
          <w:tcPr>
            <w:tcW w:w="884" w:type="pct"/>
            <w:tcBorders>
              <w:top w:val="single" w:sz="4" w:space="0" w:color="auto"/>
            </w:tcBorders>
            <w:shd w:val="clear" w:color="auto" w:fill="auto"/>
            <w:vAlign w:val="center"/>
          </w:tcPr>
          <w:p w14:paraId="01CC33E9" w14:textId="77777777" w:rsidR="00C47639" w:rsidRPr="007A59C5" w:rsidRDefault="00C47639" w:rsidP="00C47639">
            <w:pPr>
              <w:pStyle w:val="Standaard-Tabellen"/>
            </w:pPr>
            <w:r w:rsidRPr="00B42FAC">
              <w:t xml:space="preserve">8.56 </w:t>
            </w:r>
          </w:p>
        </w:tc>
        <w:tc>
          <w:tcPr>
            <w:tcW w:w="672" w:type="pct"/>
            <w:shd w:val="clear" w:color="auto" w:fill="auto"/>
            <w:vAlign w:val="center"/>
          </w:tcPr>
          <w:p w14:paraId="11F01730" w14:textId="77777777" w:rsidR="00C47639" w:rsidRPr="00B42FAC" w:rsidRDefault="00C47639" w:rsidP="00C47639">
            <w:pPr>
              <w:pStyle w:val="Standaard-Tabellen"/>
              <w:rPr>
                <w:color w:val="FF0000"/>
              </w:rPr>
            </w:pPr>
            <w:r>
              <w:rPr>
                <w:color w:val="FF0000"/>
                <w:szCs w:val="18"/>
                <w:lang w:eastAsia="en-US"/>
              </w:rPr>
              <w:t>171.28</w:t>
            </w:r>
          </w:p>
        </w:tc>
        <w:tc>
          <w:tcPr>
            <w:tcW w:w="773" w:type="pct"/>
            <w:shd w:val="clear" w:color="auto" w:fill="auto"/>
            <w:vAlign w:val="center"/>
          </w:tcPr>
          <w:p w14:paraId="42B63FFE" w14:textId="77777777" w:rsidR="00C47639" w:rsidRPr="00B42FAC" w:rsidRDefault="00C47639" w:rsidP="00C47639">
            <w:pPr>
              <w:pStyle w:val="Standaard-Tabellen"/>
              <w:rPr>
                <w:color w:val="FF0000"/>
              </w:rPr>
            </w:pPr>
            <w:r w:rsidRPr="00B42FAC">
              <w:rPr>
                <w:color w:val="FF0000"/>
                <w:szCs w:val="18"/>
                <w:lang w:eastAsia="en-US"/>
              </w:rPr>
              <w:t xml:space="preserve">No </w:t>
            </w:r>
          </w:p>
        </w:tc>
      </w:tr>
      <w:tr w:rsidR="00C47639" w:rsidRPr="00FD2055" w14:paraId="2180B1B7" w14:textId="77777777" w:rsidTr="00C47639">
        <w:tc>
          <w:tcPr>
            <w:tcW w:w="1057" w:type="pct"/>
            <w:shd w:val="clear" w:color="auto" w:fill="auto"/>
          </w:tcPr>
          <w:p w14:paraId="776B5FC9" w14:textId="77777777" w:rsidR="00C47639" w:rsidRPr="00FD2055" w:rsidRDefault="00C47639" w:rsidP="00C47639">
            <w:pPr>
              <w:pStyle w:val="Standaard-Tabellen"/>
            </w:pPr>
            <w:r w:rsidRPr="0091532F">
              <w:rPr>
                <w:szCs w:val="18"/>
                <w:lang w:eastAsia="en-US"/>
              </w:rPr>
              <w:t>Scenario 1, dermal, child</w:t>
            </w:r>
            <w:r>
              <w:rPr>
                <w:szCs w:val="18"/>
                <w:lang w:eastAsia="en-US"/>
              </w:rPr>
              <w:t xml:space="preserve"> (6-12)</w:t>
            </w:r>
          </w:p>
        </w:tc>
        <w:tc>
          <w:tcPr>
            <w:tcW w:w="324" w:type="pct"/>
            <w:shd w:val="clear" w:color="auto" w:fill="auto"/>
          </w:tcPr>
          <w:p w14:paraId="6D4697CE"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483AA85B" w14:textId="77777777" w:rsidR="00C47639" w:rsidRPr="00FD2055" w:rsidRDefault="00C47639" w:rsidP="00C47639">
            <w:pPr>
              <w:pStyle w:val="Standaard-Tabellen"/>
            </w:pPr>
            <w:r>
              <w:rPr>
                <w:szCs w:val="18"/>
                <w:lang w:eastAsia="en-US"/>
              </w:rPr>
              <w:t>500</w:t>
            </w:r>
          </w:p>
        </w:tc>
        <w:tc>
          <w:tcPr>
            <w:tcW w:w="629" w:type="pct"/>
            <w:shd w:val="clear" w:color="auto" w:fill="auto"/>
          </w:tcPr>
          <w:p w14:paraId="0D5981E7"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3DD94266" w14:textId="77777777" w:rsidR="00C47639" w:rsidRPr="007A59C5" w:rsidRDefault="00C47639" w:rsidP="00C47639">
            <w:pPr>
              <w:pStyle w:val="Standaard-Tabellen"/>
            </w:pPr>
            <w:r w:rsidRPr="00B42FAC">
              <w:t xml:space="preserve">7.94 </w:t>
            </w:r>
          </w:p>
        </w:tc>
        <w:tc>
          <w:tcPr>
            <w:tcW w:w="672" w:type="pct"/>
            <w:shd w:val="clear" w:color="auto" w:fill="auto"/>
            <w:vAlign w:val="center"/>
          </w:tcPr>
          <w:p w14:paraId="52D527D5" w14:textId="77777777" w:rsidR="00C47639" w:rsidRPr="00B42FAC" w:rsidRDefault="00C47639" w:rsidP="00C47639">
            <w:pPr>
              <w:pStyle w:val="Standaard-Tabellen"/>
              <w:rPr>
                <w:color w:val="FF0000"/>
              </w:rPr>
            </w:pPr>
            <w:r>
              <w:rPr>
                <w:color w:val="FF0000"/>
                <w:szCs w:val="18"/>
                <w:lang w:eastAsia="en-US"/>
              </w:rPr>
              <w:t>158.87</w:t>
            </w:r>
          </w:p>
        </w:tc>
        <w:tc>
          <w:tcPr>
            <w:tcW w:w="773" w:type="pct"/>
            <w:shd w:val="clear" w:color="auto" w:fill="auto"/>
            <w:vAlign w:val="center"/>
          </w:tcPr>
          <w:p w14:paraId="5665FBFB" w14:textId="77777777" w:rsidR="00C47639" w:rsidRPr="00B42FAC" w:rsidRDefault="00C47639" w:rsidP="00C47639">
            <w:pPr>
              <w:pStyle w:val="Standaard-Tabellen"/>
              <w:rPr>
                <w:color w:val="FF0000"/>
              </w:rPr>
            </w:pPr>
            <w:r w:rsidRPr="00B42FAC">
              <w:rPr>
                <w:color w:val="FF0000"/>
                <w:szCs w:val="18"/>
                <w:lang w:eastAsia="en-US"/>
              </w:rPr>
              <w:t xml:space="preserve">No </w:t>
            </w:r>
          </w:p>
        </w:tc>
      </w:tr>
      <w:tr w:rsidR="00C47639" w:rsidRPr="00FD2055" w14:paraId="56BA46A9" w14:textId="77777777" w:rsidTr="00C47639">
        <w:tc>
          <w:tcPr>
            <w:tcW w:w="1057" w:type="pct"/>
            <w:shd w:val="clear" w:color="auto" w:fill="auto"/>
          </w:tcPr>
          <w:p w14:paraId="612E71AD" w14:textId="77777777" w:rsidR="00C47639" w:rsidRPr="0091532F" w:rsidRDefault="00C47639" w:rsidP="00C47639">
            <w:pPr>
              <w:pStyle w:val="Standaard-Tabellen"/>
              <w:rPr>
                <w:szCs w:val="18"/>
                <w:lang w:eastAsia="en-US"/>
              </w:rPr>
            </w:pPr>
            <w:r w:rsidRPr="0091532F">
              <w:rPr>
                <w:szCs w:val="18"/>
                <w:lang w:eastAsia="en-US"/>
              </w:rPr>
              <w:t>Scenario 1, dermal, child</w:t>
            </w:r>
            <w:r>
              <w:rPr>
                <w:szCs w:val="18"/>
                <w:lang w:eastAsia="en-US"/>
              </w:rPr>
              <w:t xml:space="preserve"> (2-6)</w:t>
            </w:r>
          </w:p>
        </w:tc>
        <w:tc>
          <w:tcPr>
            <w:tcW w:w="324" w:type="pct"/>
            <w:shd w:val="clear" w:color="auto" w:fill="auto"/>
          </w:tcPr>
          <w:p w14:paraId="4DCBDC87" w14:textId="77777777" w:rsidR="00C47639" w:rsidRPr="0091532F" w:rsidRDefault="00C47639" w:rsidP="00C47639">
            <w:pPr>
              <w:pStyle w:val="Standaard-Tabellen"/>
              <w:rPr>
                <w:szCs w:val="18"/>
                <w:lang w:eastAsia="en-US"/>
              </w:rPr>
            </w:pPr>
            <w:r w:rsidRPr="0091532F">
              <w:rPr>
                <w:szCs w:val="18"/>
                <w:lang w:eastAsia="en-US"/>
              </w:rPr>
              <w:t>1</w:t>
            </w:r>
          </w:p>
        </w:tc>
        <w:tc>
          <w:tcPr>
            <w:tcW w:w="660" w:type="pct"/>
            <w:shd w:val="clear" w:color="auto" w:fill="auto"/>
          </w:tcPr>
          <w:p w14:paraId="20D8095A" w14:textId="77777777" w:rsidR="00C47639" w:rsidRDefault="00C47639" w:rsidP="00C47639">
            <w:pPr>
              <w:pStyle w:val="Standaard-Tabellen"/>
              <w:rPr>
                <w:szCs w:val="18"/>
                <w:lang w:eastAsia="en-US"/>
              </w:rPr>
            </w:pPr>
            <w:r>
              <w:rPr>
                <w:szCs w:val="18"/>
                <w:lang w:eastAsia="en-US"/>
              </w:rPr>
              <w:t>500</w:t>
            </w:r>
          </w:p>
        </w:tc>
        <w:tc>
          <w:tcPr>
            <w:tcW w:w="629" w:type="pct"/>
            <w:shd w:val="clear" w:color="auto" w:fill="auto"/>
          </w:tcPr>
          <w:p w14:paraId="1AEB812A" w14:textId="77777777" w:rsidR="00C47639" w:rsidRDefault="00C47639" w:rsidP="00C47639">
            <w:pPr>
              <w:pStyle w:val="Standaard-Tabellen"/>
              <w:rPr>
                <w:szCs w:val="18"/>
                <w:lang w:eastAsia="en-US"/>
              </w:rPr>
            </w:pPr>
            <w:r>
              <w:rPr>
                <w:szCs w:val="18"/>
                <w:lang w:eastAsia="en-US"/>
              </w:rPr>
              <w:t>5</w:t>
            </w:r>
          </w:p>
        </w:tc>
        <w:tc>
          <w:tcPr>
            <w:tcW w:w="884" w:type="pct"/>
            <w:shd w:val="clear" w:color="auto" w:fill="auto"/>
            <w:vAlign w:val="center"/>
          </w:tcPr>
          <w:p w14:paraId="57C6D5F7" w14:textId="77777777" w:rsidR="00C47639" w:rsidRPr="00412894" w:rsidRDefault="00C47639" w:rsidP="00C47639">
            <w:pPr>
              <w:pStyle w:val="Standaard-Tabellen"/>
              <w:rPr>
                <w:rFonts w:cs="Arial"/>
                <w:szCs w:val="18"/>
              </w:rPr>
            </w:pPr>
            <w:r w:rsidRPr="00B42FAC">
              <w:t xml:space="preserve">8.99 </w:t>
            </w:r>
          </w:p>
        </w:tc>
        <w:tc>
          <w:tcPr>
            <w:tcW w:w="672" w:type="pct"/>
            <w:shd w:val="clear" w:color="auto" w:fill="auto"/>
            <w:vAlign w:val="center"/>
          </w:tcPr>
          <w:p w14:paraId="020B36EE" w14:textId="77777777" w:rsidR="00C47639" w:rsidRPr="00B42FAC" w:rsidRDefault="00C47639" w:rsidP="00C47639">
            <w:pPr>
              <w:pStyle w:val="Standaard-Tabellen"/>
              <w:rPr>
                <w:color w:val="FF0000"/>
                <w:szCs w:val="18"/>
                <w:lang w:eastAsia="en-US"/>
              </w:rPr>
            </w:pPr>
            <w:r>
              <w:rPr>
                <w:color w:val="FF0000"/>
                <w:szCs w:val="18"/>
                <w:lang w:eastAsia="en-US"/>
              </w:rPr>
              <w:t>179.90</w:t>
            </w:r>
          </w:p>
        </w:tc>
        <w:tc>
          <w:tcPr>
            <w:tcW w:w="773" w:type="pct"/>
            <w:shd w:val="clear" w:color="auto" w:fill="auto"/>
            <w:vAlign w:val="center"/>
          </w:tcPr>
          <w:p w14:paraId="034705E8" w14:textId="77777777" w:rsidR="00C47639" w:rsidRPr="00B42FAC" w:rsidRDefault="00C47639" w:rsidP="00C47639">
            <w:pPr>
              <w:pStyle w:val="Standaard-Tabellen"/>
              <w:rPr>
                <w:color w:val="FF0000"/>
                <w:szCs w:val="18"/>
                <w:lang w:eastAsia="en-US"/>
              </w:rPr>
            </w:pPr>
            <w:r w:rsidRPr="00B42FAC">
              <w:rPr>
                <w:color w:val="FF0000"/>
                <w:szCs w:val="18"/>
                <w:lang w:eastAsia="en-US"/>
              </w:rPr>
              <w:t>No</w:t>
            </w:r>
          </w:p>
        </w:tc>
      </w:tr>
      <w:tr w:rsidR="00C47639" w:rsidRPr="00FD2055" w14:paraId="1FD3BC39" w14:textId="77777777" w:rsidTr="00C47639">
        <w:tc>
          <w:tcPr>
            <w:tcW w:w="1057" w:type="pct"/>
            <w:shd w:val="clear" w:color="auto" w:fill="auto"/>
          </w:tcPr>
          <w:p w14:paraId="4335A6C5" w14:textId="77777777" w:rsidR="00C47639" w:rsidRPr="00FD2055" w:rsidRDefault="00C47639" w:rsidP="00C47639">
            <w:pPr>
              <w:pStyle w:val="Standaard-Tabellen"/>
            </w:pPr>
            <w:r w:rsidRPr="0091532F">
              <w:rPr>
                <w:szCs w:val="18"/>
                <w:lang w:eastAsia="en-US"/>
              </w:rPr>
              <w:t>Scenario 1, dermal, toddler</w:t>
            </w:r>
          </w:p>
        </w:tc>
        <w:tc>
          <w:tcPr>
            <w:tcW w:w="324" w:type="pct"/>
            <w:shd w:val="clear" w:color="auto" w:fill="auto"/>
          </w:tcPr>
          <w:p w14:paraId="7C4B9C8B"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7BC17D8C" w14:textId="77777777" w:rsidR="00C47639" w:rsidRPr="00FD2055" w:rsidRDefault="00C47639" w:rsidP="00C47639">
            <w:pPr>
              <w:pStyle w:val="Standaard-Tabellen"/>
            </w:pPr>
            <w:r>
              <w:rPr>
                <w:szCs w:val="18"/>
                <w:lang w:eastAsia="en-US"/>
              </w:rPr>
              <w:t>500</w:t>
            </w:r>
          </w:p>
        </w:tc>
        <w:tc>
          <w:tcPr>
            <w:tcW w:w="629" w:type="pct"/>
            <w:shd w:val="clear" w:color="auto" w:fill="auto"/>
          </w:tcPr>
          <w:p w14:paraId="48FA6A35"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49C940F4" w14:textId="77777777" w:rsidR="00C47639" w:rsidRPr="007A59C5" w:rsidRDefault="00C47639" w:rsidP="00C47639">
            <w:pPr>
              <w:pStyle w:val="Standaard-Tabellen"/>
            </w:pPr>
            <w:r w:rsidRPr="00412894">
              <w:t xml:space="preserve">4.95 </w:t>
            </w:r>
          </w:p>
        </w:tc>
        <w:tc>
          <w:tcPr>
            <w:tcW w:w="672" w:type="pct"/>
            <w:shd w:val="clear" w:color="auto" w:fill="auto"/>
            <w:vAlign w:val="center"/>
          </w:tcPr>
          <w:p w14:paraId="48CDB857" w14:textId="77777777" w:rsidR="00C47639" w:rsidRPr="00FD2055" w:rsidRDefault="00C47639" w:rsidP="00C47639">
            <w:pPr>
              <w:pStyle w:val="Standaard-Tabellen"/>
            </w:pPr>
            <w:r>
              <w:rPr>
                <w:szCs w:val="18"/>
                <w:lang w:eastAsia="en-US"/>
              </w:rPr>
              <w:t>99.05</w:t>
            </w:r>
          </w:p>
        </w:tc>
        <w:tc>
          <w:tcPr>
            <w:tcW w:w="773" w:type="pct"/>
            <w:shd w:val="clear" w:color="auto" w:fill="auto"/>
            <w:vAlign w:val="center"/>
          </w:tcPr>
          <w:p w14:paraId="1725CA6F"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r w:rsidR="00C47639" w:rsidRPr="00FD2055" w14:paraId="6BF44A6B" w14:textId="77777777" w:rsidTr="00C47639">
        <w:tc>
          <w:tcPr>
            <w:tcW w:w="1057" w:type="pct"/>
            <w:tcBorders>
              <w:bottom w:val="double" w:sz="4" w:space="0" w:color="auto"/>
            </w:tcBorders>
            <w:shd w:val="clear" w:color="auto" w:fill="auto"/>
          </w:tcPr>
          <w:p w14:paraId="18E89D84" w14:textId="77777777" w:rsidR="00C47639" w:rsidRPr="00FD2055" w:rsidRDefault="00C47639" w:rsidP="00C47639">
            <w:pPr>
              <w:pStyle w:val="Standaard-Tabellen"/>
            </w:pPr>
            <w:r w:rsidRPr="0091532F">
              <w:rPr>
                <w:szCs w:val="18"/>
                <w:lang w:eastAsia="en-US"/>
              </w:rPr>
              <w:t>Scenario 1, dermal, infant</w:t>
            </w:r>
          </w:p>
        </w:tc>
        <w:tc>
          <w:tcPr>
            <w:tcW w:w="324" w:type="pct"/>
            <w:tcBorders>
              <w:bottom w:val="double" w:sz="4" w:space="0" w:color="auto"/>
            </w:tcBorders>
            <w:shd w:val="clear" w:color="auto" w:fill="auto"/>
          </w:tcPr>
          <w:p w14:paraId="2EEF9D62" w14:textId="77777777" w:rsidR="00C47639" w:rsidRPr="00FD2055" w:rsidRDefault="00C47639" w:rsidP="00C47639">
            <w:pPr>
              <w:pStyle w:val="Standaard-Tabellen"/>
            </w:pPr>
            <w:r w:rsidRPr="0091532F">
              <w:rPr>
                <w:szCs w:val="18"/>
                <w:lang w:eastAsia="en-US"/>
              </w:rPr>
              <w:t>1</w:t>
            </w:r>
          </w:p>
        </w:tc>
        <w:tc>
          <w:tcPr>
            <w:tcW w:w="660" w:type="pct"/>
            <w:tcBorders>
              <w:bottom w:val="double" w:sz="4" w:space="0" w:color="auto"/>
            </w:tcBorders>
            <w:shd w:val="clear" w:color="auto" w:fill="auto"/>
          </w:tcPr>
          <w:p w14:paraId="39757691" w14:textId="77777777" w:rsidR="00C47639" w:rsidRPr="00FD2055" w:rsidRDefault="00C47639" w:rsidP="00C47639">
            <w:pPr>
              <w:pStyle w:val="Standaard-Tabellen"/>
            </w:pPr>
            <w:r>
              <w:rPr>
                <w:szCs w:val="18"/>
                <w:lang w:eastAsia="en-US"/>
              </w:rPr>
              <w:t>500</w:t>
            </w:r>
          </w:p>
        </w:tc>
        <w:tc>
          <w:tcPr>
            <w:tcW w:w="629" w:type="pct"/>
            <w:tcBorders>
              <w:bottom w:val="double" w:sz="4" w:space="0" w:color="auto"/>
            </w:tcBorders>
            <w:shd w:val="clear" w:color="auto" w:fill="auto"/>
          </w:tcPr>
          <w:p w14:paraId="6A527AD4" w14:textId="77777777" w:rsidR="00C47639" w:rsidRPr="00FD2055" w:rsidRDefault="00C47639" w:rsidP="00C47639">
            <w:pPr>
              <w:pStyle w:val="Standaard-Tabellen"/>
            </w:pPr>
            <w:r>
              <w:rPr>
                <w:szCs w:val="18"/>
                <w:lang w:eastAsia="en-US"/>
              </w:rPr>
              <w:t>5</w:t>
            </w:r>
          </w:p>
        </w:tc>
        <w:tc>
          <w:tcPr>
            <w:tcW w:w="884" w:type="pct"/>
            <w:tcBorders>
              <w:bottom w:val="double" w:sz="4" w:space="0" w:color="auto"/>
            </w:tcBorders>
            <w:shd w:val="clear" w:color="auto" w:fill="auto"/>
            <w:vAlign w:val="center"/>
          </w:tcPr>
          <w:p w14:paraId="793F1544" w14:textId="77777777" w:rsidR="00C47639" w:rsidRPr="007A59C5" w:rsidRDefault="00C47639" w:rsidP="00C47639">
            <w:pPr>
              <w:pStyle w:val="Standaard-Tabellen"/>
            </w:pPr>
            <w:r w:rsidRPr="00B42FAC">
              <w:t>5.29</w:t>
            </w:r>
            <w:r w:rsidRPr="00412894">
              <w:t xml:space="preserve"> </w:t>
            </w:r>
          </w:p>
        </w:tc>
        <w:tc>
          <w:tcPr>
            <w:tcW w:w="672" w:type="pct"/>
            <w:tcBorders>
              <w:bottom w:val="double" w:sz="4" w:space="0" w:color="auto"/>
            </w:tcBorders>
            <w:shd w:val="clear" w:color="auto" w:fill="auto"/>
            <w:vAlign w:val="center"/>
          </w:tcPr>
          <w:p w14:paraId="041FD462" w14:textId="77777777" w:rsidR="00C47639" w:rsidRPr="00FD2055" w:rsidRDefault="00C47639" w:rsidP="00C47639">
            <w:pPr>
              <w:pStyle w:val="Standaard-Tabellen"/>
            </w:pPr>
            <w:r>
              <w:rPr>
                <w:color w:val="FF0000"/>
                <w:szCs w:val="18"/>
                <w:lang w:eastAsia="en-US"/>
              </w:rPr>
              <w:t>105.76</w:t>
            </w:r>
          </w:p>
        </w:tc>
        <w:tc>
          <w:tcPr>
            <w:tcW w:w="773" w:type="pct"/>
            <w:tcBorders>
              <w:bottom w:val="double" w:sz="4" w:space="0" w:color="auto"/>
            </w:tcBorders>
            <w:shd w:val="clear" w:color="auto" w:fill="auto"/>
            <w:vAlign w:val="center"/>
          </w:tcPr>
          <w:p w14:paraId="54235EAF" w14:textId="77777777" w:rsidR="00C47639" w:rsidRPr="00FD2055" w:rsidRDefault="00C47639" w:rsidP="00C47639">
            <w:pPr>
              <w:pStyle w:val="Standaard-Tabellen"/>
            </w:pPr>
            <w:r w:rsidRPr="00B42FAC">
              <w:rPr>
                <w:color w:val="FF0000"/>
                <w:szCs w:val="18"/>
                <w:lang w:eastAsia="en-US"/>
              </w:rPr>
              <w:t>No</w:t>
            </w:r>
            <w:r>
              <w:rPr>
                <w:szCs w:val="18"/>
                <w:lang w:eastAsia="en-US"/>
              </w:rPr>
              <w:t xml:space="preserve"> </w:t>
            </w:r>
          </w:p>
        </w:tc>
      </w:tr>
      <w:tr w:rsidR="00C47639" w:rsidRPr="00FD2055" w14:paraId="47AF248D" w14:textId="77777777" w:rsidTr="00C47639">
        <w:tc>
          <w:tcPr>
            <w:tcW w:w="1057" w:type="pct"/>
            <w:tcBorders>
              <w:top w:val="double" w:sz="4" w:space="0" w:color="auto"/>
            </w:tcBorders>
            <w:shd w:val="clear" w:color="auto" w:fill="auto"/>
          </w:tcPr>
          <w:p w14:paraId="15D7EBD3" w14:textId="77777777" w:rsidR="00C47639" w:rsidRPr="0091532F" w:rsidRDefault="00C47639" w:rsidP="00C47639">
            <w:pPr>
              <w:pStyle w:val="Standaard-Tabellen"/>
              <w:rPr>
                <w:szCs w:val="18"/>
                <w:lang w:eastAsia="en-US"/>
              </w:rPr>
            </w:pPr>
            <w:r w:rsidRPr="0091532F">
              <w:rPr>
                <w:szCs w:val="18"/>
                <w:lang w:eastAsia="en-US"/>
              </w:rPr>
              <w:t>Scenario 1, dermal, adult</w:t>
            </w:r>
          </w:p>
        </w:tc>
        <w:tc>
          <w:tcPr>
            <w:tcW w:w="324" w:type="pct"/>
            <w:tcBorders>
              <w:top w:val="double" w:sz="4" w:space="0" w:color="auto"/>
            </w:tcBorders>
            <w:shd w:val="clear" w:color="auto" w:fill="auto"/>
          </w:tcPr>
          <w:p w14:paraId="177EC85C" w14:textId="77777777" w:rsidR="00C47639" w:rsidRPr="0091532F" w:rsidRDefault="00C47639" w:rsidP="00C47639">
            <w:pPr>
              <w:pStyle w:val="Standaard-Tabellen"/>
              <w:rPr>
                <w:szCs w:val="18"/>
                <w:lang w:eastAsia="en-US"/>
              </w:rPr>
            </w:pPr>
            <w:r>
              <w:rPr>
                <w:szCs w:val="18"/>
                <w:lang w:eastAsia="en-US"/>
              </w:rPr>
              <w:t>2</w:t>
            </w:r>
          </w:p>
        </w:tc>
        <w:tc>
          <w:tcPr>
            <w:tcW w:w="660" w:type="pct"/>
            <w:tcBorders>
              <w:top w:val="double" w:sz="4" w:space="0" w:color="auto"/>
            </w:tcBorders>
            <w:shd w:val="clear" w:color="auto" w:fill="auto"/>
          </w:tcPr>
          <w:p w14:paraId="75D92891" w14:textId="77777777" w:rsidR="00C47639" w:rsidRDefault="00C47639" w:rsidP="00C47639">
            <w:pPr>
              <w:pStyle w:val="Standaard-Tabellen"/>
              <w:rPr>
                <w:szCs w:val="18"/>
                <w:lang w:eastAsia="en-US"/>
              </w:rPr>
            </w:pPr>
            <w:r>
              <w:rPr>
                <w:szCs w:val="18"/>
                <w:lang w:eastAsia="en-US"/>
              </w:rPr>
              <w:t>500</w:t>
            </w:r>
          </w:p>
        </w:tc>
        <w:tc>
          <w:tcPr>
            <w:tcW w:w="629" w:type="pct"/>
            <w:tcBorders>
              <w:top w:val="double" w:sz="4" w:space="0" w:color="auto"/>
            </w:tcBorders>
            <w:shd w:val="clear" w:color="auto" w:fill="auto"/>
          </w:tcPr>
          <w:p w14:paraId="26F636E4" w14:textId="77777777" w:rsidR="00C47639" w:rsidRDefault="00C47639" w:rsidP="00C47639">
            <w:pPr>
              <w:pStyle w:val="Standaard-Tabellen"/>
              <w:rPr>
                <w:szCs w:val="18"/>
                <w:lang w:eastAsia="en-US"/>
              </w:rPr>
            </w:pPr>
            <w:r>
              <w:rPr>
                <w:szCs w:val="18"/>
                <w:lang w:eastAsia="en-US"/>
              </w:rPr>
              <w:t>5</w:t>
            </w:r>
          </w:p>
        </w:tc>
        <w:tc>
          <w:tcPr>
            <w:tcW w:w="884" w:type="pct"/>
            <w:tcBorders>
              <w:top w:val="double" w:sz="4" w:space="0" w:color="auto"/>
            </w:tcBorders>
            <w:shd w:val="clear" w:color="auto" w:fill="auto"/>
            <w:vAlign w:val="center"/>
          </w:tcPr>
          <w:p w14:paraId="4EA4982D" w14:textId="77777777" w:rsidR="00C47639" w:rsidRDefault="00C47639" w:rsidP="00C47639">
            <w:pPr>
              <w:pStyle w:val="Standaard-Tabellen"/>
              <w:rPr>
                <w:rFonts w:cs="Arial"/>
                <w:szCs w:val="18"/>
              </w:rPr>
            </w:pPr>
            <w:r w:rsidRPr="00B42FAC">
              <w:t xml:space="preserve">5.71 </w:t>
            </w:r>
          </w:p>
        </w:tc>
        <w:tc>
          <w:tcPr>
            <w:tcW w:w="672" w:type="pct"/>
            <w:tcBorders>
              <w:top w:val="double" w:sz="4" w:space="0" w:color="auto"/>
            </w:tcBorders>
            <w:shd w:val="clear" w:color="auto" w:fill="auto"/>
            <w:vAlign w:val="center"/>
          </w:tcPr>
          <w:p w14:paraId="1B6EDDE7" w14:textId="77777777" w:rsidR="00C47639" w:rsidRDefault="00C47639" w:rsidP="00C47639">
            <w:pPr>
              <w:pStyle w:val="Standaard-Tabellen"/>
              <w:rPr>
                <w:szCs w:val="18"/>
                <w:lang w:eastAsia="en-US"/>
              </w:rPr>
            </w:pPr>
            <w:r w:rsidRPr="00B42FAC">
              <w:rPr>
                <w:color w:val="FF0000"/>
                <w:szCs w:val="18"/>
                <w:lang w:eastAsia="en-US"/>
              </w:rPr>
              <w:t>114.19</w:t>
            </w:r>
          </w:p>
        </w:tc>
        <w:tc>
          <w:tcPr>
            <w:tcW w:w="773" w:type="pct"/>
            <w:shd w:val="clear" w:color="auto" w:fill="auto"/>
            <w:vAlign w:val="center"/>
          </w:tcPr>
          <w:p w14:paraId="07439B72" w14:textId="77777777" w:rsidR="00C47639" w:rsidRPr="0091532F" w:rsidRDefault="00C47639" w:rsidP="00C47639">
            <w:pPr>
              <w:pStyle w:val="Standaard-Tabellen"/>
              <w:rPr>
                <w:szCs w:val="18"/>
                <w:lang w:eastAsia="en-US"/>
              </w:rPr>
            </w:pPr>
            <w:r w:rsidRPr="00B42FAC">
              <w:rPr>
                <w:color w:val="FF0000"/>
                <w:szCs w:val="18"/>
                <w:lang w:eastAsia="en-US"/>
              </w:rPr>
              <w:t>No</w:t>
            </w:r>
          </w:p>
        </w:tc>
      </w:tr>
      <w:tr w:rsidR="00C47639" w:rsidRPr="00FD2055" w14:paraId="4589B604" w14:textId="77777777" w:rsidTr="00C47639">
        <w:tc>
          <w:tcPr>
            <w:tcW w:w="1057" w:type="pct"/>
            <w:shd w:val="clear" w:color="auto" w:fill="auto"/>
          </w:tcPr>
          <w:p w14:paraId="251A21A5" w14:textId="77777777" w:rsidR="00C47639" w:rsidRPr="0091532F" w:rsidRDefault="00C47639" w:rsidP="00C47639">
            <w:pPr>
              <w:pStyle w:val="Standaard-Tabellen"/>
              <w:rPr>
                <w:szCs w:val="18"/>
                <w:lang w:eastAsia="en-US"/>
              </w:rPr>
            </w:pPr>
            <w:r w:rsidRPr="0091532F">
              <w:rPr>
                <w:szCs w:val="18"/>
                <w:lang w:eastAsia="en-US"/>
              </w:rPr>
              <w:t>Scenario 1, dermal, child</w:t>
            </w:r>
            <w:r>
              <w:rPr>
                <w:szCs w:val="18"/>
                <w:lang w:eastAsia="en-US"/>
              </w:rPr>
              <w:t xml:space="preserve"> (6-12)</w:t>
            </w:r>
          </w:p>
        </w:tc>
        <w:tc>
          <w:tcPr>
            <w:tcW w:w="324" w:type="pct"/>
            <w:shd w:val="clear" w:color="auto" w:fill="auto"/>
          </w:tcPr>
          <w:p w14:paraId="76898A69" w14:textId="77777777" w:rsidR="00C47639" w:rsidRPr="0091532F" w:rsidRDefault="00C47639" w:rsidP="00C47639">
            <w:pPr>
              <w:pStyle w:val="Standaard-Tabellen"/>
              <w:rPr>
                <w:szCs w:val="18"/>
                <w:lang w:eastAsia="en-US"/>
              </w:rPr>
            </w:pPr>
            <w:r>
              <w:rPr>
                <w:szCs w:val="18"/>
                <w:lang w:eastAsia="en-US"/>
              </w:rPr>
              <w:t>2</w:t>
            </w:r>
          </w:p>
        </w:tc>
        <w:tc>
          <w:tcPr>
            <w:tcW w:w="660" w:type="pct"/>
            <w:shd w:val="clear" w:color="auto" w:fill="auto"/>
          </w:tcPr>
          <w:p w14:paraId="158FC553" w14:textId="77777777" w:rsidR="00C47639" w:rsidRDefault="00C47639" w:rsidP="00C47639">
            <w:pPr>
              <w:pStyle w:val="Standaard-Tabellen"/>
              <w:rPr>
                <w:szCs w:val="18"/>
                <w:lang w:eastAsia="en-US"/>
              </w:rPr>
            </w:pPr>
            <w:r>
              <w:rPr>
                <w:szCs w:val="18"/>
                <w:lang w:eastAsia="en-US"/>
              </w:rPr>
              <w:t>500</w:t>
            </w:r>
          </w:p>
        </w:tc>
        <w:tc>
          <w:tcPr>
            <w:tcW w:w="629" w:type="pct"/>
            <w:shd w:val="clear" w:color="auto" w:fill="auto"/>
          </w:tcPr>
          <w:p w14:paraId="4791B946" w14:textId="77777777" w:rsidR="00C47639" w:rsidRDefault="00C47639" w:rsidP="00C47639">
            <w:pPr>
              <w:pStyle w:val="Standaard-Tabellen"/>
              <w:rPr>
                <w:szCs w:val="18"/>
                <w:lang w:eastAsia="en-US"/>
              </w:rPr>
            </w:pPr>
            <w:r>
              <w:rPr>
                <w:szCs w:val="18"/>
                <w:lang w:eastAsia="en-US"/>
              </w:rPr>
              <w:t>5</w:t>
            </w:r>
          </w:p>
        </w:tc>
        <w:tc>
          <w:tcPr>
            <w:tcW w:w="884" w:type="pct"/>
            <w:shd w:val="clear" w:color="auto" w:fill="auto"/>
            <w:vAlign w:val="center"/>
          </w:tcPr>
          <w:p w14:paraId="3C7D8E24" w14:textId="77777777" w:rsidR="00C47639" w:rsidRDefault="00C47639" w:rsidP="00C47639">
            <w:pPr>
              <w:pStyle w:val="Standaard-Tabellen"/>
              <w:rPr>
                <w:rFonts w:cs="Arial"/>
                <w:szCs w:val="18"/>
              </w:rPr>
            </w:pPr>
            <w:r w:rsidRPr="000C397E">
              <w:t xml:space="preserve">3.97 </w:t>
            </w:r>
          </w:p>
        </w:tc>
        <w:tc>
          <w:tcPr>
            <w:tcW w:w="672" w:type="pct"/>
            <w:shd w:val="clear" w:color="auto" w:fill="auto"/>
            <w:vAlign w:val="center"/>
          </w:tcPr>
          <w:p w14:paraId="37C2E182" w14:textId="77777777" w:rsidR="00C47639" w:rsidRDefault="00C47639" w:rsidP="00C47639">
            <w:pPr>
              <w:pStyle w:val="Standaard-Tabellen"/>
              <w:rPr>
                <w:szCs w:val="18"/>
                <w:lang w:eastAsia="en-US"/>
              </w:rPr>
            </w:pPr>
            <w:r>
              <w:rPr>
                <w:szCs w:val="18"/>
                <w:lang w:eastAsia="en-US"/>
              </w:rPr>
              <w:t>79.43</w:t>
            </w:r>
          </w:p>
        </w:tc>
        <w:tc>
          <w:tcPr>
            <w:tcW w:w="773" w:type="pct"/>
            <w:shd w:val="clear" w:color="auto" w:fill="auto"/>
            <w:vAlign w:val="center"/>
          </w:tcPr>
          <w:p w14:paraId="4A51F751" w14:textId="77777777" w:rsidR="00C47639" w:rsidRPr="0091532F" w:rsidRDefault="00C47639" w:rsidP="00C47639">
            <w:pPr>
              <w:pStyle w:val="Standaard-Tabellen"/>
              <w:rPr>
                <w:szCs w:val="18"/>
                <w:lang w:eastAsia="en-US"/>
              </w:rPr>
            </w:pPr>
            <w:r w:rsidRPr="0091532F">
              <w:rPr>
                <w:szCs w:val="18"/>
                <w:lang w:eastAsia="en-US"/>
              </w:rPr>
              <w:t>Yes</w:t>
            </w:r>
            <w:r>
              <w:rPr>
                <w:szCs w:val="18"/>
                <w:lang w:eastAsia="en-US"/>
              </w:rPr>
              <w:t xml:space="preserve"> </w:t>
            </w:r>
          </w:p>
        </w:tc>
      </w:tr>
      <w:tr w:rsidR="00C47639" w:rsidRPr="00FD2055" w14:paraId="5E701832" w14:textId="77777777" w:rsidTr="00C47639">
        <w:tc>
          <w:tcPr>
            <w:tcW w:w="1057" w:type="pct"/>
            <w:tcBorders>
              <w:bottom w:val="double" w:sz="4" w:space="0" w:color="auto"/>
            </w:tcBorders>
            <w:shd w:val="clear" w:color="auto" w:fill="auto"/>
          </w:tcPr>
          <w:p w14:paraId="4F189E41" w14:textId="77777777" w:rsidR="00C47639" w:rsidRPr="0091532F" w:rsidRDefault="00C47639" w:rsidP="00C47639">
            <w:pPr>
              <w:pStyle w:val="Standaard-Tabellen"/>
              <w:rPr>
                <w:szCs w:val="18"/>
                <w:lang w:eastAsia="en-US"/>
              </w:rPr>
            </w:pPr>
            <w:r w:rsidRPr="0091532F">
              <w:rPr>
                <w:szCs w:val="18"/>
                <w:lang w:eastAsia="en-US"/>
              </w:rPr>
              <w:t>Scenario 1, dermal, child</w:t>
            </w:r>
            <w:r>
              <w:rPr>
                <w:szCs w:val="18"/>
                <w:lang w:eastAsia="en-US"/>
              </w:rPr>
              <w:t xml:space="preserve"> (2-6)</w:t>
            </w:r>
          </w:p>
        </w:tc>
        <w:tc>
          <w:tcPr>
            <w:tcW w:w="324" w:type="pct"/>
            <w:tcBorders>
              <w:bottom w:val="double" w:sz="4" w:space="0" w:color="auto"/>
            </w:tcBorders>
            <w:shd w:val="clear" w:color="auto" w:fill="auto"/>
          </w:tcPr>
          <w:p w14:paraId="7E7C058B" w14:textId="77777777" w:rsidR="00C47639" w:rsidRPr="0091532F" w:rsidRDefault="00C47639" w:rsidP="00C47639">
            <w:pPr>
              <w:pStyle w:val="Standaard-Tabellen"/>
              <w:rPr>
                <w:szCs w:val="18"/>
                <w:lang w:eastAsia="en-US"/>
              </w:rPr>
            </w:pPr>
            <w:r>
              <w:rPr>
                <w:szCs w:val="18"/>
                <w:lang w:eastAsia="en-US"/>
              </w:rPr>
              <w:t>2</w:t>
            </w:r>
          </w:p>
        </w:tc>
        <w:tc>
          <w:tcPr>
            <w:tcW w:w="660" w:type="pct"/>
            <w:tcBorders>
              <w:bottom w:val="double" w:sz="4" w:space="0" w:color="auto"/>
            </w:tcBorders>
            <w:shd w:val="clear" w:color="auto" w:fill="auto"/>
          </w:tcPr>
          <w:p w14:paraId="76ED8ED8" w14:textId="77777777" w:rsidR="00C47639" w:rsidRDefault="00C47639" w:rsidP="00C47639">
            <w:pPr>
              <w:pStyle w:val="Standaard-Tabellen"/>
              <w:rPr>
                <w:szCs w:val="18"/>
                <w:lang w:eastAsia="en-US"/>
              </w:rPr>
            </w:pPr>
            <w:r>
              <w:rPr>
                <w:szCs w:val="18"/>
                <w:lang w:eastAsia="en-US"/>
              </w:rPr>
              <w:t>500</w:t>
            </w:r>
          </w:p>
        </w:tc>
        <w:tc>
          <w:tcPr>
            <w:tcW w:w="629" w:type="pct"/>
            <w:tcBorders>
              <w:bottom w:val="double" w:sz="4" w:space="0" w:color="auto"/>
            </w:tcBorders>
            <w:shd w:val="clear" w:color="auto" w:fill="auto"/>
          </w:tcPr>
          <w:p w14:paraId="128DDD4C" w14:textId="77777777" w:rsidR="00C47639" w:rsidRDefault="00C47639" w:rsidP="00C47639">
            <w:pPr>
              <w:pStyle w:val="Standaard-Tabellen"/>
              <w:rPr>
                <w:szCs w:val="18"/>
                <w:lang w:eastAsia="en-US"/>
              </w:rPr>
            </w:pPr>
            <w:r>
              <w:rPr>
                <w:szCs w:val="18"/>
                <w:lang w:eastAsia="en-US"/>
              </w:rPr>
              <w:t>5</w:t>
            </w:r>
          </w:p>
        </w:tc>
        <w:tc>
          <w:tcPr>
            <w:tcW w:w="884" w:type="pct"/>
            <w:tcBorders>
              <w:bottom w:val="double" w:sz="4" w:space="0" w:color="auto"/>
            </w:tcBorders>
            <w:shd w:val="clear" w:color="auto" w:fill="auto"/>
            <w:vAlign w:val="center"/>
          </w:tcPr>
          <w:p w14:paraId="676F6494" w14:textId="77777777" w:rsidR="00C47639" w:rsidRDefault="00C47639" w:rsidP="00C47639">
            <w:pPr>
              <w:pStyle w:val="Standaard-Tabellen"/>
              <w:rPr>
                <w:rFonts w:cs="Arial"/>
                <w:szCs w:val="18"/>
              </w:rPr>
            </w:pPr>
            <w:r w:rsidRPr="000C397E">
              <w:t xml:space="preserve">4.50 </w:t>
            </w:r>
          </w:p>
        </w:tc>
        <w:tc>
          <w:tcPr>
            <w:tcW w:w="672" w:type="pct"/>
            <w:tcBorders>
              <w:bottom w:val="double" w:sz="4" w:space="0" w:color="auto"/>
            </w:tcBorders>
            <w:shd w:val="clear" w:color="auto" w:fill="auto"/>
            <w:vAlign w:val="center"/>
          </w:tcPr>
          <w:p w14:paraId="377275E8" w14:textId="77777777" w:rsidR="00C47639" w:rsidRDefault="00C47639" w:rsidP="00C47639">
            <w:pPr>
              <w:pStyle w:val="Standaard-Tabellen"/>
              <w:rPr>
                <w:szCs w:val="18"/>
                <w:lang w:eastAsia="en-US"/>
              </w:rPr>
            </w:pPr>
            <w:r>
              <w:rPr>
                <w:szCs w:val="18"/>
                <w:lang w:eastAsia="en-US"/>
              </w:rPr>
              <w:t>89.95</w:t>
            </w:r>
          </w:p>
        </w:tc>
        <w:tc>
          <w:tcPr>
            <w:tcW w:w="773" w:type="pct"/>
            <w:tcBorders>
              <w:bottom w:val="double" w:sz="4" w:space="0" w:color="auto"/>
            </w:tcBorders>
            <w:shd w:val="clear" w:color="auto" w:fill="auto"/>
            <w:vAlign w:val="center"/>
          </w:tcPr>
          <w:p w14:paraId="3D220D96" w14:textId="77777777" w:rsidR="00C47639" w:rsidRPr="0091532F" w:rsidRDefault="00C47639" w:rsidP="00C47639">
            <w:pPr>
              <w:pStyle w:val="Standaard-Tabellen"/>
              <w:rPr>
                <w:szCs w:val="18"/>
                <w:lang w:eastAsia="en-US"/>
              </w:rPr>
            </w:pPr>
            <w:r>
              <w:rPr>
                <w:szCs w:val="18"/>
                <w:lang w:eastAsia="en-US"/>
              </w:rPr>
              <w:t xml:space="preserve">Yes </w:t>
            </w:r>
          </w:p>
        </w:tc>
      </w:tr>
      <w:tr w:rsidR="00C47639" w:rsidRPr="00FD2055" w14:paraId="17EE0792" w14:textId="77777777" w:rsidTr="00C47639">
        <w:tc>
          <w:tcPr>
            <w:tcW w:w="1057" w:type="pct"/>
            <w:tcBorders>
              <w:top w:val="double" w:sz="4" w:space="0" w:color="auto"/>
              <w:bottom w:val="single" w:sz="18" w:space="0" w:color="auto"/>
            </w:tcBorders>
            <w:shd w:val="clear" w:color="auto" w:fill="auto"/>
          </w:tcPr>
          <w:p w14:paraId="0D5D14CD" w14:textId="77777777" w:rsidR="00C47639" w:rsidRPr="0091532F" w:rsidRDefault="00C47639" w:rsidP="00C47639">
            <w:pPr>
              <w:pStyle w:val="Standaard-Tabellen"/>
              <w:rPr>
                <w:szCs w:val="18"/>
                <w:lang w:eastAsia="en-US"/>
              </w:rPr>
            </w:pPr>
            <w:r w:rsidRPr="0091532F">
              <w:rPr>
                <w:szCs w:val="18"/>
                <w:lang w:eastAsia="en-US"/>
              </w:rPr>
              <w:t>Scenario 1, dermal, adult</w:t>
            </w:r>
          </w:p>
        </w:tc>
        <w:tc>
          <w:tcPr>
            <w:tcW w:w="324" w:type="pct"/>
            <w:tcBorders>
              <w:top w:val="double" w:sz="4" w:space="0" w:color="auto"/>
              <w:bottom w:val="single" w:sz="18" w:space="0" w:color="auto"/>
            </w:tcBorders>
            <w:shd w:val="clear" w:color="auto" w:fill="auto"/>
          </w:tcPr>
          <w:p w14:paraId="46F3BFC2" w14:textId="77777777" w:rsidR="00C47639" w:rsidRPr="0091532F" w:rsidRDefault="00C47639" w:rsidP="00C47639">
            <w:pPr>
              <w:pStyle w:val="Standaard-Tabellen"/>
              <w:rPr>
                <w:szCs w:val="18"/>
                <w:lang w:eastAsia="en-US"/>
              </w:rPr>
            </w:pPr>
            <w:r>
              <w:rPr>
                <w:szCs w:val="18"/>
                <w:lang w:eastAsia="en-US"/>
              </w:rPr>
              <w:t>3</w:t>
            </w:r>
          </w:p>
        </w:tc>
        <w:tc>
          <w:tcPr>
            <w:tcW w:w="660" w:type="pct"/>
            <w:tcBorders>
              <w:top w:val="double" w:sz="4" w:space="0" w:color="auto"/>
              <w:bottom w:val="single" w:sz="18" w:space="0" w:color="auto"/>
            </w:tcBorders>
            <w:shd w:val="clear" w:color="auto" w:fill="auto"/>
          </w:tcPr>
          <w:p w14:paraId="101053AA" w14:textId="77777777" w:rsidR="00C47639" w:rsidRDefault="00C47639" w:rsidP="00C47639">
            <w:pPr>
              <w:pStyle w:val="Standaard-Tabellen"/>
              <w:rPr>
                <w:szCs w:val="18"/>
                <w:lang w:eastAsia="en-US"/>
              </w:rPr>
            </w:pPr>
            <w:r>
              <w:rPr>
                <w:szCs w:val="18"/>
                <w:lang w:eastAsia="en-US"/>
              </w:rPr>
              <w:t>500</w:t>
            </w:r>
          </w:p>
        </w:tc>
        <w:tc>
          <w:tcPr>
            <w:tcW w:w="629" w:type="pct"/>
            <w:tcBorders>
              <w:top w:val="double" w:sz="4" w:space="0" w:color="auto"/>
              <w:bottom w:val="single" w:sz="18" w:space="0" w:color="auto"/>
            </w:tcBorders>
            <w:shd w:val="clear" w:color="auto" w:fill="auto"/>
          </w:tcPr>
          <w:p w14:paraId="5D666098" w14:textId="77777777" w:rsidR="00C47639" w:rsidRDefault="00C47639" w:rsidP="00C47639">
            <w:pPr>
              <w:pStyle w:val="Standaard-Tabellen"/>
              <w:rPr>
                <w:szCs w:val="18"/>
                <w:lang w:eastAsia="en-US"/>
              </w:rPr>
            </w:pPr>
            <w:r>
              <w:rPr>
                <w:szCs w:val="18"/>
                <w:lang w:eastAsia="en-US"/>
              </w:rPr>
              <w:t>5</w:t>
            </w:r>
          </w:p>
        </w:tc>
        <w:tc>
          <w:tcPr>
            <w:tcW w:w="884" w:type="pct"/>
            <w:tcBorders>
              <w:top w:val="double" w:sz="4" w:space="0" w:color="auto"/>
              <w:bottom w:val="single" w:sz="18" w:space="0" w:color="auto"/>
            </w:tcBorders>
            <w:shd w:val="clear" w:color="auto" w:fill="auto"/>
            <w:vAlign w:val="center"/>
          </w:tcPr>
          <w:p w14:paraId="3B949E21" w14:textId="77777777" w:rsidR="00C47639" w:rsidRDefault="00C47639" w:rsidP="00C47639">
            <w:pPr>
              <w:pStyle w:val="Standaard-Tabellen"/>
              <w:rPr>
                <w:rFonts w:cs="Arial"/>
                <w:szCs w:val="18"/>
              </w:rPr>
            </w:pPr>
            <w:r w:rsidRPr="000C397E">
              <w:t xml:space="preserve">2.85 </w:t>
            </w:r>
          </w:p>
        </w:tc>
        <w:tc>
          <w:tcPr>
            <w:tcW w:w="672" w:type="pct"/>
            <w:tcBorders>
              <w:top w:val="double" w:sz="4" w:space="0" w:color="auto"/>
              <w:bottom w:val="single" w:sz="18" w:space="0" w:color="auto"/>
            </w:tcBorders>
            <w:shd w:val="clear" w:color="auto" w:fill="auto"/>
            <w:vAlign w:val="center"/>
          </w:tcPr>
          <w:p w14:paraId="4F833BF1" w14:textId="77777777" w:rsidR="00C47639" w:rsidRDefault="00C47639" w:rsidP="00C47639">
            <w:pPr>
              <w:pStyle w:val="Standaard-Tabellen"/>
              <w:rPr>
                <w:szCs w:val="18"/>
                <w:lang w:eastAsia="en-US"/>
              </w:rPr>
            </w:pPr>
            <w:r>
              <w:rPr>
                <w:szCs w:val="18"/>
                <w:lang w:eastAsia="en-US"/>
              </w:rPr>
              <w:t>57.09</w:t>
            </w:r>
          </w:p>
        </w:tc>
        <w:tc>
          <w:tcPr>
            <w:tcW w:w="773" w:type="pct"/>
            <w:tcBorders>
              <w:top w:val="double" w:sz="4" w:space="0" w:color="auto"/>
              <w:bottom w:val="single" w:sz="18" w:space="0" w:color="auto"/>
            </w:tcBorders>
            <w:shd w:val="clear" w:color="auto" w:fill="auto"/>
            <w:vAlign w:val="center"/>
          </w:tcPr>
          <w:p w14:paraId="789F723A" w14:textId="77777777" w:rsidR="00C47639" w:rsidRPr="0091532F" w:rsidRDefault="00C47639" w:rsidP="00C47639">
            <w:pPr>
              <w:pStyle w:val="Standaard-Tabellen"/>
              <w:rPr>
                <w:szCs w:val="18"/>
                <w:lang w:eastAsia="en-US"/>
              </w:rPr>
            </w:pPr>
            <w:r>
              <w:rPr>
                <w:szCs w:val="18"/>
                <w:lang w:eastAsia="en-US"/>
              </w:rPr>
              <w:t xml:space="preserve">Yes </w:t>
            </w:r>
          </w:p>
        </w:tc>
      </w:tr>
      <w:tr w:rsidR="00C47639" w:rsidRPr="00FD2055" w14:paraId="4FB2E6B1" w14:textId="77777777" w:rsidTr="00C47639">
        <w:tc>
          <w:tcPr>
            <w:tcW w:w="1057" w:type="pct"/>
            <w:shd w:val="clear" w:color="auto" w:fill="auto"/>
          </w:tcPr>
          <w:p w14:paraId="21A5201E" w14:textId="77777777" w:rsidR="00C47639" w:rsidRPr="00FD2055" w:rsidRDefault="00C47639" w:rsidP="00C47639">
            <w:pPr>
              <w:pStyle w:val="Standaard-Tabellen"/>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adult</w:t>
            </w:r>
          </w:p>
        </w:tc>
        <w:tc>
          <w:tcPr>
            <w:tcW w:w="324" w:type="pct"/>
            <w:shd w:val="clear" w:color="auto" w:fill="auto"/>
          </w:tcPr>
          <w:p w14:paraId="56CDDB97"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26E0EA4" w14:textId="77777777" w:rsidR="00C47639" w:rsidRPr="00FD2055" w:rsidRDefault="00C47639" w:rsidP="00C47639">
            <w:pPr>
              <w:pStyle w:val="Standaard-Tabellen"/>
            </w:pPr>
            <w:r>
              <w:rPr>
                <w:szCs w:val="18"/>
                <w:lang w:eastAsia="en-US"/>
              </w:rPr>
              <w:t>500</w:t>
            </w:r>
          </w:p>
        </w:tc>
        <w:tc>
          <w:tcPr>
            <w:tcW w:w="629" w:type="pct"/>
            <w:shd w:val="clear" w:color="auto" w:fill="auto"/>
          </w:tcPr>
          <w:p w14:paraId="43347ACD"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4F57E06A" w14:textId="77777777" w:rsidR="00C47639" w:rsidRPr="00B42FAC" w:rsidRDefault="00C47639" w:rsidP="00C47639">
            <w:pPr>
              <w:pStyle w:val="Standaard-Tabellen"/>
              <w:rPr>
                <w:highlight w:val="yellow"/>
              </w:rPr>
            </w:pPr>
            <w:r w:rsidRPr="000C397E">
              <w:rPr>
                <w:rFonts w:cs="Arial"/>
                <w:bCs w:val="0"/>
              </w:rPr>
              <w:t xml:space="preserve">0.00875 </w:t>
            </w:r>
          </w:p>
        </w:tc>
        <w:tc>
          <w:tcPr>
            <w:tcW w:w="672" w:type="pct"/>
            <w:shd w:val="clear" w:color="auto" w:fill="auto"/>
            <w:vAlign w:val="center"/>
          </w:tcPr>
          <w:p w14:paraId="79492975" w14:textId="77777777" w:rsidR="00C47639" w:rsidRPr="00973BCE" w:rsidRDefault="00C47639" w:rsidP="00C47639">
            <w:pPr>
              <w:pStyle w:val="Standaard-Tabellen"/>
            </w:pPr>
            <w:r w:rsidRPr="00B42FAC">
              <w:rPr>
                <w:szCs w:val="18"/>
                <w:lang w:eastAsia="en-US"/>
              </w:rPr>
              <w:t>0.175</w:t>
            </w:r>
          </w:p>
        </w:tc>
        <w:tc>
          <w:tcPr>
            <w:tcW w:w="773" w:type="pct"/>
            <w:shd w:val="clear" w:color="auto" w:fill="auto"/>
            <w:vAlign w:val="center"/>
          </w:tcPr>
          <w:p w14:paraId="06C85D60" w14:textId="77777777" w:rsidR="00C47639" w:rsidRPr="00973BCE" w:rsidRDefault="00C47639" w:rsidP="00C47639">
            <w:pPr>
              <w:pStyle w:val="Standaard-Tabellen"/>
            </w:pPr>
            <w:r w:rsidRPr="001D4B69">
              <w:rPr>
                <w:szCs w:val="18"/>
                <w:lang w:eastAsia="en-US"/>
              </w:rPr>
              <w:t>Yes</w:t>
            </w:r>
          </w:p>
        </w:tc>
      </w:tr>
      <w:tr w:rsidR="00C47639" w:rsidRPr="00FD2055" w14:paraId="59D72436" w14:textId="77777777" w:rsidTr="00C47639">
        <w:tc>
          <w:tcPr>
            <w:tcW w:w="1057" w:type="pct"/>
            <w:shd w:val="clear" w:color="auto" w:fill="auto"/>
          </w:tcPr>
          <w:p w14:paraId="1D4904B2" w14:textId="77777777" w:rsidR="00C47639" w:rsidRPr="00FD2055" w:rsidRDefault="00C47639" w:rsidP="00C47639">
            <w:pPr>
              <w:pStyle w:val="Standaard-Tabellen"/>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child</w:t>
            </w:r>
            <w:r>
              <w:rPr>
                <w:szCs w:val="18"/>
                <w:lang w:eastAsia="en-US"/>
              </w:rPr>
              <w:t xml:space="preserve"> (6-12)</w:t>
            </w:r>
          </w:p>
        </w:tc>
        <w:tc>
          <w:tcPr>
            <w:tcW w:w="324" w:type="pct"/>
            <w:shd w:val="clear" w:color="auto" w:fill="auto"/>
          </w:tcPr>
          <w:p w14:paraId="1545E5D3"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58E9C3B" w14:textId="77777777" w:rsidR="00C47639" w:rsidRPr="00FD2055" w:rsidRDefault="00C47639" w:rsidP="00C47639">
            <w:pPr>
              <w:pStyle w:val="Standaard-Tabellen"/>
            </w:pPr>
            <w:r>
              <w:rPr>
                <w:szCs w:val="18"/>
                <w:lang w:eastAsia="en-US"/>
              </w:rPr>
              <w:t>500</w:t>
            </w:r>
          </w:p>
        </w:tc>
        <w:tc>
          <w:tcPr>
            <w:tcW w:w="629" w:type="pct"/>
            <w:shd w:val="clear" w:color="auto" w:fill="auto"/>
          </w:tcPr>
          <w:p w14:paraId="3B0C4F56"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624C7028" w14:textId="77777777" w:rsidR="00C47639" w:rsidRPr="00B42FAC" w:rsidRDefault="00C47639" w:rsidP="00C47639">
            <w:pPr>
              <w:pStyle w:val="Standaard-Tabellen"/>
              <w:rPr>
                <w:highlight w:val="yellow"/>
              </w:rPr>
            </w:pPr>
            <w:r w:rsidRPr="000C397E">
              <w:rPr>
                <w:rFonts w:cs="Arial"/>
                <w:bCs w:val="0"/>
              </w:rPr>
              <w:t xml:space="preserve">0.015646 </w:t>
            </w:r>
          </w:p>
        </w:tc>
        <w:tc>
          <w:tcPr>
            <w:tcW w:w="672" w:type="pct"/>
            <w:shd w:val="clear" w:color="auto" w:fill="auto"/>
            <w:vAlign w:val="center"/>
          </w:tcPr>
          <w:p w14:paraId="2977872C" w14:textId="77777777" w:rsidR="00C47639" w:rsidRPr="00973BCE" w:rsidRDefault="00C47639" w:rsidP="00C47639">
            <w:pPr>
              <w:pStyle w:val="Standaard-Tabellen"/>
            </w:pPr>
            <w:r w:rsidRPr="00B42FAC">
              <w:rPr>
                <w:szCs w:val="18"/>
                <w:lang w:eastAsia="en-US"/>
              </w:rPr>
              <w:t>0.31</w:t>
            </w:r>
          </w:p>
        </w:tc>
        <w:tc>
          <w:tcPr>
            <w:tcW w:w="773" w:type="pct"/>
            <w:shd w:val="clear" w:color="auto" w:fill="auto"/>
            <w:vAlign w:val="center"/>
          </w:tcPr>
          <w:p w14:paraId="69897840" w14:textId="77777777" w:rsidR="00C47639" w:rsidRPr="00973BCE" w:rsidRDefault="00C47639" w:rsidP="00C47639">
            <w:pPr>
              <w:pStyle w:val="Standaard-Tabellen"/>
            </w:pPr>
            <w:r w:rsidRPr="001D4B69">
              <w:rPr>
                <w:szCs w:val="18"/>
                <w:lang w:eastAsia="en-US"/>
              </w:rPr>
              <w:t>Yes</w:t>
            </w:r>
          </w:p>
        </w:tc>
      </w:tr>
      <w:tr w:rsidR="00C47639" w:rsidRPr="00FD2055" w14:paraId="434ED6B4" w14:textId="77777777" w:rsidTr="00C47639">
        <w:tc>
          <w:tcPr>
            <w:tcW w:w="1057" w:type="pct"/>
            <w:shd w:val="clear" w:color="auto" w:fill="auto"/>
          </w:tcPr>
          <w:p w14:paraId="2D951A36" w14:textId="77777777" w:rsidR="00C47639" w:rsidRPr="00FD2055" w:rsidRDefault="00C47639" w:rsidP="00C47639">
            <w:pPr>
              <w:pStyle w:val="Standaard-Tabellen"/>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child</w:t>
            </w:r>
            <w:r>
              <w:rPr>
                <w:szCs w:val="18"/>
                <w:lang w:eastAsia="en-US"/>
              </w:rPr>
              <w:t xml:space="preserve"> (2-6)</w:t>
            </w:r>
          </w:p>
        </w:tc>
        <w:tc>
          <w:tcPr>
            <w:tcW w:w="324" w:type="pct"/>
            <w:shd w:val="clear" w:color="auto" w:fill="auto"/>
          </w:tcPr>
          <w:p w14:paraId="4C1B675A"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5258CA73" w14:textId="77777777" w:rsidR="00C47639" w:rsidRPr="00FD2055" w:rsidRDefault="00C47639" w:rsidP="00C47639">
            <w:pPr>
              <w:pStyle w:val="Standaard-Tabellen"/>
            </w:pPr>
            <w:r>
              <w:rPr>
                <w:szCs w:val="18"/>
                <w:lang w:eastAsia="en-US"/>
              </w:rPr>
              <w:t>500</w:t>
            </w:r>
          </w:p>
        </w:tc>
        <w:tc>
          <w:tcPr>
            <w:tcW w:w="629" w:type="pct"/>
            <w:shd w:val="clear" w:color="auto" w:fill="auto"/>
          </w:tcPr>
          <w:p w14:paraId="335B870D"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5958DF6E" w14:textId="77777777" w:rsidR="00C47639" w:rsidRPr="00B42FAC" w:rsidRDefault="00C47639" w:rsidP="00C47639">
            <w:pPr>
              <w:pStyle w:val="Standaard-Tabellen"/>
              <w:rPr>
                <w:highlight w:val="yellow"/>
              </w:rPr>
            </w:pPr>
            <w:r w:rsidRPr="000C397E">
              <w:rPr>
                <w:rFonts w:cs="Arial"/>
                <w:bCs w:val="0"/>
              </w:rPr>
              <w:t xml:space="preserve">0.022615 </w:t>
            </w:r>
          </w:p>
        </w:tc>
        <w:tc>
          <w:tcPr>
            <w:tcW w:w="672" w:type="pct"/>
            <w:shd w:val="clear" w:color="auto" w:fill="auto"/>
            <w:vAlign w:val="center"/>
          </w:tcPr>
          <w:p w14:paraId="41805368" w14:textId="77777777" w:rsidR="00C47639" w:rsidRPr="00973BCE" w:rsidRDefault="00C47639" w:rsidP="00C47639">
            <w:pPr>
              <w:pStyle w:val="Standaard-Tabellen"/>
            </w:pPr>
            <w:r w:rsidRPr="00B42FAC">
              <w:rPr>
                <w:szCs w:val="18"/>
                <w:lang w:eastAsia="en-US"/>
              </w:rPr>
              <w:t>0.45</w:t>
            </w:r>
          </w:p>
        </w:tc>
        <w:tc>
          <w:tcPr>
            <w:tcW w:w="773" w:type="pct"/>
            <w:shd w:val="clear" w:color="auto" w:fill="auto"/>
            <w:vAlign w:val="center"/>
          </w:tcPr>
          <w:p w14:paraId="730C8B74" w14:textId="77777777" w:rsidR="00C47639" w:rsidRPr="00973BCE" w:rsidRDefault="00C47639" w:rsidP="00C47639">
            <w:pPr>
              <w:pStyle w:val="Standaard-Tabellen"/>
            </w:pPr>
            <w:r w:rsidRPr="001D4B69">
              <w:rPr>
                <w:szCs w:val="18"/>
                <w:lang w:eastAsia="en-US"/>
              </w:rPr>
              <w:t>Yes</w:t>
            </w:r>
          </w:p>
        </w:tc>
      </w:tr>
      <w:tr w:rsidR="00C47639" w:rsidRPr="00FD2055" w14:paraId="17E8F267" w14:textId="77777777" w:rsidTr="00C47639">
        <w:tc>
          <w:tcPr>
            <w:tcW w:w="1057" w:type="pct"/>
            <w:shd w:val="clear" w:color="auto" w:fill="auto"/>
          </w:tcPr>
          <w:p w14:paraId="428F9114" w14:textId="77777777" w:rsidR="00C47639" w:rsidRPr="00FD2055" w:rsidRDefault="00C47639" w:rsidP="00C47639">
            <w:pPr>
              <w:pStyle w:val="Standaard-Tabellen"/>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toddler</w:t>
            </w:r>
          </w:p>
        </w:tc>
        <w:tc>
          <w:tcPr>
            <w:tcW w:w="324" w:type="pct"/>
            <w:shd w:val="clear" w:color="auto" w:fill="auto"/>
          </w:tcPr>
          <w:p w14:paraId="18BD965E"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C3E4F6B" w14:textId="77777777" w:rsidR="00C47639" w:rsidRPr="00FD2055" w:rsidRDefault="00C47639" w:rsidP="00C47639">
            <w:pPr>
              <w:pStyle w:val="Standaard-Tabellen"/>
            </w:pPr>
            <w:r>
              <w:rPr>
                <w:szCs w:val="18"/>
                <w:lang w:eastAsia="en-US"/>
              </w:rPr>
              <w:t>500</w:t>
            </w:r>
          </w:p>
        </w:tc>
        <w:tc>
          <w:tcPr>
            <w:tcW w:w="629" w:type="pct"/>
            <w:shd w:val="clear" w:color="auto" w:fill="auto"/>
          </w:tcPr>
          <w:p w14:paraId="3D798959"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7A96EE20" w14:textId="77777777" w:rsidR="00C47639" w:rsidRPr="00B42FAC" w:rsidRDefault="00C47639" w:rsidP="00C47639">
            <w:pPr>
              <w:pStyle w:val="Standaard-Tabellen"/>
              <w:rPr>
                <w:highlight w:val="yellow"/>
              </w:rPr>
            </w:pPr>
            <w:r w:rsidRPr="000C397E">
              <w:rPr>
                <w:rFonts w:cs="Arial"/>
                <w:bCs w:val="0"/>
              </w:rPr>
              <w:t>0.01764</w:t>
            </w:r>
            <w:r w:rsidRPr="00412894" w:rsidDel="00053163">
              <w:rPr>
                <w:rFonts w:cs="Arial"/>
                <w:szCs w:val="18"/>
                <w:highlight w:val="yellow"/>
              </w:rPr>
              <w:t xml:space="preserve"> </w:t>
            </w:r>
          </w:p>
        </w:tc>
        <w:tc>
          <w:tcPr>
            <w:tcW w:w="672" w:type="pct"/>
            <w:shd w:val="clear" w:color="auto" w:fill="auto"/>
            <w:vAlign w:val="center"/>
          </w:tcPr>
          <w:p w14:paraId="0B3A36D1" w14:textId="77777777" w:rsidR="00C47639" w:rsidRPr="00973BCE" w:rsidRDefault="00C47639" w:rsidP="00C47639">
            <w:pPr>
              <w:pStyle w:val="Standaard-Tabellen"/>
            </w:pPr>
            <w:r w:rsidRPr="00B42FAC">
              <w:rPr>
                <w:szCs w:val="18"/>
                <w:lang w:eastAsia="en-US"/>
              </w:rPr>
              <w:t>0.35</w:t>
            </w:r>
          </w:p>
        </w:tc>
        <w:tc>
          <w:tcPr>
            <w:tcW w:w="773" w:type="pct"/>
            <w:shd w:val="clear" w:color="auto" w:fill="auto"/>
            <w:vAlign w:val="center"/>
          </w:tcPr>
          <w:p w14:paraId="5355A6B3" w14:textId="77777777" w:rsidR="00C47639" w:rsidRPr="007962DB" w:rsidRDefault="00C47639" w:rsidP="00C47639">
            <w:pPr>
              <w:pStyle w:val="Standaard-Tabellen"/>
            </w:pPr>
            <w:r w:rsidRPr="007962DB">
              <w:rPr>
                <w:szCs w:val="18"/>
                <w:lang w:eastAsia="en-US"/>
              </w:rPr>
              <w:t xml:space="preserve">Yes </w:t>
            </w:r>
          </w:p>
        </w:tc>
      </w:tr>
      <w:tr w:rsidR="00C47639" w:rsidRPr="00FD2055" w14:paraId="6A094241" w14:textId="77777777" w:rsidTr="00C47639">
        <w:tc>
          <w:tcPr>
            <w:tcW w:w="1057" w:type="pct"/>
            <w:tcBorders>
              <w:bottom w:val="double" w:sz="4" w:space="0" w:color="auto"/>
            </w:tcBorders>
            <w:shd w:val="clear" w:color="auto" w:fill="auto"/>
          </w:tcPr>
          <w:p w14:paraId="5EA816EF" w14:textId="77777777" w:rsidR="00C47639" w:rsidRPr="0091532F" w:rsidRDefault="00C47639" w:rsidP="00C47639">
            <w:pPr>
              <w:pStyle w:val="Standaard-Tabellen"/>
              <w:rPr>
                <w:szCs w:val="18"/>
                <w:lang w:eastAsia="en-US"/>
              </w:rPr>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infant</w:t>
            </w:r>
          </w:p>
        </w:tc>
        <w:tc>
          <w:tcPr>
            <w:tcW w:w="324" w:type="pct"/>
            <w:tcBorders>
              <w:bottom w:val="double" w:sz="4" w:space="0" w:color="auto"/>
            </w:tcBorders>
            <w:shd w:val="clear" w:color="auto" w:fill="auto"/>
          </w:tcPr>
          <w:p w14:paraId="7184AD88" w14:textId="77777777" w:rsidR="00C47639" w:rsidRPr="0091532F" w:rsidRDefault="00C47639" w:rsidP="00C47639">
            <w:pPr>
              <w:pStyle w:val="Standaard-Tabellen"/>
              <w:rPr>
                <w:szCs w:val="18"/>
                <w:lang w:eastAsia="en-US"/>
              </w:rPr>
            </w:pPr>
            <w:r w:rsidRPr="0091532F">
              <w:rPr>
                <w:szCs w:val="18"/>
                <w:lang w:eastAsia="en-US"/>
              </w:rPr>
              <w:t>1</w:t>
            </w:r>
          </w:p>
        </w:tc>
        <w:tc>
          <w:tcPr>
            <w:tcW w:w="660" w:type="pct"/>
            <w:tcBorders>
              <w:bottom w:val="double" w:sz="4" w:space="0" w:color="auto"/>
            </w:tcBorders>
            <w:shd w:val="clear" w:color="auto" w:fill="auto"/>
          </w:tcPr>
          <w:p w14:paraId="0A022B07" w14:textId="77777777" w:rsidR="00C47639" w:rsidRDefault="00C47639" w:rsidP="00C47639">
            <w:pPr>
              <w:pStyle w:val="Standaard-Tabellen"/>
              <w:rPr>
                <w:szCs w:val="18"/>
                <w:lang w:eastAsia="en-US"/>
              </w:rPr>
            </w:pPr>
            <w:r>
              <w:rPr>
                <w:szCs w:val="18"/>
                <w:lang w:eastAsia="en-US"/>
              </w:rPr>
              <w:t>500</w:t>
            </w:r>
          </w:p>
        </w:tc>
        <w:tc>
          <w:tcPr>
            <w:tcW w:w="629" w:type="pct"/>
            <w:tcBorders>
              <w:bottom w:val="double" w:sz="4" w:space="0" w:color="auto"/>
            </w:tcBorders>
            <w:shd w:val="clear" w:color="auto" w:fill="auto"/>
          </w:tcPr>
          <w:p w14:paraId="10395F52" w14:textId="77777777" w:rsidR="00C47639" w:rsidRDefault="00C47639" w:rsidP="00C47639">
            <w:pPr>
              <w:pStyle w:val="Standaard-Tabellen"/>
              <w:rPr>
                <w:szCs w:val="18"/>
                <w:lang w:eastAsia="en-US"/>
              </w:rPr>
            </w:pPr>
            <w:r>
              <w:rPr>
                <w:szCs w:val="18"/>
                <w:lang w:eastAsia="en-US"/>
              </w:rPr>
              <w:t>5</w:t>
            </w:r>
          </w:p>
        </w:tc>
        <w:tc>
          <w:tcPr>
            <w:tcW w:w="884" w:type="pct"/>
            <w:tcBorders>
              <w:bottom w:val="double" w:sz="4" w:space="0" w:color="auto"/>
            </w:tcBorders>
            <w:shd w:val="clear" w:color="auto" w:fill="auto"/>
            <w:vAlign w:val="center"/>
          </w:tcPr>
          <w:p w14:paraId="040A93FA" w14:textId="77777777" w:rsidR="00C47639" w:rsidRPr="00B42FAC" w:rsidRDefault="00C47639" w:rsidP="00C47639">
            <w:pPr>
              <w:pStyle w:val="Standaard-Tabellen"/>
              <w:rPr>
                <w:rFonts w:cs="Arial"/>
                <w:szCs w:val="18"/>
                <w:highlight w:val="yellow"/>
              </w:rPr>
            </w:pPr>
            <w:r w:rsidRPr="000C397E">
              <w:rPr>
                <w:rFonts w:cs="Arial"/>
                <w:bCs w:val="0"/>
              </w:rPr>
              <w:t xml:space="preserve">0.0147 </w:t>
            </w:r>
          </w:p>
        </w:tc>
        <w:tc>
          <w:tcPr>
            <w:tcW w:w="672" w:type="pct"/>
            <w:tcBorders>
              <w:bottom w:val="double" w:sz="4" w:space="0" w:color="auto"/>
            </w:tcBorders>
            <w:shd w:val="clear" w:color="auto" w:fill="auto"/>
            <w:vAlign w:val="center"/>
          </w:tcPr>
          <w:p w14:paraId="24DB805D" w14:textId="77777777" w:rsidR="00C47639" w:rsidRPr="00412894" w:rsidRDefault="00C47639" w:rsidP="00C47639">
            <w:pPr>
              <w:pStyle w:val="Standaard-Tabellen"/>
              <w:rPr>
                <w:szCs w:val="18"/>
                <w:lang w:eastAsia="en-US"/>
              </w:rPr>
            </w:pPr>
            <w:r w:rsidRPr="00B42FAC">
              <w:rPr>
                <w:szCs w:val="18"/>
                <w:lang w:eastAsia="en-US"/>
              </w:rPr>
              <w:t>0.29</w:t>
            </w:r>
          </w:p>
        </w:tc>
        <w:tc>
          <w:tcPr>
            <w:tcW w:w="773" w:type="pct"/>
            <w:tcBorders>
              <w:bottom w:val="double" w:sz="4" w:space="0" w:color="auto"/>
            </w:tcBorders>
            <w:shd w:val="clear" w:color="auto" w:fill="auto"/>
            <w:vAlign w:val="center"/>
          </w:tcPr>
          <w:p w14:paraId="13D83F83" w14:textId="77777777" w:rsidR="00C47639" w:rsidRPr="00973BCE" w:rsidRDefault="00C47639" w:rsidP="00C47639">
            <w:pPr>
              <w:pStyle w:val="Standaard-Tabellen"/>
              <w:rPr>
                <w:szCs w:val="18"/>
                <w:lang w:eastAsia="en-US"/>
              </w:rPr>
            </w:pPr>
            <w:r>
              <w:rPr>
                <w:szCs w:val="18"/>
                <w:lang w:eastAsia="en-US"/>
              </w:rPr>
              <w:t>Yes</w:t>
            </w:r>
            <w:r w:rsidRPr="00412894">
              <w:rPr>
                <w:szCs w:val="18"/>
                <w:lang w:eastAsia="en-US"/>
              </w:rPr>
              <w:t xml:space="preserve"> </w:t>
            </w:r>
          </w:p>
        </w:tc>
      </w:tr>
      <w:tr w:rsidR="00C47639" w:rsidRPr="00FD2055" w14:paraId="5C09FA77" w14:textId="77777777" w:rsidTr="00C47639">
        <w:tc>
          <w:tcPr>
            <w:tcW w:w="1057" w:type="pct"/>
            <w:tcBorders>
              <w:top w:val="double" w:sz="4" w:space="0" w:color="auto"/>
            </w:tcBorders>
            <w:shd w:val="clear" w:color="auto" w:fill="auto"/>
          </w:tcPr>
          <w:p w14:paraId="003FA443" w14:textId="77777777" w:rsidR="00C47639" w:rsidRPr="0091532F" w:rsidRDefault="00C47639" w:rsidP="00C47639">
            <w:pPr>
              <w:pStyle w:val="Standaard-Tabellen"/>
              <w:rPr>
                <w:szCs w:val="18"/>
                <w:lang w:eastAsia="en-US"/>
              </w:rPr>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adult</w:t>
            </w:r>
          </w:p>
        </w:tc>
        <w:tc>
          <w:tcPr>
            <w:tcW w:w="324" w:type="pct"/>
            <w:tcBorders>
              <w:top w:val="double" w:sz="4" w:space="0" w:color="auto"/>
            </w:tcBorders>
            <w:shd w:val="clear" w:color="auto" w:fill="auto"/>
          </w:tcPr>
          <w:p w14:paraId="248D605B" w14:textId="77777777" w:rsidR="00C47639" w:rsidRPr="0091532F" w:rsidRDefault="00C47639" w:rsidP="00C47639">
            <w:pPr>
              <w:pStyle w:val="Standaard-Tabellen"/>
              <w:rPr>
                <w:szCs w:val="18"/>
                <w:lang w:eastAsia="en-US"/>
              </w:rPr>
            </w:pPr>
            <w:r>
              <w:rPr>
                <w:szCs w:val="18"/>
                <w:lang w:eastAsia="en-US"/>
              </w:rPr>
              <w:t>2</w:t>
            </w:r>
          </w:p>
        </w:tc>
        <w:tc>
          <w:tcPr>
            <w:tcW w:w="660" w:type="pct"/>
            <w:tcBorders>
              <w:top w:val="double" w:sz="4" w:space="0" w:color="auto"/>
            </w:tcBorders>
            <w:shd w:val="clear" w:color="auto" w:fill="auto"/>
          </w:tcPr>
          <w:p w14:paraId="5EB63782" w14:textId="77777777" w:rsidR="00C47639" w:rsidRDefault="00C47639" w:rsidP="00C47639">
            <w:pPr>
              <w:pStyle w:val="Standaard-Tabellen"/>
              <w:rPr>
                <w:szCs w:val="18"/>
                <w:lang w:eastAsia="en-US"/>
              </w:rPr>
            </w:pPr>
            <w:r>
              <w:rPr>
                <w:szCs w:val="18"/>
                <w:lang w:eastAsia="en-US"/>
              </w:rPr>
              <w:t>500</w:t>
            </w:r>
          </w:p>
        </w:tc>
        <w:tc>
          <w:tcPr>
            <w:tcW w:w="629" w:type="pct"/>
            <w:tcBorders>
              <w:top w:val="double" w:sz="4" w:space="0" w:color="auto"/>
            </w:tcBorders>
            <w:shd w:val="clear" w:color="auto" w:fill="auto"/>
          </w:tcPr>
          <w:p w14:paraId="0F7C6426" w14:textId="77777777" w:rsidR="00C47639" w:rsidRDefault="00C47639" w:rsidP="00C47639">
            <w:pPr>
              <w:pStyle w:val="Standaard-Tabellen"/>
              <w:rPr>
                <w:szCs w:val="18"/>
                <w:lang w:eastAsia="en-US"/>
              </w:rPr>
            </w:pPr>
            <w:r>
              <w:rPr>
                <w:szCs w:val="18"/>
                <w:lang w:eastAsia="en-US"/>
              </w:rPr>
              <w:t>5</w:t>
            </w:r>
          </w:p>
        </w:tc>
        <w:tc>
          <w:tcPr>
            <w:tcW w:w="884" w:type="pct"/>
            <w:tcBorders>
              <w:top w:val="double" w:sz="4" w:space="0" w:color="auto"/>
            </w:tcBorders>
            <w:shd w:val="clear" w:color="auto" w:fill="auto"/>
            <w:vAlign w:val="center"/>
          </w:tcPr>
          <w:p w14:paraId="321ACB31" w14:textId="77777777" w:rsidR="00C47639" w:rsidRPr="00B42FAC" w:rsidRDefault="00C47639" w:rsidP="00C47639">
            <w:pPr>
              <w:pStyle w:val="Standaard-Tabellen"/>
              <w:rPr>
                <w:rFonts w:cs="Arial"/>
                <w:szCs w:val="18"/>
                <w:highlight w:val="yellow"/>
              </w:rPr>
            </w:pPr>
            <w:r w:rsidRPr="000C397E">
              <w:rPr>
                <w:rFonts w:cs="Arial"/>
                <w:bCs w:val="0"/>
              </w:rPr>
              <w:t xml:space="preserve">0.005833 </w:t>
            </w:r>
          </w:p>
        </w:tc>
        <w:tc>
          <w:tcPr>
            <w:tcW w:w="672" w:type="pct"/>
            <w:tcBorders>
              <w:top w:val="double" w:sz="4" w:space="0" w:color="auto"/>
            </w:tcBorders>
            <w:shd w:val="clear" w:color="auto" w:fill="auto"/>
            <w:vAlign w:val="center"/>
          </w:tcPr>
          <w:p w14:paraId="48F1D1EB" w14:textId="77777777" w:rsidR="00C47639" w:rsidRPr="00412894" w:rsidRDefault="00C47639" w:rsidP="00C47639">
            <w:pPr>
              <w:pStyle w:val="Standaard-Tabellen"/>
              <w:rPr>
                <w:szCs w:val="18"/>
                <w:lang w:eastAsia="en-US"/>
              </w:rPr>
            </w:pPr>
            <w:r w:rsidRPr="00B42FAC">
              <w:rPr>
                <w:szCs w:val="18"/>
                <w:lang w:eastAsia="en-US"/>
              </w:rPr>
              <w:t>0.12</w:t>
            </w:r>
          </w:p>
        </w:tc>
        <w:tc>
          <w:tcPr>
            <w:tcW w:w="773" w:type="pct"/>
            <w:shd w:val="clear" w:color="auto" w:fill="auto"/>
            <w:vAlign w:val="center"/>
          </w:tcPr>
          <w:p w14:paraId="000F0A47" w14:textId="77777777" w:rsidR="00C47639" w:rsidRPr="00412894" w:rsidRDefault="00C47639" w:rsidP="00C47639">
            <w:pPr>
              <w:pStyle w:val="Standaard-Tabellen"/>
              <w:rPr>
                <w:szCs w:val="18"/>
                <w:lang w:eastAsia="en-US"/>
              </w:rPr>
            </w:pPr>
            <w:r>
              <w:rPr>
                <w:szCs w:val="18"/>
                <w:lang w:eastAsia="en-US"/>
              </w:rPr>
              <w:t xml:space="preserve">Yes </w:t>
            </w:r>
          </w:p>
        </w:tc>
      </w:tr>
      <w:tr w:rsidR="00C47639" w:rsidRPr="00FD2055" w14:paraId="452EB9B2" w14:textId="77777777" w:rsidTr="00C47639">
        <w:tc>
          <w:tcPr>
            <w:tcW w:w="1057" w:type="pct"/>
            <w:shd w:val="clear" w:color="auto" w:fill="auto"/>
          </w:tcPr>
          <w:p w14:paraId="05DA9BAD" w14:textId="77777777" w:rsidR="00C47639" w:rsidRPr="0091532F" w:rsidRDefault="00C47639" w:rsidP="00C47639">
            <w:pPr>
              <w:pStyle w:val="Standaard-Tabellen"/>
              <w:rPr>
                <w:szCs w:val="18"/>
                <w:lang w:eastAsia="en-US"/>
              </w:rPr>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child</w:t>
            </w:r>
            <w:r>
              <w:rPr>
                <w:szCs w:val="18"/>
                <w:lang w:eastAsia="en-US"/>
              </w:rPr>
              <w:t xml:space="preserve"> (6-12)</w:t>
            </w:r>
          </w:p>
        </w:tc>
        <w:tc>
          <w:tcPr>
            <w:tcW w:w="324" w:type="pct"/>
            <w:shd w:val="clear" w:color="auto" w:fill="auto"/>
          </w:tcPr>
          <w:p w14:paraId="2E92E0F0" w14:textId="77777777" w:rsidR="00C47639" w:rsidRPr="0091532F" w:rsidRDefault="00C47639" w:rsidP="00C47639">
            <w:pPr>
              <w:pStyle w:val="Standaard-Tabellen"/>
              <w:rPr>
                <w:szCs w:val="18"/>
                <w:lang w:eastAsia="en-US"/>
              </w:rPr>
            </w:pPr>
            <w:r>
              <w:rPr>
                <w:szCs w:val="18"/>
                <w:lang w:eastAsia="en-US"/>
              </w:rPr>
              <w:t>2</w:t>
            </w:r>
          </w:p>
        </w:tc>
        <w:tc>
          <w:tcPr>
            <w:tcW w:w="660" w:type="pct"/>
            <w:shd w:val="clear" w:color="auto" w:fill="auto"/>
          </w:tcPr>
          <w:p w14:paraId="53CC2DA7" w14:textId="77777777" w:rsidR="00C47639" w:rsidRDefault="00C47639" w:rsidP="00C47639">
            <w:pPr>
              <w:pStyle w:val="Standaard-Tabellen"/>
              <w:rPr>
                <w:szCs w:val="18"/>
                <w:lang w:eastAsia="en-US"/>
              </w:rPr>
            </w:pPr>
            <w:r>
              <w:rPr>
                <w:szCs w:val="18"/>
                <w:lang w:eastAsia="en-US"/>
              </w:rPr>
              <w:t>500</w:t>
            </w:r>
          </w:p>
        </w:tc>
        <w:tc>
          <w:tcPr>
            <w:tcW w:w="629" w:type="pct"/>
            <w:shd w:val="clear" w:color="auto" w:fill="auto"/>
          </w:tcPr>
          <w:p w14:paraId="5B005108" w14:textId="77777777" w:rsidR="00C47639" w:rsidRDefault="00C47639" w:rsidP="00C47639">
            <w:pPr>
              <w:pStyle w:val="Standaard-Tabellen"/>
              <w:rPr>
                <w:szCs w:val="18"/>
                <w:lang w:eastAsia="en-US"/>
              </w:rPr>
            </w:pPr>
            <w:r>
              <w:rPr>
                <w:szCs w:val="18"/>
                <w:lang w:eastAsia="en-US"/>
              </w:rPr>
              <w:t>5</w:t>
            </w:r>
          </w:p>
        </w:tc>
        <w:tc>
          <w:tcPr>
            <w:tcW w:w="884" w:type="pct"/>
            <w:shd w:val="clear" w:color="auto" w:fill="auto"/>
            <w:vAlign w:val="center"/>
          </w:tcPr>
          <w:p w14:paraId="3631994A" w14:textId="77777777" w:rsidR="00C47639" w:rsidRPr="00B42FAC" w:rsidRDefault="00C47639" w:rsidP="00C47639">
            <w:pPr>
              <w:pStyle w:val="Standaard-Tabellen"/>
              <w:rPr>
                <w:rFonts w:cs="Arial"/>
                <w:szCs w:val="18"/>
                <w:highlight w:val="yellow"/>
              </w:rPr>
            </w:pPr>
            <w:r w:rsidRPr="000C397E">
              <w:rPr>
                <w:rFonts w:cs="Arial"/>
                <w:bCs w:val="0"/>
              </w:rPr>
              <w:t xml:space="preserve">0.007732 </w:t>
            </w:r>
          </w:p>
        </w:tc>
        <w:tc>
          <w:tcPr>
            <w:tcW w:w="672" w:type="pct"/>
            <w:shd w:val="clear" w:color="auto" w:fill="auto"/>
            <w:vAlign w:val="center"/>
          </w:tcPr>
          <w:p w14:paraId="27D28F9D" w14:textId="77777777" w:rsidR="00C47639" w:rsidRPr="00412894" w:rsidRDefault="00C47639" w:rsidP="00C47639">
            <w:pPr>
              <w:pStyle w:val="Standaard-Tabellen"/>
              <w:rPr>
                <w:szCs w:val="18"/>
                <w:lang w:eastAsia="en-US"/>
              </w:rPr>
            </w:pPr>
            <w:r w:rsidRPr="00B42FAC">
              <w:rPr>
                <w:szCs w:val="18"/>
                <w:lang w:eastAsia="en-US"/>
              </w:rPr>
              <w:t>0.15</w:t>
            </w:r>
          </w:p>
        </w:tc>
        <w:tc>
          <w:tcPr>
            <w:tcW w:w="773" w:type="pct"/>
            <w:shd w:val="clear" w:color="auto" w:fill="auto"/>
            <w:vAlign w:val="center"/>
          </w:tcPr>
          <w:p w14:paraId="53DC4ACF" w14:textId="77777777" w:rsidR="00C47639" w:rsidRPr="007962DB" w:rsidRDefault="00C47639" w:rsidP="00C47639">
            <w:pPr>
              <w:pStyle w:val="Standaard-Tabellen"/>
              <w:rPr>
                <w:szCs w:val="18"/>
                <w:lang w:eastAsia="en-US"/>
              </w:rPr>
            </w:pPr>
            <w:r w:rsidRPr="00973BCE">
              <w:rPr>
                <w:szCs w:val="18"/>
                <w:lang w:eastAsia="en-US"/>
              </w:rPr>
              <w:t xml:space="preserve">Yes </w:t>
            </w:r>
          </w:p>
        </w:tc>
      </w:tr>
      <w:tr w:rsidR="00C47639" w:rsidRPr="00FD2055" w14:paraId="623CA386" w14:textId="77777777" w:rsidTr="00C47639">
        <w:tc>
          <w:tcPr>
            <w:tcW w:w="1057" w:type="pct"/>
            <w:tcBorders>
              <w:bottom w:val="double" w:sz="4" w:space="0" w:color="auto"/>
            </w:tcBorders>
            <w:shd w:val="clear" w:color="auto" w:fill="auto"/>
          </w:tcPr>
          <w:p w14:paraId="2C96BAFB" w14:textId="77777777" w:rsidR="00C47639" w:rsidRPr="0091532F" w:rsidRDefault="00C47639" w:rsidP="00C47639">
            <w:pPr>
              <w:pStyle w:val="Standaard-Tabellen"/>
              <w:rPr>
                <w:szCs w:val="18"/>
                <w:lang w:eastAsia="en-US"/>
              </w:rPr>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child</w:t>
            </w:r>
            <w:r>
              <w:rPr>
                <w:szCs w:val="18"/>
                <w:lang w:eastAsia="en-US"/>
              </w:rPr>
              <w:t xml:space="preserve"> (2-6)</w:t>
            </w:r>
          </w:p>
        </w:tc>
        <w:tc>
          <w:tcPr>
            <w:tcW w:w="324" w:type="pct"/>
            <w:tcBorders>
              <w:bottom w:val="double" w:sz="4" w:space="0" w:color="auto"/>
            </w:tcBorders>
            <w:shd w:val="clear" w:color="auto" w:fill="auto"/>
          </w:tcPr>
          <w:p w14:paraId="2D8FF671" w14:textId="77777777" w:rsidR="00C47639" w:rsidRPr="0091532F" w:rsidRDefault="00C47639" w:rsidP="00C47639">
            <w:pPr>
              <w:pStyle w:val="Standaard-Tabellen"/>
              <w:rPr>
                <w:szCs w:val="18"/>
                <w:lang w:eastAsia="en-US"/>
              </w:rPr>
            </w:pPr>
            <w:r>
              <w:rPr>
                <w:szCs w:val="18"/>
                <w:lang w:eastAsia="en-US"/>
              </w:rPr>
              <w:t>2</w:t>
            </w:r>
          </w:p>
        </w:tc>
        <w:tc>
          <w:tcPr>
            <w:tcW w:w="660" w:type="pct"/>
            <w:tcBorders>
              <w:bottom w:val="double" w:sz="4" w:space="0" w:color="auto"/>
            </w:tcBorders>
            <w:shd w:val="clear" w:color="auto" w:fill="auto"/>
          </w:tcPr>
          <w:p w14:paraId="06EE1CEE" w14:textId="77777777" w:rsidR="00C47639" w:rsidRDefault="00C47639" w:rsidP="00C47639">
            <w:pPr>
              <w:pStyle w:val="Standaard-Tabellen"/>
              <w:rPr>
                <w:szCs w:val="18"/>
                <w:lang w:eastAsia="en-US"/>
              </w:rPr>
            </w:pPr>
            <w:r>
              <w:rPr>
                <w:szCs w:val="18"/>
                <w:lang w:eastAsia="en-US"/>
              </w:rPr>
              <w:t>500</w:t>
            </w:r>
          </w:p>
        </w:tc>
        <w:tc>
          <w:tcPr>
            <w:tcW w:w="629" w:type="pct"/>
            <w:tcBorders>
              <w:bottom w:val="double" w:sz="4" w:space="0" w:color="auto"/>
            </w:tcBorders>
            <w:shd w:val="clear" w:color="auto" w:fill="auto"/>
          </w:tcPr>
          <w:p w14:paraId="77D87BB2" w14:textId="77777777" w:rsidR="00C47639" w:rsidRDefault="00C47639" w:rsidP="00C47639">
            <w:pPr>
              <w:pStyle w:val="Standaard-Tabellen"/>
              <w:rPr>
                <w:szCs w:val="18"/>
                <w:lang w:eastAsia="en-US"/>
              </w:rPr>
            </w:pPr>
            <w:r>
              <w:rPr>
                <w:szCs w:val="18"/>
                <w:lang w:eastAsia="en-US"/>
              </w:rPr>
              <w:t>5</w:t>
            </w:r>
          </w:p>
        </w:tc>
        <w:tc>
          <w:tcPr>
            <w:tcW w:w="884" w:type="pct"/>
            <w:tcBorders>
              <w:bottom w:val="double" w:sz="4" w:space="0" w:color="auto"/>
            </w:tcBorders>
            <w:shd w:val="clear" w:color="auto" w:fill="auto"/>
            <w:vAlign w:val="center"/>
          </w:tcPr>
          <w:p w14:paraId="470E666E" w14:textId="77777777" w:rsidR="00C47639" w:rsidRPr="00B42FAC" w:rsidRDefault="00C47639" w:rsidP="00C47639">
            <w:pPr>
              <w:pStyle w:val="Standaard-Tabellen"/>
              <w:rPr>
                <w:rFonts w:cs="Arial"/>
                <w:szCs w:val="18"/>
                <w:highlight w:val="yellow"/>
              </w:rPr>
            </w:pPr>
            <w:r w:rsidRPr="000C397E">
              <w:rPr>
                <w:rFonts w:cs="Arial"/>
                <w:bCs w:val="0"/>
              </w:rPr>
              <w:t xml:space="preserve">0.011308 </w:t>
            </w:r>
          </w:p>
        </w:tc>
        <w:tc>
          <w:tcPr>
            <w:tcW w:w="672" w:type="pct"/>
            <w:tcBorders>
              <w:bottom w:val="double" w:sz="4" w:space="0" w:color="auto"/>
            </w:tcBorders>
            <w:shd w:val="clear" w:color="auto" w:fill="auto"/>
            <w:vAlign w:val="center"/>
          </w:tcPr>
          <w:p w14:paraId="0E7C7317" w14:textId="77777777" w:rsidR="00C47639" w:rsidRPr="00412894" w:rsidRDefault="00C47639" w:rsidP="00C47639">
            <w:pPr>
              <w:pStyle w:val="Standaard-Tabellen"/>
              <w:rPr>
                <w:szCs w:val="18"/>
                <w:lang w:eastAsia="en-US"/>
              </w:rPr>
            </w:pPr>
            <w:r w:rsidRPr="00B42FAC">
              <w:rPr>
                <w:szCs w:val="18"/>
                <w:lang w:eastAsia="en-US"/>
              </w:rPr>
              <w:t>0.22</w:t>
            </w:r>
          </w:p>
        </w:tc>
        <w:tc>
          <w:tcPr>
            <w:tcW w:w="773" w:type="pct"/>
            <w:tcBorders>
              <w:bottom w:val="double" w:sz="4" w:space="0" w:color="auto"/>
            </w:tcBorders>
            <w:shd w:val="clear" w:color="auto" w:fill="auto"/>
            <w:vAlign w:val="center"/>
          </w:tcPr>
          <w:p w14:paraId="5757E6C3" w14:textId="77777777" w:rsidR="00C47639" w:rsidRPr="007962DB" w:rsidRDefault="00C47639" w:rsidP="00C47639">
            <w:pPr>
              <w:pStyle w:val="Standaard-Tabellen"/>
              <w:rPr>
                <w:szCs w:val="18"/>
                <w:lang w:eastAsia="en-US"/>
              </w:rPr>
            </w:pPr>
            <w:r w:rsidRPr="00973BCE">
              <w:rPr>
                <w:szCs w:val="18"/>
                <w:lang w:eastAsia="en-US"/>
              </w:rPr>
              <w:t xml:space="preserve">Yes </w:t>
            </w:r>
          </w:p>
        </w:tc>
      </w:tr>
      <w:tr w:rsidR="00C47639" w:rsidRPr="00FD2055" w14:paraId="6A099E1D" w14:textId="77777777" w:rsidTr="00C47639">
        <w:tc>
          <w:tcPr>
            <w:tcW w:w="1057" w:type="pct"/>
            <w:tcBorders>
              <w:top w:val="double" w:sz="4" w:space="0" w:color="auto"/>
              <w:bottom w:val="single" w:sz="18" w:space="0" w:color="auto"/>
            </w:tcBorders>
            <w:shd w:val="clear" w:color="auto" w:fill="auto"/>
          </w:tcPr>
          <w:p w14:paraId="4B5A3FF8" w14:textId="77777777" w:rsidR="00C47639" w:rsidRPr="0091532F" w:rsidRDefault="00C47639" w:rsidP="00C47639">
            <w:pPr>
              <w:pStyle w:val="Standaard-Tabellen"/>
              <w:rPr>
                <w:szCs w:val="18"/>
                <w:lang w:eastAsia="en-US"/>
              </w:rPr>
            </w:pPr>
            <w:r>
              <w:rPr>
                <w:szCs w:val="18"/>
                <w:lang w:eastAsia="en-US"/>
              </w:rPr>
              <w:t>Scenario 2</w:t>
            </w:r>
            <w:r w:rsidRPr="0091532F">
              <w:rPr>
                <w:szCs w:val="18"/>
                <w:lang w:eastAsia="en-US"/>
              </w:rPr>
              <w:t xml:space="preserve">, </w:t>
            </w:r>
            <w:proofErr w:type="spellStart"/>
            <w:r w:rsidRPr="007962DB">
              <w:rPr>
                <w:szCs w:val="18"/>
                <w:lang w:eastAsia="en-US"/>
              </w:rPr>
              <w:t>inhal</w:t>
            </w:r>
            <w:proofErr w:type="spellEnd"/>
            <w:r>
              <w:rPr>
                <w:szCs w:val="18"/>
                <w:lang w:eastAsia="en-US"/>
              </w:rPr>
              <w:t xml:space="preserve"> </w:t>
            </w:r>
            <w:r w:rsidRPr="007962DB">
              <w:rPr>
                <w:szCs w:val="18"/>
                <w:lang w:eastAsia="en-US"/>
              </w:rPr>
              <w:t>+oral</w:t>
            </w:r>
            <w:r w:rsidRPr="0091532F">
              <w:rPr>
                <w:szCs w:val="18"/>
                <w:lang w:eastAsia="en-US"/>
              </w:rPr>
              <w:t>, adult</w:t>
            </w:r>
          </w:p>
        </w:tc>
        <w:tc>
          <w:tcPr>
            <w:tcW w:w="324" w:type="pct"/>
            <w:tcBorders>
              <w:top w:val="double" w:sz="4" w:space="0" w:color="auto"/>
              <w:bottom w:val="single" w:sz="18" w:space="0" w:color="auto"/>
            </w:tcBorders>
            <w:shd w:val="clear" w:color="auto" w:fill="auto"/>
          </w:tcPr>
          <w:p w14:paraId="6054E356" w14:textId="77777777" w:rsidR="00C47639" w:rsidRPr="0091532F" w:rsidRDefault="00C47639" w:rsidP="00C47639">
            <w:pPr>
              <w:pStyle w:val="Standaard-Tabellen"/>
              <w:rPr>
                <w:szCs w:val="18"/>
                <w:lang w:eastAsia="en-US"/>
              </w:rPr>
            </w:pPr>
            <w:r>
              <w:rPr>
                <w:szCs w:val="18"/>
                <w:lang w:eastAsia="en-US"/>
              </w:rPr>
              <w:t>3</w:t>
            </w:r>
          </w:p>
        </w:tc>
        <w:tc>
          <w:tcPr>
            <w:tcW w:w="660" w:type="pct"/>
            <w:tcBorders>
              <w:top w:val="double" w:sz="4" w:space="0" w:color="auto"/>
              <w:bottom w:val="single" w:sz="18" w:space="0" w:color="auto"/>
            </w:tcBorders>
            <w:shd w:val="clear" w:color="auto" w:fill="auto"/>
          </w:tcPr>
          <w:p w14:paraId="33A236B4" w14:textId="77777777" w:rsidR="00C47639" w:rsidRDefault="00C47639" w:rsidP="00C47639">
            <w:pPr>
              <w:pStyle w:val="Standaard-Tabellen"/>
              <w:rPr>
                <w:szCs w:val="18"/>
                <w:lang w:eastAsia="en-US"/>
              </w:rPr>
            </w:pPr>
            <w:r>
              <w:rPr>
                <w:szCs w:val="18"/>
                <w:lang w:eastAsia="en-US"/>
              </w:rPr>
              <w:t>500</w:t>
            </w:r>
          </w:p>
        </w:tc>
        <w:tc>
          <w:tcPr>
            <w:tcW w:w="629" w:type="pct"/>
            <w:tcBorders>
              <w:top w:val="double" w:sz="4" w:space="0" w:color="auto"/>
              <w:bottom w:val="single" w:sz="18" w:space="0" w:color="auto"/>
            </w:tcBorders>
            <w:shd w:val="clear" w:color="auto" w:fill="auto"/>
          </w:tcPr>
          <w:p w14:paraId="711976C6" w14:textId="77777777" w:rsidR="00C47639" w:rsidRDefault="00C47639" w:rsidP="00C47639">
            <w:pPr>
              <w:pStyle w:val="Standaard-Tabellen"/>
              <w:rPr>
                <w:szCs w:val="18"/>
                <w:lang w:eastAsia="en-US"/>
              </w:rPr>
            </w:pPr>
            <w:r>
              <w:rPr>
                <w:szCs w:val="18"/>
                <w:lang w:eastAsia="en-US"/>
              </w:rPr>
              <w:t>5</w:t>
            </w:r>
          </w:p>
        </w:tc>
        <w:tc>
          <w:tcPr>
            <w:tcW w:w="884" w:type="pct"/>
            <w:tcBorders>
              <w:top w:val="double" w:sz="4" w:space="0" w:color="auto"/>
              <w:bottom w:val="single" w:sz="18" w:space="0" w:color="auto"/>
            </w:tcBorders>
            <w:shd w:val="clear" w:color="auto" w:fill="auto"/>
            <w:vAlign w:val="center"/>
          </w:tcPr>
          <w:p w14:paraId="78EE6C88" w14:textId="77777777" w:rsidR="00C47639" w:rsidRPr="00B42FAC" w:rsidRDefault="00C47639" w:rsidP="00C47639">
            <w:pPr>
              <w:pStyle w:val="Standaard-Tabellen"/>
              <w:rPr>
                <w:rFonts w:cs="Arial"/>
                <w:szCs w:val="18"/>
                <w:highlight w:val="yellow"/>
              </w:rPr>
            </w:pPr>
            <w:r w:rsidRPr="000C397E">
              <w:rPr>
                <w:rFonts w:cs="Arial"/>
                <w:bCs w:val="0"/>
              </w:rPr>
              <w:t xml:space="preserve">0.002917 </w:t>
            </w:r>
          </w:p>
        </w:tc>
        <w:tc>
          <w:tcPr>
            <w:tcW w:w="672" w:type="pct"/>
            <w:tcBorders>
              <w:top w:val="double" w:sz="4" w:space="0" w:color="auto"/>
              <w:bottom w:val="single" w:sz="18" w:space="0" w:color="auto"/>
            </w:tcBorders>
            <w:shd w:val="clear" w:color="auto" w:fill="auto"/>
            <w:vAlign w:val="center"/>
          </w:tcPr>
          <w:p w14:paraId="6DC69F1B" w14:textId="77777777" w:rsidR="00C47639" w:rsidRPr="00412894" w:rsidRDefault="00C47639" w:rsidP="00C47639">
            <w:pPr>
              <w:pStyle w:val="Standaard-Tabellen"/>
              <w:rPr>
                <w:szCs w:val="18"/>
                <w:lang w:eastAsia="en-US"/>
              </w:rPr>
            </w:pPr>
            <w:r w:rsidRPr="00B42FAC">
              <w:rPr>
                <w:szCs w:val="18"/>
                <w:lang w:eastAsia="en-US"/>
              </w:rPr>
              <w:t>0.06</w:t>
            </w:r>
          </w:p>
        </w:tc>
        <w:tc>
          <w:tcPr>
            <w:tcW w:w="773" w:type="pct"/>
            <w:tcBorders>
              <w:top w:val="double" w:sz="4" w:space="0" w:color="auto"/>
              <w:bottom w:val="single" w:sz="18" w:space="0" w:color="auto"/>
            </w:tcBorders>
            <w:shd w:val="clear" w:color="auto" w:fill="auto"/>
            <w:vAlign w:val="center"/>
          </w:tcPr>
          <w:p w14:paraId="77D2B8D4" w14:textId="77777777" w:rsidR="00C47639" w:rsidRPr="007962DB" w:rsidRDefault="00C47639" w:rsidP="00C47639">
            <w:pPr>
              <w:pStyle w:val="Standaard-Tabellen"/>
              <w:rPr>
                <w:szCs w:val="18"/>
                <w:lang w:eastAsia="en-US"/>
              </w:rPr>
            </w:pPr>
            <w:r w:rsidRPr="00973BCE">
              <w:rPr>
                <w:szCs w:val="18"/>
                <w:lang w:eastAsia="en-US"/>
              </w:rPr>
              <w:t xml:space="preserve">Yes </w:t>
            </w:r>
          </w:p>
        </w:tc>
      </w:tr>
      <w:tr w:rsidR="00C47639" w:rsidRPr="00FD2055" w14:paraId="5654E75A" w14:textId="77777777" w:rsidTr="00C47639">
        <w:tc>
          <w:tcPr>
            <w:tcW w:w="1057" w:type="pct"/>
            <w:shd w:val="clear" w:color="auto" w:fill="auto"/>
          </w:tcPr>
          <w:p w14:paraId="0E03BD8B" w14:textId="77777777" w:rsidR="00C47639" w:rsidRPr="00FD2055" w:rsidRDefault="00C47639" w:rsidP="00C47639">
            <w:pPr>
              <w:pStyle w:val="Standaard-Tabellen"/>
            </w:pPr>
            <w:r w:rsidRPr="0091532F">
              <w:rPr>
                <w:szCs w:val="18"/>
                <w:lang w:eastAsia="en-US"/>
              </w:rPr>
              <w:t>Scenario 3, hand-mouth transfer, adult</w:t>
            </w:r>
          </w:p>
        </w:tc>
        <w:tc>
          <w:tcPr>
            <w:tcW w:w="324" w:type="pct"/>
            <w:shd w:val="clear" w:color="auto" w:fill="auto"/>
          </w:tcPr>
          <w:p w14:paraId="408B2C67"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6333A05" w14:textId="77777777" w:rsidR="00C47639" w:rsidRPr="00FD2055" w:rsidRDefault="00C47639" w:rsidP="00C47639">
            <w:pPr>
              <w:pStyle w:val="Standaard-Tabellen"/>
            </w:pPr>
            <w:r>
              <w:rPr>
                <w:szCs w:val="18"/>
                <w:lang w:eastAsia="en-US"/>
              </w:rPr>
              <w:t>500</w:t>
            </w:r>
          </w:p>
        </w:tc>
        <w:tc>
          <w:tcPr>
            <w:tcW w:w="629" w:type="pct"/>
            <w:shd w:val="clear" w:color="auto" w:fill="auto"/>
          </w:tcPr>
          <w:p w14:paraId="66459A0C" w14:textId="77777777" w:rsidR="00C47639" w:rsidRPr="00FD2055" w:rsidRDefault="00C47639" w:rsidP="00C47639">
            <w:pPr>
              <w:pStyle w:val="Standaard-Tabellen"/>
            </w:pPr>
            <w:r>
              <w:rPr>
                <w:szCs w:val="18"/>
                <w:lang w:eastAsia="en-US"/>
              </w:rPr>
              <w:t>5</w:t>
            </w:r>
          </w:p>
        </w:tc>
        <w:tc>
          <w:tcPr>
            <w:tcW w:w="884" w:type="pct"/>
            <w:tcBorders>
              <w:top w:val="single" w:sz="18" w:space="0" w:color="auto"/>
            </w:tcBorders>
            <w:shd w:val="clear" w:color="auto" w:fill="auto"/>
            <w:vAlign w:val="center"/>
          </w:tcPr>
          <w:p w14:paraId="17339C19" w14:textId="77777777" w:rsidR="00C47639" w:rsidRPr="00FD2055" w:rsidRDefault="00C47639" w:rsidP="00C47639">
            <w:pPr>
              <w:pStyle w:val="Standaard-Tabellen"/>
            </w:pPr>
            <w:r w:rsidRPr="000C397E">
              <w:rPr>
                <w:bCs w:val="0"/>
              </w:rPr>
              <w:t>Up to 6.13 applications</w:t>
            </w:r>
          </w:p>
        </w:tc>
        <w:tc>
          <w:tcPr>
            <w:tcW w:w="672" w:type="pct"/>
            <w:shd w:val="clear" w:color="auto" w:fill="auto"/>
            <w:vAlign w:val="center"/>
          </w:tcPr>
          <w:p w14:paraId="31F8277A" w14:textId="77777777" w:rsidR="00C47639" w:rsidRPr="00FD2055" w:rsidRDefault="00C47639" w:rsidP="00C47639">
            <w:pPr>
              <w:pStyle w:val="Standaard-Tabellen"/>
            </w:pPr>
            <w:proofErr w:type="spellStart"/>
            <w:r w:rsidRPr="0091532F">
              <w:rPr>
                <w:szCs w:val="18"/>
                <w:lang w:eastAsia="en-US"/>
              </w:rPr>
              <w:t>n.a</w:t>
            </w:r>
            <w:proofErr w:type="spellEnd"/>
            <w:r w:rsidRPr="0091532F">
              <w:rPr>
                <w:szCs w:val="18"/>
                <w:lang w:eastAsia="en-US"/>
              </w:rPr>
              <w:t>.</w:t>
            </w:r>
          </w:p>
        </w:tc>
        <w:tc>
          <w:tcPr>
            <w:tcW w:w="773" w:type="pct"/>
            <w:shd w:val="clear" w:color="auto" w:fill="auto"/>
            <w:vAlign w:val="center"/>
          </w:tcPr>
          <w:p w14:paraId="180F363C" w14:textId="77777777" w:rsidR="00C47639" w:rsidRDefault="00C47639" w:rsidP="00C47639">
            <w:pPr>
              <w:pStyle w:val="Standaard-Tabellen"/>
              <w:rPr>
                <w:szCs w:val="18"/>
                <w:lang w:eastAsia="en-US"/>
              </w:rPr>
            </w:pPr>
            <w:r>
              <w:rPr>
                <w:szCs w:val="18"/>
                <w:lang w:eastAsia="en-US"/>
              </w:rPr>
              <w:t>Reverse</w:t>
            </w:r>
          </w:p>
          <w:p w14:paraId="1AA05725" w14:textId="77777777" w:rsidR="00C47639" w:rsidRDefault="00C47639" w:rsidP="00C47639">
            <w:pPr>
              <w:pStyle w:val="Standaard-Tabellen"/>
              <w:rPr>
                <w:szCs w:val="18"/>
                <w:lang w:eastAsia="en-US"/>
              </w:rPr>
            </w:pPr>
            <w:r>
              <w:rPr>
                <w:szCs w:val="18"/>
                <w:lang w:eastAsia="en-US"/>
              </w:rPr>
              <w:t>reference</w:t>
            </w:r>
          </w:p>
          <w:p w14:paraId="143BD486" w14:textId="77777777" w:rsidR="00C47639" w:rsidRPr="00FD2055" w:rsidRDefault="00C47639" w:rsidP="00C47639">
            <w:pPr>
              <w:pStyle w:val="Standaard-Tabellen"/>
            </w:pPr>
            <w:r w:rsidRPr="0091532F">
              <w:rPr>
                <w:szCs w:val="18"/>
                <w:lang w:eastAsia="en-US"/>
              </w:rPr>
              <w:t>scenario</w:t>
            </w:r>
          </w:p>
        </w:tc>
      </w:tr>
      <w:tr w:rsidR="00C47639" w:rsidRPr="00FD2055" w14:paraId="2F650BD8" w14:textId="77777777" w:rsidTr="00C47639">
        <w:tc>
          <w:tcPr>
            <w:tcW w:w="1057" w:type="pct"/>
            <w:shd w:val="clear" w:color="auto" w:fill="auto"/>
          </w:tcPr>
          <w:p w14:paraId="123C5D43" w14:textId="77777777" w:rsidR="00C47639" w:rsidRPr="00FD2055" w:rsidRDefault="00C47639" w:rsidP="00C47639">
            <w:pPr>
              <w:pStyle w:val="Standaard-Tabellen"/>
            </w:pPr>
            <w:r w:rsidRPr="0091532F">
              <w:rPr>
                <w:szCs w:val="18"/>
                <w:lang w:eastAsia="en-US"/>
              </w:rPr>
              <w:t>Scenario 3, hand-mouth transfer, child</w:t>
            </w:r>
            <w:r>
              <w:rPr>
                <w:szCs w:val="18"/>
                <w:lang w:eastAsia="en-US"/>
              </w:rPr>
              <w:t xml:space="preserve"> (6-12)</w:t>
            </w:r>
          </w:p>
        </w:tc>
        <w:tc>
          <w:tcPr>
            <w:tcW w:w="324" w:type="pct"/>
            <w:shd w:val="clear" w:color="auto" w:fill="auto"/>
          </w:tcPr>
          <w:p w14:paraId="30D28698"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178231FD" w14:textId="77777777" w:rsidR="00C47639" w:rsidRPr="00FD2055" w:rsidRDefault="00C47639" w:rsidP="00C47639">
            <w:pPr>
              <w:pStyle w:val="Standaard-Tabellen"/>
            </w:pPr>
            <w:r>
              <w:rPr>
                <w:szCs w:val="18"/>
                <w:lang w:eastAsia="en-US"/>
              </w:rPr>
              <w:t>500</w:t>
            </w:r>
          </w:p>
        </w:tc>
        <w:tc>
          <w:tcPr>
            <w:tcW w:w="629" w:type="pct"/>
            <w:shd w:val="clear" w:color="auto" w:fill="auto"/>
          </w:tcPr>
          <w:p w14:paraId="78C4764C"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23FB3513" w14:textId="77777777" w:rsidR="00C47639" w:rsidRPr="00FD2055" w:rsidRDefault="00C47639" w:rsidP="00C47639">
            <w:pPr>
              <w:pStyle w:val="Standaard-Tabellen"/>
            </w:pPr>
            <w:r w:rsidRPr="000C397E">
              <w:rPr>
                <w:bCs w:val="0"/>
              </w:rPr>
              <w:t>Up to 2.20 applications</w:t>
            </w:r>
          </w:p>
        </w:tc>
        <w:tc>
          <w:tcPr>
            <w:tcW w:w="672" w:type="pct"/>
            <w:shd w:val="clear" w:color="auto" w:fill="auto"/>
            <w:vAlign w:val="center"/>
          </w:tcPr>
          <w:p w14:paraId="772FF04B" w14:textId="77777777" w:rsidR="00C47639" w:rsidRPr="00FD2055" w:rsidRDefault="00C47639" w:rsidP="00C47639">
            <w:pPr>
              <w:pStyle w:val="Standaard-Tabellen"/>
            </w:pPr>
            <w:proofErr w:type="spellStart"/>
            <w:r w:rsidRPr="0091532F">
              <w:rPr>
                <w:szCs w:val="18"/>
                <w:lang w:eastAsia="en-US"/>
              </w:rPr>
              <w:t>n.a</w:t>
            </w:r>
            <w:proofErr w:type="spellEnd"/>
            <w:r w:rsidRPr="0091532F">
              <w:rPr>
                <w:szCs w:val="18"/>
                <w:lang w:eastAsia="en-US"/>
              </w:rPr>
              <w:t>.</w:t>
            </w:r>
          </w:p>
        </w:tc>
        <w:tc>
          <w:tcPr>
            <w:tcW w:w="773" w:type="pct"/>
            <w:shd w:val="clear" w:color="auto" w:fill="auto"/>
            <w:vAlign w:val="center"/>
          </w:tcPr>
          <w:p w14:paraId="052257A6" w14:textId="77777777" w:rsidR="00C47639" w:rsidRDefault="00C47639" w:rsidP="00C47639">
            <w:pPr>
              <w:pStyle w:val="Standaard-Tabellen"/>
              <w:rPr>
                <w:szCs w:val="18"/>
                <w:lang w:eastAsia="en-US"/>
              </w:rPr>
            </w:pPr>
            <w:r>
              <w:rPr>
                <w:szCs w:val="18"/>
                <w:lang w:eastAsia="en-US"/>
              </w:rPr>
              <w:t>Reverse</w:t>
            </w:r>
          </w:p>
          <w:p w14:paraId="11892C16" w14:textId="77777777" w:rsidR="00C47639" w:rsidRDefault="00C47639" w:rsidP="00C47639">
            <w:pPr>
              <w:pStyle w:val="Standaard-Tabellen"/>
              <w:rPr>
                <w:szCs w:val="18"/>
                <w:lang w:eastAsia="en-US"/>
              </w:rPr>
            </w:pPr>
            <w:r>
              <w:rPr>
                <w:szCs w:val="18"/>
                <w:lang w:eastAsia="en-US"/>
              </w:rPr>
              <w:t>reference</w:t>
            </w:r>
          </w:p>
          <w:p w14:paraId="566D04FC" w14:textId="77777777" w:rsidR="00C47639" w:rsidRPr="00FD2055" w:rsidRDefault="00C47639" w:rsidP="00C47639">
            <w:pPr>
              <w:pStyle w:val="Standaard-Tabellen"/>
            </w:pPr>
            <w:r w:rsidRPr="0091532F">
              <w:rPr>
                <w:szCs w:val="18"/>
                <w:lang w:eastAsia="en-US"/>
              </w:rPr>
              <w:t>scenario</w:t>
            </w:r>
          </w:p>
        </w:tc>
      </w:tr>
      <w:tr w:rsidR="00C47639" w:rsidRPr="00FD2055" w14:paraId="02D4FB32" w14:textId="77777777" w:rsidTr="00C47639">
        <w:tc>
          <w:tcPr>
            <w:tcW w:w="1057" w:type="pct"/>
            <w:shd w:val="clear" w:color="auto" w:fill="auto"/>
          </w:tcPr>
          <w:p w14:paraId="52841E35" w14:textId="77777777" w:rsidR="00C47639" w:rsidRPr="0091532F" w:rsidRDefault="00C47639" w:rsidP="00C47639">
            <w:pPr>
              <w:pStyle w:val="Standaard-Tabellen"/>
              <w:rPr>
                <w:szCs w:val="18"/>
                <w:lang w:eastAsia="en-US"/>
              </w:rPr>
            </w:pPr>
            <w:r w:rsidRPr="0091532F">
              <w:rPr>
                <w:szCs w:val="18"/>
                <w:lang w:eastAsia="en-US"/>
              </w:rPr>
              <w:t>Scenario 3, hand-mouth transfer, child</w:t>
            </w:r>
            <w:r>
              <w:rPr>
                <w:szCs w:val="18"/>
                <w:lang w:eastAsia="en-US"/>
              </w:rPr>
              <w:t xml:space="preserve"> (2-6)</w:t>
            </w:r>
          </w:p>
        </w:tc>
        <w:tc>
          <w:tcPr>
            <w:tcW w:w="324" w:type="pct"/>
            <w:shd w:val="clear" w:color="auto" w:fill="auto"/>
          </w:tcPr>
          <w:p w14:paraId="3187AEB2" w14:textId="77777777" w:rsidR="00C47639" w:rsidRPr="0091532F" w:rsidRDefault="00C47639" w:rsidP="00C47639">
            <w:pPr>
              <w:pStyle w:val="Standaard-Tabellen"/>
              <w:rPr>
                <w:szCs w:val="18"/>
                <w:lang w:eastAsia="en-US"/>
              </w:rPr>
            </w:pPr>
            <w:r w:rsidRPr="0091532F">
              <w:rPr>
                <w:szCs w:val="18"/>
                <w:lang w:eastAsia="en-US"/>
              </w:rPr>
              <w:t>1</w:t>
            </w:r>
          </w:p>
        </w:tc>
        <w:tc>
          <w:tcPr>
            <w:tcW w:w="660" w:type="pct"/>
            <w:shd w:val="clear" w:color="auto" w:fill="auto"/>
          </w:tcPr>
          <w:p w14:paraId="3D45BB88" w14:textId="77777777" w:rsidR="00C47639" w:rsidRDefault="00C47639" w:rsidP="00C47639">
            <w:pPr>
              <w:pStyle w:val="Standaard-Tabellen"/>
              <w:rPr>
                <w:szCs w:val="18"/>
                <w:lang w:eastAsia="en-US"/>
              </w:rPr>
            </w:pPr>
            <w:r>
              <w:rPr>
                <w:szCs w:val="18"/>
                <w:lang w:eastAsia="en-US"/>
              </w:rPr>
              <w:t>500</w:t>
            </w:r>
          </w:p>
        </w:tc>
        <w:tc>
          <w:tcPr>
            <w:tcW w:w="629" w:type="pct"/>
            <w:shd w:val="clear" w:color="auto" w:fill="auto"/>
          </w:tcPr>
          <w:p w14:paraId="37381438" w14:textId="77777777" w:rsidR="00C47639" w:rsidRDefault="00C47639" w:rsidP="00C47639">
            <w:pPr>
              <w:pStyle w:val="Standaard-Tabellen"/>
              <w:rPr>
                <w:szCs w:val="18"/>
                <w:lang w:eastAsia="en-US"/>
              </w:rPr>
            </w:pPr>
            <w:r>
              <w:rPr>
                <w:szCs w:val="18"/>
                <w:lang w:eastAsia="en-US"/>
              </w:rPr>
              <w:t>5</w:t>
            </w:r>
          </w:p>
        </w:tc>
        <w:tc>
          <w:tcPr>
            <w:tcW w:w="884" w:type="pct"/>
            <w:shd w:val="clear" w:color="auto" w:fill="auto"/>
            <w:vAlign w:val="center"/>
          </w:tcPr>
          <w:p w14:paraId="7D6C6A94" w14:textId="77777777" w:rsidR="00C47639" w:rsidRDefault="00C47639" w:rsidP="00C47639">
            <w:pPr>
              <w:pStyle w:val="Standaard-Tabellen"/>
              <w:rPr>
                <w:szCs w:val="18"/>
              </w:rPr>
            </w:pPr>
            <w:r w:rsidRPr="000C397E">
              <w:rPr>
                <w:bCs w:val="0"/>
              </w:rPr>
              <w:t>Up to 1.94 applications</w:t>
            </w:r>
          </w:p>
        </w:tc>
        <w:tc>
          <w:tcPr>
            <w:tcW w:w="672" w:type="pct"/>
            <w:shd w:val="clear" w:color="auto" w:fill="auto"/>
            <w:vAlign w:val="center"/>
          </w:tcPr>
          <w:p w14:paraId="43419F7C" w14:textId="77777777" w:rsidR="00C47639" w:rsidRPr="0091532F" w:rsidRDefault="00C47639" w:rsidP="00C47639">
            <w:pPr>
              <w:pStyle w:val="Standaard-Tabellen"/>
              <w:rPr>
                <w:szCs w:val="18"/>
                <w:lang w:eastAsia="en-US"/>
              </w:rPr>
            </w:pPr>
            <w:proofErr w:type="spellStart"/>
            <w:r w:rsidRPr="0091532F">
              <w:rPr>
                <w:szCs w:val="18"/>
                <w:lang w:eastAsia="en-US"/>
              </w:rPr>
              <w:t>n.a</w:t>
            </w:r>
            <w:proofErr w:type="spellEnd"/>
            <w:r w:rsidRPr="0091532F">
              <w:rPr>
                <w:szCs w:val="18"/>
                <w:lang w:eastAsia="en-US"/>
              </w:rPr>
              <w:t>.</w:t>
            </w:r>
          </w:p>
        </w:tc>
        <w:tc>
          <w:tcPr>
            <w:tcW w:w="773" w:type="pct"/>
            <w:shd w:val="clear" w:color="auto" w:fill="auto"/>
            <w:vAlign w:val="center"/>
          </w:tcPr>
          <w:p w14:paraId="47902B4B" w14:textId="77777777" w:rsidR="00C47639" w:rsidRDefault="00C47639" w:rsidP="00C47639">
            <w:pPr>
              <w:pStyle w:val="Standaard-Tabellen"/>
              <w:rPr>
                <w:szCs w:val="18"/>
                <w:lang w:eastAsia="en-US"/>
              </w:rPr>
            </w:pPr>
            <w:r>
              <w:rPr>
                <w:szCs w:val="18"/>
                <w:lang w:eastAsia="en-US"/>
              </w:rPr>
              <w:t>Reverse</w:t>
            </w:r>
          </w:p>
          <w:p w14:paraId="00D9AE86" w14:textId="77777777" w:rsidR="00C47639" w:rsidRDefault="00C47639" w:rsidP="00C47639">
            <w:pPr>
              <w:pStyle w:val="Standaard-Tabellen"/>
              <w:rPr>
                <w:szCs w:val="18"/>
                <w:lang w:eastAsia="en-US"/>
              </w:rPr>
            </w:pPr>
            <w:r>
              <w:rPr>
                <w:szCs w:val="18"/>
                <w:lang w:eastAsia="en-US"/>
              </w:rPr>
              <w:t>reference</w:t>
            </w:r>
          </w:p>
          <w:p w14:paraId="3A08E8BA" w14:textId="77777777" w:rsidR="00C47639" w:rsidRDefault="00C47639" w:rsidP="00C47639">
            <w:pPr>
              <w:pStyle w:val="Standaard-Tabellen"/>
              <w:rPr>
                <w:szCs w:val="18"/>
                <w:lang w:eastAsia="en-US"/>
              </w:rPr>
            </w:pPr>
            <w:r w:rsidRPr="0091532F">
              <w:rPr>
                <w:szCs w:val="18"/>
                <w:lang w:eastAsia="en-US"/>
              </w:rPr>
              <w:t>scenario</w:t>
            </w:r>
          </w:p>
        </w:tc>
      </w:tr>
      <w:tr w:rsidR="00C47639" w:rsidRPr="00FD2055" w14:paraId="58335987" w14:textId="77777777" w:rsidTr="00C47639">
        <w:tc>
          <w:tcPr>
            <w:tcW w:w="1057" w:type="pct"/>
            <w:shd w:val="clear" w:color="auto" w:fill="auto"/>
          </w:tcPr>
          <w:p w14:paraId="3FB56104" w14:textId="77777777" w:rsidR="00C47639" w:rsidRPr="00FD2055" w:rsidRDefault="00C47639" w:rsidP="00C47639">
            <w:pPr>
              <w:pStyle w:val="Standaard-Tabellen"/>
            </w:pPr>
            <w:r w:rsidRPr="0091532F">
              <w:rPr>
                <w:szCs w:val="18"/>
                <w:lang w:eastAsia="en-US"/>
              </w:rPr>
              <w:t>Scenario 3, hand-mouth transfer, toddler</w:t>
            </w:r>
          </w:p>
        </w:tc>
        <w:tc>
          <w:tcPr>
            <w:tcW w:w="324" w:type="pct"/>
            <w:shd w:val="clear" w:color="auto" w:fill="auto"/>
          </w:tcPr>
          <w:p w14:paraId="2C57A49B"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3952AA19" w14:textId="77777777" w:rsidR="00C47639" w:rsidRPr="00FD2055" w:rsidRDefault="00C47639" w:rsidP="00C47639">
            <w:pPr>
              <w:pStyle w:val="Standaard-Tabellen"/>
            </w:pPr>
            <w:r>
              <w:rPr>
                <w:szCs w:val="18"/>
                <w:lang w:eastAsia="en-US"/>
              </w:rPr>
              <w:t>500</w:t>
            </w:r>
          </w:p>
        </w:tc>
        <w:tc>
          <w:tcPr>
            <w:tcW w:w="629" w:type="pct"/>
            <w:shd w:val="clear" w:color="auto" w:fill="auto"/>
          </w:tcPr>
          <w:p w14:paraId="3354481D"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435F61DE" w14:textId="77777777" w:rsidR="00C47639" w:rsidRPr="00FD2055" w:rsidRDefault="00C47639" w:rsidP="00C47639">
            <w:pPr>
              <w:pStyle w:val="Standaard-Tabellen"/>
            </w:pPr>
            <w:r w:rsidRPr="000C397E">
              <w:rPr>
                <w:bCs w:val="0"/>
              </w:rPr>
              <w:t>Up to 1.77 applications</w:t>
            </w:r>
          </w:p>
        </w:tc>
        <w:tc>
          <w:tcPr>
            <w:tcW w:w="672" w:type="pct"/>
            <w:shd w:val="clear" w:color="auto" w:fill="auto"/>
            <w:vAlign w:val="center"/>
          </w:tcPr>
          <w:p w14:paraId="3D3A599D" w14:textId="77777777" w:rsidR="00C47639" w:rsidRPr="00FD2055" w:rsidRDefault="00C47639" w:rsidP="00C47639">
            <w:pPr>
              <w:pStyle w:val="Standaard-Tabellen"/>
            </w:pPr>
            <w:proofErr w:type="spellStart"/>
            <w:r w:rsidRPr="0091532F">
              <w:rPr>
                <w:szCs w:val="18"/>
                <w:lang w:eastAsia="en-US"/>
              </w:rPr>
              <w:t>n.a</w:t>
            </w:r>
            <w:proofErr w:type="spellEnd"/>
            <w:r w:rsidRPr="0091532F">
              <w:rPr>
                <w:szCs w:val="18"/>
                <w:lang w:eastAsia="en-US"/>
              </w:rPr>
              <w:t>.</w:t>
            </w:r>
          </w:p>
        </w:tc>
        <w:tc>
          <w:tcPr>
            <w:tcW w:w="773" w:type="pct"/>
            <w:shd w:val="clear" w:color="auto" w:fill="auto"/>
            <w:vAlign w:val="center"/>
          </w:tcPr>
          <w:p w14:paraId="028CBF52" w14:textId="77777777" w:rsidR="00C47639" w:rsidRDefault="00C47639" w:rsidP="00C47639">
            <w:pPr>
              <w:pStyle w:val="Standaard-Tabellen"/>
              <w:rPr>
                <w:szCs w:val="18"/>
                <w:lang w:eastAsia="en-US"/>
              </w:rPr>
            </w:pPr>
            <w:r>
              <w:rPr>
                <w:szCs w:val="18"/>
                <w:lang w:eastAsia="en-US"/>
              </w:rPr>
              <w:t>Reverse</w:t>
            </w:r>
          </w:p>
          <w:p w14:paraId="6C9453C0" w14:textId="77777777" w:rsidR="00C47639" w:rsidRDefault="00C47639" w:rsidP="00C47639">
            <w:pPr>
              <w:pStyle w:val="Standaard-Tabellen"/>
              <w:rPr>
                <w:szCs w:val="18"/>
                <w:lang w:eastAsia="en-US"/>
              </w:rPr>
            </w:pPr>
            <w:r>
              <w:rPr>
                <w:szCs w:val="18"/>
                <w:lang w:eastAsia="en-US"/>
              </w:rPr>
              <w:t>reference</w:t>
            </w:r>
          </w:p>
          <w:p w14:paraId="115DD7FA" w14:textId="77777777" w:rsidR="00C47639" w:rsidRPr="00FD2055" w:rsidRDefault="00C47639" w:rsidP="00C47639">
            <w:pPr>
              <w:pStyle w:val="Standaard-Tabellen"/>
            </w:pPr>
            <w:r w:rsidRPr="0091532F">
              <w:rPr>
                <w:szCs w:val="18"/>
                <w:lang w:eastAsia="en-US"/>
              </w:rPr>
              <w:t>scenario</w:t>
            </w:r>
          </w:p>
        </w:tc>
      </w:tr>
      <w:tr w:rsidR="00C47639" w:rsidRPr="00FD2055" w14:paraId="7F2F8B2D" w14:textId="77777777" w:rsidTr="00C47639">
        <w:tc>
          <w:tcPr>
            <w:tcW w:w="1057" w:type="pct"/>
            <w:tcBorders>
              <w:bottom w:val="single" w:sz="18" w:space="0" w:color="auto"/>
            </w:tcBorders>
            <w:shd w:val="clear" w:color="auto" w:fill="auto"/>
          </w:tcPr>
          <w:p w14:paraId="44FE635D" w14:textId="77777777" w:rsidR="00C47639" w:rsidRPr="00FD2055" w:rsidRDefault="00C47639" w:rsidP="00C47639">
            <w:pPr>
              <w:pStyle w:val="Standaard-Tabellen"/>
            </w:pPr>
            <w:r w:rsidRPr="0091532F">
              <w:rPr>
                <w:szCs w:val="18"/>
                <w:lang w:eastAsia="en-US"/>
              </w:rPr>
              <w:lastRenderedPageBreak/>
              <w:t>Scenario 3, hand-mouth transfer, infant</w:t>
            </w:r>
          </w:p>
        </w:tc>
        <w:tc>
          <w:tcPr>
            <w:tcW w:w="324" w:type="pct"/>
            <w:tcBorders>
              <w:bottom w:val="single" w:sz="18" w:space="0" w:color="auto"/>
            </w:tcBorders>
            <w:shd w:val="clear" w:color="auto" w:fill="auto"/>
          </w:tcPr>
          <w:p w14:paraId="6E36C006" w14:textId="77777777" w:rsidR="00C47639" w:rsidRPr="00FD2055" w:rsidRDefault="00C47639" w:rsidP="00C47639">
            <w:pPr>
              <w:pStyle w:val="Standaard-Tabellen"/>
            </w:pPr>
            <w:r w:rsidRPr="0091532F">
              <w:rPr>
                <w:szCs w:val="18"/>
                <w:lang w:eastAsia="en-US"/>
              </w:rPr>
              <w:t>1</w:t>
            </w:r>
          </w:p>
        </w:tc>
        <w:tc>
          <w:tcPr>
            <w:tcW w:w="660" w:type="pct"/>
            <w:tcBorders>
              <w:bottom w:val="single" w:sz="18" w:space="0" w:color="auto"/>
            </w:tcBorders>
            <w:shd w:val="clear" w:color="auto" w:fill="auto"/>
          </w:tcPr>
          <w:p w14:paraId="45718CD5" w14:textId="77777777" w:rsidR="00C47639" w:rsidRPr="00FD2055" w:rsidRDefault="00C47639" w:rsidP="00C47639">
            <w:pPr>
              <w:pStyle w:val="Standaard-Tabellen"/>
            </w:pPr>
            <w:r>
              <w:rPr>
                <w:szCs w:val="18"/>
                <w:lang w:eastAsia="en-US"/>
              </w:rPr>
              <w:t>500</w:t>
            </w:r>
          </w:p>
        </w:tc>
        <w:tc>
          <w:tcPr>
            <w:tcW w:w="629" w:type="pct"/>
            <w:tcBorders>
              <w:bottom w:val="single" w:sz="18" w:space="0" w:color="auto"/>
            </w:tcBorders>
            <w:shd w:val="clear" w:color="auto" w:fill="auto"/>
          </w:tcPr>
          <w:p w14:paraId="30349B86" w14:textId="77777777" w:rsidR="00C47639" w:rsidRPr="00FD2055" w:rsidRDefault="00C47639" w:rsidP="00C47639">
            <w:pPr>
              <w:pStyle w:val="Standaard-Tabellen"/>
            </w:pPr>
            <w:r>
              <w:rPr>
                <w:szCs w:val="18"/>
                <w:lang w:eastAsia="en-US"/>
              </w:rPr>
              <w:t>5</w:t>
            </w:r>
          </w:p>
        </w:tc>
        <w:tc>
          <w:tcPr>
            <w:tcW w:w="884" w:type="pct"/>
            <w:tcBorders>
              <w:bottom w:val="single" w:sz="18" w:space="0" w:color="auto"/>
            </w:tcBorders>
            <w:shd w:val="clear" w:color="auto" w:fill="auto"/>
            <w:vAlign w:val="center"/>
          </w:tcPr>
          <w:p w14:paraId="6D3F3CD8" w14:textId="77777777" w:rsidR="00C47639" w:rsidRPr="00FD2055" w:rsidRDefault="00C47639" w:rsidP="00C47639">
            <w:pPr>
              <w:pStyle w:val="Standaard-Tabellen"/>
            </w:pPr>
            <w:r w:rsidRPr="000C397E">
              <w:rPr>
                <w:bCs w:val="0"/>
              </w:rPr>
              <w:t>Up to 1.65 applications</w:t>
            </w:r>
          </w:p>
        </w:tc>
        <w:tc>
          <w:tcPr>
            <w:tcW w:w="672" w:type="pct"/>
            <w:tcBorders>
              <w:bottom w:val="single" w:sz="18" w:space="0" w:color="auto"/>
            </w:tcBorders>
            <w:shd w:val="clear" w:color="auto" w:fill="auto"/>
            <w:vAlign w:val="center"/>
          </w:tcPr>
          <w:p w14:paraId="2E0E0A27" w14:textId="77777777" w:rsidR="00C47639" w:rsidRPr="00FD2055" w:rsidRDefault="00C47639" w:rsidP="00C47639">
            <w:pPr>
              <w:pStyle w:val="Standaard-Tabellen"/>
            </w:pPr>
            <w:proofErr w:type="spellStart"/>
            <w:r w:rsidRPr="0091532F">
              <w:rPr>
                <w:szCs w:val="18"/>
                <w:lang w:eastAsia="en-US"/>
              </w:rPr>
              <w:t>n.a</w:t>
            </w:r>
            <w:proofErr w:type="spellEnd"/>
            <w:r w:rsidRPr="0091532F">
              <w:rPr>
                <w:szCs w:val="18"/>
                <w:lang w:eastAsia="en-US"/>
              </w:rPr>
              <w:t>.</w:t>
            </w:r>
          </w:p>
        </w:tc>
        <w:tc>
          <w:tcPr>
            <w:tcW w:w="773" w:type="pct"/>
            <w:tcBorders>
              <w:bottom w:val="single" w:sz="18" w:space="0" w:color="auto"/>
            </w:tcBorders>
            <w:shd w:val="clear" w:color="auto" w:fill="auto"/>
            <w:vAlign w:val="center"/>
          </w:tcPr>
          <w:p w14:paraId="6BA8525B" w14:textId="77777777" w:rsidR="00C47639" w:rsidRDefault="00C47639" w:rsidP="00C47639">
            <w:pPr>
              <w:pStyle w:val="Standaard-Tabellen"/>
              <w:rPr>
                <w:szCs w:val="18"/>
                <w:lang w:eastAsia="en-US"/>
              </w:rPr>
            </w:pPr>
            <w:r>
              <w:rPr>
                <w:szCs w:val="18"/>
                <w:lang w:eastAsia="en-US"/>
              </w:rPr>
              <w:t>Reverse</w:t>
            </w:r>
          </w:p>
          <w:p w14:paraId="336C653F" w14:textId="77777777" w:rsidR="00C47639" w:rsidRDefault="00C47639" w:rsidP="00C47639">
            <w:pPr>
              <w:pStyle w:val="Standaard-Tabellen"/>
              <w:rPr>
                <w:szCs w:val="18"/>
                <w:lang w:eastAsia="en-US"/>
              </w:rPr>
            </w:pPr>
            <w:r>
              <w:rPr>
                <w:szCs w:val="18"/>
                <w:lang w:eastAsia="en-US"/>
              </w:rPr>
              <w:t>reference</w:t>
            </w:r>
          </w:p>
          <w:p w14:paraId="6074E2D9" w14:textId="77777777" w:rsidR="00C47639" w:rsidRPr="00FD2055" w:rsidRDefault="00C47639" w:rsidP="00C47639">
            <w:pPr>
              <w:pStyle w:val="Standaard-Tabellen"/>
            </w:pPr>
            <w:r w:rsidRPr="0091532F">
              <w:rPr>
                <w:szCs w:val="18"/>
                <w:lang w:eastAsia="en-US"/>
              </w:rPr>
              <w:t>scenario</w:t>
            </w:r>
          </w:p>
        </w:tc>
      </w:tr>
      <w:tr w:rsidR="00C47639" w:rsidRPr="00FD2055" w14:paraId="19C61499" w14:textId="77777777" w:rsidTr="00C47639">
        <w:tc>
          <w:tcPr>
            <w:tcW w:w="1057" w:type="pct"/>
            <w:tcBorders>
              <w:top w:val="single" w:sz="18" w:space="0" w:color="auto"/>
              <w:bottom w:val="single" w:sz="18" w:space="0" w:color="auto"/>
            </w:tcBorders>
            <w:shd w:val="clear" w:color="auto" w:fill="auto"/>
          </w:tcPr>
          <w:p w14:paraId="5DFB3036" w14:textId="77777777" w:rsidR="00C47639" w:rsidRPr="00FD2055" w:rsidRDefault="00C47639" w:rsidP="00C47639">
            <w:pPr>
              <w:pStyle w:val="Standaard-Tabellen"/>
            </w:pPr>
            <w:r w:rsidRPr="0091532F">
              <w:rPr>
                <w:szCs w:val="18"/>
                <w:lang w:eastAsia="en-US"/>
              </w:rPr>
              <w:t xml:space="preserve">Scenario 4, </w:t>
            </w:r>
            <w:proofErr w:type="spellStart"/>
            <w:r w:rsidRPr="0091532F">
              <w:rPr>
                <w:szCs w:val="18"/>
                <w:lang w:eastAsia="en-US"/>
              </w:rPr>
              <w:t>inhal+oral</w:t>
            </w:r>
            <w:proofErr w:type="spellEnd"/>
            <w:r w:rsidRPr="0091532F">
              <w:rPr>
                <w:szCs w:val="18"/>
                <w:lang w:eastAsia="en-US"/>
              </w:rPr>
              <w:t>, adult</w:t>
            </w:r>
          </w:p>
        </w:tc>
        <w:tc>
          <w:tcPr>
            <w:tcW w:w="324" w:type="pct"/>
            <w:tcBorders>
              <w:top w:val="single" w:sz="18" w:space="0" w:color="auto"/>
              <w:bottom w:val="single" w:sz="18" w:space="0" w:color="auto"/>
            </w:tcBorders>
            <w:shd w:val="clear" w:color="auto" w:fill="auto"/>
          </w:tcPr>
          <w:p w14:paraId="087572FE" w14:textId="77777777" w:rsidR="00C47639" w:rsidRPr="00FD2055" w:rsidRDefault="00C47639" w:rsidP="00C47639">
            <w:pPr>
              <w:pStyle w:val="Standaard-Tabellen"/>
            </w:pPr>
            <w:r w:rsidRPr="0091532F">
              <w:rPr>
                <w:szCs w:val="18"/>
                <w:lang w:eastAsia="en-US"/>
              </w:rPr>
              <w:t>1</w:t>
            </w:r>
          </w:p>
        </w:tc>
        <w:tc>
          <w:tcPr>
            <w:tcW w:w="660" w:type="pct"/>
            <w:tcBorders>
              <w:top w:val="single" w:sz="18" w:space="0" w:color="auto"/>
              <w:bottom w:val="single" w:sz="18" w:space="0" w:color="auto"/>
            </w:tcBorders>
            <w:shd w:val="clear" w:color="auto" w:fill="auto"/>
          </w:tcPr>
          <w:p w14:paraId="1CC938EA" w14:textId="77777777" w:rsidR="00C47639" w:rsidRPr="00FD2055" w:rsidRDefault="00C47639" w:rsidP="00C47639">
            <w:pPr>
              <w:pStyle w:val="Standaard-Tabellen"/>
            </w:pPr>
            <w:r>
              <w:rPr>
                <w:szCs w:val="18"/>
                <w:lang w:eastAsia="en-US"/>
              </w:rPr>
              <w:t>500</w:t>
            </w:r>
          </w:p>
        </w:tc>
        <w:tc>
          <w:tcPr>
            <w:tcW w:w="629" w:type="pct"/>
            <w:tcBorders>
              <w:top w:val="single" w:sz="18" w:space="0" w:color="auto"/>
              <w:bottom w:val="single" w:sz="18" w:space="0" w:color="auto"/>
            </w:tcBorders>
            <w:shd w:val="clear" w:color="auto" w:fill="auto"/>
          </w:tcPr>
          <w:p w14:paraId="6E993D26" w14:textId="77777777" w:rsidR="00C47639" w:rsidRPr="00FD2055" w:rsidRDefault="00C47639" w:rsidP="00C47639">
            <w:pPr>
              <w:pStyle w:val="Standaard-Tabellen"/>
            </w:pPr>
            <w:r>
              <w:rPr>
                <w:szCs w:val="18"/>
                <w:lang w:eastAsia="en-US"/>
              </w:rPr>
              <w:t>5</w:t>
            </w:r>
          </w:p>
        </w:tc>
        <w:tc>
          <w:tcPr>
            <w:tcW w:w="884" w:type="pct"/>
            <w:tcBorders>
              <w:bottom w:val="single" w:sz="18" w:space="0" w:color="auto"/>
            </w:tcBorders>
            <w:shd w:val="clear" w:color="auto" w:fill="auto"/>
            <w:vAlign w:val="center"/>
          </w:tcPr>
          <w:p w14:paraId="07CBDA56" w14:textId="77777777" w:rsidR="00C47639" w:rsidRPr="00FD2055" w:rsidRDefault="00C47639" w:rsidP="00C47639">
            <w:pPr>
              <w:pStyle w:val="Standaard-Tabellen"/>
            </w:pPr>
            <w:r>
              <w:rPr>
                <w:szCs w:val="18"/>
              </w:rPr>
              <w:t>0.</w:t>
            </w:r>
            <w:r w:rsidRPr="0091532F">
              <w:rPr>
                <w:szCs w:val="18"/>
              </w:rPr>
              <w:t>0204</w:t>
            </w:r>
          </w:p>
        </w:tc>
        <w:tc>
          <w:tcPr>
            <w:tcW w:w="672" w:type="pct"/>
            <w:tcBorders>
              <w:top w:val="single" w:sz="18" w:space="0" w:color="auto"/>
              <w:bottom w:val="single" w:sz="18" w:space="0" w:color="auto"/>
            </w:tcBorders>
            <w:shd w:val="clear" w:color="auto" w:fill="auto"/>
            <w:vAlign w:val="center"/>
          </w:tcPr>
          <w:p w14:paraId="3283CEB7" w14:textId="77777777" w:rsidR="00C47639" w:rsidRPr="00FD2055" w:rsidRDefault="00C47639" w:rsidP="00C47639">
            <w:pPr>
              <w:pStyle w:val="Standaard-Tabellen"/>
            </w:pPr>
            <w:r>
              <w:rPr>
                <w:szCs w:val="18"/>
                <w:lang w:eastAsia="en-US"/>
              </w:rPr>
              <w:t>0.</w:t>
            </w:r>
            <w:r w:rsidRPr="0091532F">
              <w:rPr>
                <w:szCs w:val="18"/>
                <w:lang w:eastAsia="en-US"/>
              </w:rPr>
              <w:t>4</w:t>
            </w:r>
          </w:p>
        </w:tc>
        <w:tc>
          <w:tcPr>
            <w:tcW w:w="773" w:type="pct"/>
            <w:tcBorders>
              <w:top w:val="single" w:sz="18" w:space="0" w:color="auto"/>
              <w:bottom w:val="single" w:sz="18" w:space="0" w:color="auto"/>
            </w:tcBorders>
            <w:shd w:val="clear" w:color="auto" w:fill="auto"/>
            <w:vAlign w:val="center"/>
          </w:tcPr>
          <w:p w14:paraId="059E022C"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r w:rsidR="00C47639" w:rsidRPr="00FD2055" w14:paraId="2185F6AB" w14:textId="77777777" w:rsidTr="00C47639">
        <w:tc>
          <w:tcPr>
            <w:tcW w:w="1057" w:type="pct"/>
            <w:tcBorders>
              <w:top w:val="single" w:sz="18" w:space="0" w:color="auto"/>
            </w:tcBorders>
            <w:shd w:val="clear" w:color="auto" w:fill="auto"/>
          </w:tcPr>
          <w:p w14:paraId="5F10F76A" w14:textId="77777777" w:rsidR="00C47639" w:rsidRPr="00FD2055" w:rsidRDefault="00C47639" w:rsidP="00C47639">
            <w:pPr>
              <w:pStyle w:val="Standaard-Tabellen"/>
            </w:pPr>
            <w:r w:rsidRPr="0091532F">
              <w:rPr>
                <w:szCs w:val="18"/>
                <w:lang w:eastAsia="en-US"/>
              </w:rPr>
              <w:t xml:space="preserve">Scenario 5, </w:t>
            </w:r>
            <w:proofErr w:type="spellStart"/>
            <w:r w:rsidRPr="0091532F">
              <w:rPr>
                <w:szCs w:val="18"/>
                <w:lang w:eastAsia="en-US"/>
              </w:rPr>
              <w:t>inhal</w:t>
            </w:r>
            <w:proofErr w:type="spellEnd"/>
            <w:r w:rsidRPr="0091532F">
              <w:rPr>
                <w:szCs w:val="18"/>
                <w:lang w:eastAsia="en-US"/>
              </w:rPr>
              <w:t>, adult</w:t>
            </w:r>
          </w:p>
        </w:tc>
        <w:tc>
          <w:tcPr>
            <w:tcW w:w="324" w:type="pct"/>
            <w:tcBorders>
              <w:top w:val="single" w:sz="18" w:space="0" w:color="auto"/>
            </w:tcBorders>
            <w:shd w:val="clear" w:color="auto" w:fill="auto"/>
          </w:tcPr>
          <w:p w14:paraId="28F08270" w14:textId="77777777" w:rsidR="00C47639" w:rsidRPr="00FD2055" w:rsidRDefault="00C47639" w:rsidP="00C47639">
            <w:pPr>
              <w:pStyle w:val="Standaard-Tabellen"/>
            </w:pPr>
            <w:r w:rsidRPr="0091532F">
              <w:rPr>
                <w:szCs w:val="18"/>
                <w:lang w:eastAsia="en-US"/>
              </w:rPr>
              <w:t>1</w:t>
            </w:r>
          </w:p>
        </w:tc>
        <w:tc>
          <w:tcPr>
            <w:tcW w:w="660" w:type="pct"/>
            <w:tcBorders>
              <w:top w:val="single" w:sz="18" w:space="0" w:color="auto"/>
            </w:tcBorders>
            <w:shd w:val="clear" w:color="auto" w:fill="auto"/>
          </w:tcPr>
          <w:p w14:paraId="2DC8CFDD" w14:textId="77777777" w:rsidR="00C47639" w:rsidRPr="00FD2055" w:rsidRDefault="00C47639" w:rsidP="00C47639">
            <w:pPr>
              <w:pStyle w:val="Standaard-Tabellen"/>
            </w:pPr>
            <w:r>
              <w:rPr>
                <w:szCs w:val="18"/>
                <w:lang w:eastAsia="en-US"/>
              </w:rPr>
              <w:t>500</w:t>
            </w:r>
          </w:p>
        </w:tc>
        <w:tc>
          <w:tcPr>
            <w:tcW w:w="629" w:type="pct"/>
            <w:tcBorders>
              <w:top w:val="single" w:sz="18" w:space="0" w:color="auto"/>
            </w:tcBorders>
            <w:shd w:val="clear" w:color="auto" w:fill="auto"/>
          </w:tcPr>
          <w:p w14:paraId="0BDB2E93"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72967658" w14:textId="77777777" w:rsidR="00C47639" w:rsidRPr="00FD2055" w:rsidRDefault="00C47639" w:rsidP="00C47639">
            <w:pPr>
              <w:pStyle w:val="Standaard-Tabellen"/>
            </w:pPr>
            <w:r w:rsidRPr="000C397E">
              <w:rPr>
                <w:bCs w:val="0"/>
              </w:rPr>
              <w:t xml:space="preserve">2.12 </w:t>
            </w:r>
          </w:p>
        </w:tc>
        <w:tc>
          <w:tcPr>
            <w:tcW w:w="672" w:type="pct"/>
            <w:tcBorders>
              <w:top w:val="single" w:sz="18" w:space="0" w:color="auto"/>
            </w:tcBorders>
            <w:shd w:val="clear" w:color="auto" w:fill="auto"/>
            <w:vAlign w:val="center"/>
          </w:tcPr>
          <w:p w14:paraId="11470FF9" w14:textId="77777777" w:rsidR="00C47639" w:rsidRPr="00FD2055" w:rsidRDefault="00C47639" w:rsidP="00C47639">
            <w:pPr>
              <w:pStyle w:val="Standaard-Tabellen"/>
            </w:pPr>
            <w:r>
              <w:rPr>
                <w:szCs w:val="18"/>
                <w:lang w:eastAsia="en-US"/>
              </w:rPr>
              <w:t>42.4</w:t>
            </w:r>
          </w:p>
        </w:tc>
        <w:tc>
          <w:tcPr>
            <w:tcW w:w="773" w:type="pct"/>
            <w:tcBorders>
              <w:top w:val="single" w:sz="18" w:space="0" w:color="auto"/>
            </w:tcBorders>
            <w:shd w:val="clear" w:color="auto" w:fill="auto"/>
            <w:vAlign w:val="center"/>
          </w:tcPr>
          <w:p w14:paraId="6E3C7CA0"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r w:rsidR="00C47639" w:rsidRPr="00FD2055" w14:paraId="30C834B9" w14:textId="77777777" w:rsidTr="00C47639">
        <w:tc>
          <w:tcPr>
            <w:tcW w:w="1057" w:type="pct"/>
            <w:shd w:val="clear" w:color="auto" w:fill="auto"/>
          </w:tcPr>
          <w:p w14:paraId="2B54D15E" w14:textId="77777777" w:rsidR="00C47639" w:rsidRPr="00FD2055" w:rsidRDefault="00C47639" w:rsidP="00C47639">
            <w:pPr>
              <w:pStyle w:val="Standaard-Tabellen"/>
            </w:pPr>
            <w:r w:rsidRPr="0091532F">
              <w:rPr>
                <w:szCs w:val="18"/>
                <w:lang w:eastAsia="en-US"/>
              </w:rPr>
              <w:t xml:space="preserve">Scenario 5, </w:t>
            </w:r>
            <w:proofErr w:type="spellStart"/>
            <w:r w:rsidRPr="0091532F">
              <w:rPr>
                <w:szCs w:val="18"/>
                <w:lang w:eastAsia="en-US"/>
              </w:rPr>
              <w:t>inhal</w:t>
            </w:r>
            <w:proofErr w:type="spellEnd"/>
            <w:r w:rsidRPr="0091532F">
              <w:rPr>
                <w:szCs w:val="18"/>
                <w:lang w:eastAsia="en-US"/>
              </w:rPr>
              <w:t>, child</w:t>
            </w:r>
          </w:p>
        </w:tc>
        <w:tc>
          <w:tcPr>
            <w:tcW w:w="324" w:type="pct"/>
            <w:shd w:val="clear" w:color="auto" w:fill="auto"/>
          </w:tcPr>
          <w:p w14:paraId="6FF0D56B"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053854A6" w14:textId="77777777" w:rsidR="00C47639" w:rsidRPr="00FD2055" w:rsidRDefault="00C47639" w:rsidP="00C47639">
            <w:pPr>
              <w:pStyle w:val="Standaard-Tabellen"/>
            </w:pPr>
            <w:r>
              <w:rPr>
                <w:szCs w:val="18"/>
                <w:lang w:eastAsia="en-US"/>
              </w:rPr>
              <w:t>500</w:t>
            </w:r>
          </w:p>
        </w:tc>
        <w:tc>
          <w:tcPr>
            <w:tcW w:w="629" w:type="pct"/>
            <w:shd w:val="clear" w:color="auto" w:fill="auto"/>
          </w:tcPr>
          <w:p w14:paraId="5D1411A3"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65F56FEE" w14:textId="77777777" w:rsidR="00C47639" w:rsidRPr="00FD2055" w:rsidRDefault="00C47639" w:rsidP="00C47639">
            <w:pPr>
              <w:pStyle w:val="Standaard-Tabellen"/>
            </w:pPr>
            <w:r w:rsidRPr="000C397E">
              <w:rPr>
                <w:bCs w:val="0"/>
              </w:rPr>
              <w:t xml:space="preserve">3.12 </w:t>
            </w:r>
          </w:p>
        </w:tc>
        <w:tc>
          <w:tcPr>
            <w:tcW w:w="672" w:type="pct"/>
            <w:shd w:val="clear" w:color="auto" w:fill="auto"/>
            <w:vAlign w:val="center"/>
          </w:tcPr>
          <w:p w14:paraId="13D3F5E0" w14:textId="77777777" w:rsidR="00C47639" w:rsidRPr="00FD2055" w:rsidRDefault="00C47639" w:rsidP="00C47639">
            <w:pPr>
              <w:pStyle w:val="Standaard-Tabellen"/>
            </w:pPr>
            <w:r>
              <w:rPr>
                <w:szCs w:val="18"/>
                <w:lang w:eastAsia="en-US"/>
              </w:rPr>
              <w:t>62.4</w:t>
            </w:r>
          </w:p>
        </w:tc>
        <w:tc>
          <w:tcPr>
            <w:tcW w:w="773" w:type="pct"/>
            <w:shd w:val="clear" w:color="auto" w:fill="auto"/>
            <w:vAlign w:val="center"/>
          </w:tcPr>
          <w:p w14:paraId="458C41E1"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r w:rsidR="00C47639" w:rsidRPr="00FD2055" w14:paraId="6E756ACB" w14:textId="77777777" w:rsidTr="00C47639">
        <w:tc>
          <w:tcPr>
            <w:tcW w:w="1057" w:type="pct"/>
            <w:shd w:val="clear" w:color="auto" w:fill="auto"/>
          </w:tcPr>
          <w:p w14:paraId="0B9B6AD6" w14:textId="77777777" w:rsidR="00C47639" w:rsidRPr="0091532F" w:rsidRDefault="00C47639" w:rsidP="00C47639">
            <w:pPr>
              <w:pStyle w:val="Standaard-Tabellen"/>
              <w:rPr>
                <w:szCs w:val="18"/>
                <w:lang w:eastAsia="en-US"/>
              </w:rPr>
            </w:pPr>
            <w:r w:rsidRPr="0091532F">
              <w:rPr>
                <w:szCs w:val="18"/>
                <w:lang w:eastAsia="en-US"/>
              </w:rPr>
              <w:t xml:space="preserve">Scenario 5, </w:t>
            </w:r>
            <w:proofErr w:type="spellStart"/>
            <w:r w:rsidRPr="0091532F">
              <w:rPr>
                <w:szCs w:val="18"/>
                <w:lang w:eastAsia="en-US"/>
              </w:rPr>
              <w:t>inhal</w:t>
            </w:r>
            <w:proofErr w:type="spellEnd"/>
            <w:r w:rsidRPr="0091532F">
              <w:rPr>
                <w:szCs w:val="18"/>
                <w:lang w:eastAsia="en-US"/>
              </w:rPr>
              <w:t>, child</w:t>
            </w:r>
          </w:p>
        </w:tc>
        <w:tc>
          <w:tcPr>
            <w:tcW w:w="324" w:type="pct"/>
            <w:shd w:val="clear" w:color="auto" w:fill="auto"/>
          </w:tcPr>
          <w:p w14:paraId="645E4E1C" w14:textId="77777777" w:rsidR="00C47639" w:rsidRPr="0091532F" w:rsidRDefault="00C47639" w:rsidP="00C47639">
            <w:pPr>
              <w:pStyle w:val="Standaard-Tabellen"/>
              <w:rPr>
                <w:szCs w:val="18"/>
                <w:lang w:eastAsia="en-US"/>
              </w:rPr>
            </w:pPr>
            <w:r w:rsidRPr="0091532F">
              <w:rPr>
                <w:szCs w:val="18"/>
                <w:lang w:eastAsia="en-US"/>
              </w:rPr>
              <w:t>1</w:t>
            </w:r>
          </w:p>
        </w:tc>
        <w:tc>
          <w:tcPr>
            <w:tcW w:w="660" w:type="pct"/>
            <w:shd w:val="clear" w:color="auto" w:fill="auto"/>
          </w:tcPr>
          <w:p w14:paraId="10E7751F" w14:textId="77777777" w:rsidR="00C47639" w:rsidRDefault="00C47639" w:rsidP="00C47639">
            <w:pPr>
              <w:pStyle w:val="Standaard-Tabellen"/>
              <w:rPr>
                <w:szCs w:val="18"/>
                <w:lang w:eastAsia="en-US"/>
              </w:rPr>
            </w:pPr>
            <w:r>
              <w:rPr>
                <w:szCs w:val="18"/>
                <w:lang w:eastAsia="en-US"/>
              </w:rPr>
              <w:t>500</w:t>
            </w:r>
          </w:p>
        </w:tc>
        <w:tc>
          <w:tcPr>
            <w:tcW w:w="629" w:type="pct"/>
            <w:shd w:val="clear" w:color="auto" w:fill="auto"/>
          </w:tcPr>
          <w:p w14:paraId="1A84DDC9" w14:textId="77777777" w:rsidR="00C47639" w:rsidRDefault="00C47639" w:rsidP="00C47639">
            <w:pPr>
              <w:pStyle w:val="Standaard-Tabellen"/>
              <w:rPr>
                <w:szCs w:val="18"/>
                <w:lang w:eastAsia="en-US"/>
              </w:rPr>
            </w:pPr>
            <w:r>
              <w:rPr>
                <w:szCs w:val="18"/>
                <w:lang w:eastAsia="en-US"/>
              </w:rPr>
              <w:t>5</w:t>
            </w:r>
          </w:p>
        </w:tc>
        <w:tc>
          <w:tcPr>
            <w:tcW w:w="884" w:type="pct"/>
            <w:shd w:val="clear" w:color="auto" w:fill="auto"/>
            <w:vAlign w:val="center"/>
          </w:tcPr>
          <w:p w14:paraId="763D3258" w14:textId="77777777" w:rsidR="00C47639" w:rsidRDefault="00C47639" w:rsidP="00C47639">
            <w:pPr>
              <w:pStyle w:val="Standaard-Tabellen"/>
              <w:rPr>
                <w:szCs w:val="18"/>
              </w:rPr>
            </w:pPr>
            <w:r w:rsidRPr="000C397E">
              <w:rPr>
                <w:bCs w:val="0"/>
              </w:rPr>
              <w:t xml:space="preserve">3.37 </w:t>
            </w:r>
          </w:p>
        </w:tc>
        <w:tc>
          <w:tcPr>
            <w:tcW w:w="672" w:type="pct"/>
            <w:shd w:val="clear" w:color="auto" w:fill="auto"/>
            <w:vAlign w:val="center"/>
          </w:tcPr>
          <w:p w14:paraId="24C1615E" w14:textId="77777777" w:rsidR="00C47639" w:rsidRDefault="00C47639" w:rsidP="00C47639">
            <w:pPr>
              <w:pStyle w:val="Standaard-Tabellen"/>
              <w:rPr>
                <w:szCs w:val="18"/>
                <w:lang w:eastAsia="en-US"/>
              </w:rPr>
            </w:pPr>
            <w:r>
              <w:rPr>
                <w:szCs w:val="18"/>
                <w:lang w:eastAsia="en-US"/>
              </w:rPr>
              <w:t>67.4</w:t>
            </w:r>
          </w:p>
        </w:tc>
        <w:tc>
          <w:tcPr>
            <w:tcW w:w="773" w:type="pct"/>
            <w:shd w:val="clear" w:color="auto" w:fill="auto"/>
            <w:vAlign w:val="center"/>
          </w:tcPr>
          <w:p w14:paraId="29C10F51" w14:textId="77777777" w:rsidR="00C47639" w:rsidRPr="0091532F" w:rsidRDefault="00C47639" w:rsidP="00C47639">
            <w:pPr>
              <w:pStyle w:val="Standaard-Tabellen"/>
              <w:rPr>
                <w:szCs w:val="18"/>
                <w:lang w:eastAsia="en-US"/>
              </w:rPr>
            </w:pPr>
            <w:r w:rsidRPr="0091532F">
              <w:rPr>
                <w:szCs w:val="18"/>
                <w:lang w:eastAsia="en-US"/>
              </w:rPr>
              <w:t>Yes</w:t>
            </w:r>
            <w:r>
              <w:rPr>
                <w:szCs w:val="18"/>
                <w:lang w:eastAsia="en-US"/>
              </w:rPr>
              <w:t xml:space="preserve"> </w:t>
            </w:r>
          </w:p>
        </w:tc>
      </w:tr>
      <w:tr w:rsidR="00C47639" w:rsidRPr="00FD2055" w14:paraId="48DAF81A" w14:textId="77777777" w:rsidTr="00C47639">
        <w:trPr>
          <w:trHeight w:val="47"/>
        </w:trPr>
        <w:tc>
          <w:tcPr>
            <w:tcW w:w="1057" w:type="pct"/>
            <w:shd w:val="clear" w:color="auto" w:fill="auto"/>
          </w:tcPr>
          <w:p w14:paraId="298EDBD1" w14:textId="77777777" w:rsidR="00C47639" w:rsidRPr="00FD2055" w:rsidRDefault="00C47639" w:rsidP="00C47639">
            <w:pPr>
              <w:pStyle w:val="Standaard-Tabellen"/>
            </w:pPr>
            <w:r w:rsidRPr="0091532F">
              <w:rPr>
                <w:szCs w:val="18"/>
                <w:lang w:eastAsia="en-US"/>
              </w:rPr>
              <w:t xml:space="preserve">Scenario 5, </w:t>
            </w:r>
            <w:proofErr w:type="spellStart"/>
            <w:r w:rsidRPr="0091532F">
              <w:rPr>
                <w:szCs w:val="18"/>
                <w:lang w:eastAsia="en-US"/>
              </w:rPr>
              <w:t>inhal</w:t>
            </w:r>
            <w:proofErr w:type="spellEnd"/>
            <w:r w:rsidRPr="0091532F">
              <w:rPr>
                <w:szCs w:val="18"/>
                <w:lang w:eastAsia="en-US"/>
              </w:rPr>
              <w:t>, toddler</w:t>
            </w:r>
          </w:p>
        </w:tc>
        <w:tc>
          <w:tcPr>
            <w:tcW w:w="324" w:type="pct"/>
            <w:shd w:val="clear" w:color="auto" w:fill="auto"/>
          </w:tcPr>
          <w:p w14:paraId="6893B452"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05798E00" w14:textId="77777777" w:rsidR="00C47639" w:rsidRPr="00FD2055" w:rsidRDefault="00C47639" w:rsidP="00C47639">
            <w:pPr>
              <w:pStyle w:val="Standaard-Tabellen"/>
            </w:pPr>
            <w:r>
              <w:rPr>
                <w:szCs w:val="18"/>
                <w:lang w:eastAsia="en-US"/>
              </w:rPr>
              <w:t>500</w:t>
            </w:r>
          </w:p>
        </w:tc>
        <w:tc>
          <w:tcPr>
            <w:tcW w:w="629" w:type="pct"/>
            <w:shd w:val="clear" w:color="auto" w:fill="auto"/>
          </w:tcPr>
          <w:p w14:paraId="2349522B"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4EE20FFD" w14:textId="77777777" w:rsidR="00C47639" w:rsidRPr="00FD2055" w:rsidRDefault="00C47639" w:rsidP="00C47639">
            <w:pPr>
              <w:pStyle w:val="Standaard-Tabellen"/>
            </w:pPr>
            <w:r w:rsidRPr="000C397E">
              <w:rPr>
                <w:bCs w:val="0"/>
              </w:rPr>
              <w:t xml:space="preserve">3.71 </w:t>
            </w:r>
          </w:p>
        </w:tc>
        <w:tc>
          <w:tcPr>
            <w:tcW w:w="672" w:type="pct"/>
            <w:shd w:val="clear" w:color="auto" w:fill="auto"/>
            <w:vAlign w:val="center"/>
          </w:tcPr>
          <w:p w14:paraId="518C4AFB" w14:textId="77777777" w:rsidR="00C47639" w:rsidRPr="00FD2055" w:rsidRDefault="00C47639" w:rsidP="00C47639">
            <w:pPr>
              <w:pStyle w:val="Standaard-Tabellen"/>
            </w:pPr>
            <w:r>
              <w:rPr>
                <w:szCs w:val="18"/>
                <w:lang w:eastAsia="en-US"/>
              </w:rPr>
              <w:t>74.2</w:t>
            </w:r>
          </w:p>
        </w:tc>
        <w:tc>
          <w:tcPr>
            <w:tcW w:w="773" w:type="pct"/>
            <w:shd w:val="clear" w:color="auto" w:fill="auto"/>
            <w:vAlign w:val="center"/>
          </w:tcPr>
          <w:p w14:paraId="0E255282"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r w:rsidR="00C47639" w:rsidRPr="00FD2055" w14:paraId="0145DF40" w14:textId="77777777" w:rsidTr="00C47639">
        <w:tc>
          <w:tcPr>
            <w:tcW w:w="1057" w:type="pct"/>
            <w:shd w:val="clear" w:color="auto" w:fill="auto"/>
          </w:tcPr>
          <w:p w14:paraId="136CE41A" w14:textId="77777777" w:rsidR="00C47639" w:rsidRPr="00FD2055" w:rsidRDefault="00C47639" w:rsidP="00C47639">
            <w:pPr>
              <w:pStyle w:val="Standaard-Tabellen"/>
            </w:pPr>
            <w:r w:rsidRPr="0091532F">
              <w:rPr>
                <w:szCs w:val="18"/>
                <w:lang w:eastAsia="en-US"/>
              </w:rPr>
              <w:t xml:space="preserve">Scenario 5, </w:t>
            </w:r>
            <w:proofErr w:type="spellStart"/>
            <w:r w:rsidRPr="0091532F">
              <w:rPr>
                <w:szCs w:val="18"/>
                <w:lang w:eastAsia="en-US"/>
              </w:rPr>
              <w:t>inhal</w:t>
            </w:r>
            <w:proofErr w:type="spellEnd"/>
            <w:r w:rsidRPr="0091532F">
              <w:rPr>
                <w:szCs w:val="18"/>
                <w:lang w:eastAsia="en-US"/>
              </w:rPr>
              <w:t>, infant</w:t>
            </w:r>
          </w:p>
        </w:tc>
        <w:tc>
          <w:tcPr>
            <w:tcW w:w="324" w:type="pct"/>
            <w:shd w:val="clear" w:color="auto" w:fill="auto"/>
          </w:tcPr>
          <w:p w14:paraId="53776713" w14:textId="77777777" w:rsidR="00C47639" w:rsidRPr="00FD2055" w:rsidRDefault="00C47639" w:rsidP="00C47639">
            <w:pPr>
              <w:pStyle w:val="Standaard-Tabellen"/>
            </w:pPr>
            <w:r w:rsidRPr="0091532F">
              <w:rPr>
                <w:szCs w:val="18"/>
                <w:lang w:eastAsia="en-US"/>
              </w:rPr>
              <w:t>1</w:t>
            </w:r>
          </w:p>
        </w:tc>
        <w:tc>
          <w:tcPr>
            <w:tcW w:w="660" w:type="pct"/>
            <w:shd w:val="clear" w:color="auto" w:fill="auto"/>
          </w:tcPr>
          <w:p w14:paraId="26BA357F" w14:textId="77777777" w:rsidR="00C47639" w:rsidRPr="00FD2055" w:rsidRDefault="00C47639" w:rsidP="00C47639">
            <w:pPr>
              <w:pStyle w:val="Standaard-Tabellen"/>
            </w:pPr>
            <w:r>
              <w:rPr>
                <w:szCs w:val="18"/>
                <w:lang w:eastAsia="en-US"/>
              </w:rPr>
              <w:t>500</w:t>
            </w:r>
          </w:p>
        </w:tc>
        <w:tc>
          <w:tcPr>
            <w:tcW w:w="629" w:type="pct"/>
            <w:shd w:val="clear" w:color="auto" w:fill="auto"/>
          </w:tcPr>
          <w:p w14:paraId="50A30AB3" w14:textId="77777777" w:rsidR="00C47639" w:rsidRPr="00FD2055" w:rsidRDefault="00C47639" w:rsidP="00C47639">
            <w:pPr>
              <w:pStyle w:val="Standaard-Tabellen"/>
            </w:pPr>
            <w:r>
              <w:rPr>
                <w:szCs w:val="18"/>
                <w:lang w:eastAsia="en-US"/>
              </w:rPr>
              <w:t>5</w:t>
            </w:r>
          </w:p>
        </w:tc>
        <w:tc>
          <w:tcPr>
            <w:tcW w:w="884" w:type="pct"/>
            <w:shd w:val="clear" w:color="auto" w:fill="auto"/>
            <w:vAlign w:val="center"/>
          </w:tcPr>
          <w:p w14:paraId="19DE4C65" w14:textId="77777777" w:rsidR="00C47639" w:rsidRPr="00FD2055" w:rsidRDefault="00C47639" w:rsidP="00C47639">
            <w:pPr>
              <w:pStyle w:val="Standaard-Tabellen"/>
            </w:pPr>
            <w:r>
              <w:rPr>
                <w:szCs w:val="18"/>
              </w:rPr>
              <w:t>2.64</w:t>
            </w:r>
          </w:p>
        </w:tc>
        <w:tc>
          <w:tcPr>
            <w:tcW w:w="672" w:type="pct"/>
            <w:shd w:val="clear" w:color="auto" w:fill="auto"/>
            <w:vAlign w:val="center"/>
          </w:tcPr>
          <w:p w14:paraId="00259098" w14:textId="77777777" w:rsidR="00C47639" w:rsidRPr="00FD2055" w:rsidRDefault="00C47639" w:rsidP="00C47639">
            <w:pPr>
              <w:pStyle w:val="Standaard-Tabellen"/>
            </w:pPr>
            <w:r>
              <w:rPr>
                <w:szCs w:val="18"/>
                <w:lang w:eastAsia="en-US"/>
              </w:rPr>
              <w:t>52.8</w:t>
            </w:r>
          </w:p>
        </w:tc>
        <w:tc>
          <w:tcPr>
            <w:tcW w:w="773" w:type="pct"/>
            <w:shd w:val="clear" w:color="auto" w:fill="auto"/>
            <w:vAlign w:val="center"/>
          </w:tcPr>
          <w:p w14:paraId="3C28B8CA" w14:textId="77777777" w:rsidR="00C47639" w:rsidRPr="00FD2055" w:rsidRDefault="00C47639" w:rsidP="00C47639">
            <w:pPr>
              <w:pStyle w:val="Standaard-Tabellen"/>
            </w:pPr>
            <w:r w:rsidRPr="0091532F">
              <w:rPr>
                <w:szCs w:val="18"/>
                <w:lang w:eastAsia="en-US"/>
              </w:rPr>
              <w:t>Yes</w:t>
            </w:r>
            <w:r>
              <w:rPr>
                <w:szCs w:val="18"/>
                <w:lang w:eastAsia="en-US"/>
              </w:rPr>
              <w:t xml:space="preserve"> </w:t>
            </w:r>
          </w:p>
        </w:tc>
      </w:tr>
    </w:tbl>
    <w:p w14:paraId="70924F26" w14:textId="77777777" w:rsidR="00C47639" w:rsidRPr="00FD2055" w:rsidRDefault="00C47639" w:rsidP="00C47639"/>
    <w:p w14:paraId="37F347C9" w14:textId="77777777" w:rsidR="00C47639" w:rsidRPr="00FD2055" w:rsidRDefault="00C47639" w:rsidP="00C47639">
      <w:pPr>
        <w:pStyle w:val="Titre6"/>
      </w:pPr>
      <w:proofErr w:type="spellStart"/>
      <w:r w:rsidRPr="00FD2055">
        <w:t>Combined</w:t>
      </w:r>
      <w:proofErr w:type="spellEnd"/>
      <w:r w:rsidRPr="00FD2055">
        <w:t xml:space="preserve"> </w:t>
      </w:r>
      <w:proofErr w:type="spellStart"/>
      <w:r w:rsidRPr="00FD2055">
        <w:t>scenarios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081"/>
        <w:gridCol w:w="1200"/>
        <w:gridCol w:w="1529"/>
        <w:gridCol w:w="1318"/>
        <w:gridCol w:w="1474"/>
        <w:gridCol w:w="1324"/>
      </w:tblGrid>
      <w:tr w:rsidR="00C47639" w:rsidRPr="00015252" w14:paraId="0523F70F" w14:textId="77777777" w:rsidTr="00C47639">
        <w:tc>
          <w:tcPr>
            <w:tcW w:w="785" w:type="pct"/>
            <w:shd w:val="clear" w:color="auto" w:fill="BFBFBF" w:themeFill="background1" w:themeFillShade="BF"/>
          </w:tcPr>
          <w:p w14:paraId="0B15CD74" w14:textId="77777777" w:rsidR="00C47639" w:rsidRPr="00015252" w:rsidRDefault="00C47639" w:rsidP="00C47639">
            <w:pPr>
              <w:pStyle w:val="Standaard-Tabellen"/>
              <w:rPr>
                <w:b/>
              </w:rPr>
            </w:pPr>
            <w:r w:rsidRPr="00015252">
              <w:rPr>
                <w:b/>
              </w:rPr>
              <w:t>Scenarios combined</w:t>
            </w:r>
          </w:p>
        </w:tc>
        <w:tc>
          <w:tcPr>
            <w:tcW w:w="575" w:type="pct"/>
            <w:shd w:val="clear" w:color="auto" w:fill="BFBFBF" w:themeFill="background1" w:themeFillShade="BF"/>
          </w:tcPr>
          <w:p w14:paraId="5E77900A" w14:textId="77777777" w:rsidR="00C47639" w:rsidRPr="00015252" w:rsidRDefault="00C47639" w:rsidP="00C47639">
            <w:pPr>
              <w:pStyle w:val="Standaard-Tabellen"/>
              <w:rPr>
                <w:b/>
              </w:rPr>
            </w:pPr>
            <w:r w:rsidRPr="00015252">
              <w:rPr>
                <w:b/>
              </w:rPr>
              <w:t>Tier</w:t>
            </w:r>
          </w:p>
        </w:tc>
        <w:tc>
          <w:tcPr>
            <w:tcW w:w="638" w:type="pct"/>
            <w:shd w:val="clear" w:color="auto" w:fill="BFBFBF" w:themeFill="background1" w:themeFillShade="BF"/>
          </w:tcPr>
          <w:p w14:paraId="2BDDB29D" w14:textId="77777777" w:rsidR="00C47639" w:rsidRDefault="00C47639" w:rsidP="00C47639">
            <w:pPr>
              <w:pStyle w:val="Standaard-Tabellen"/>
              <w:rPr>
                <w:b/>
              </w:rPr>
            </w:pPr>
            <w:r w:rsidRPr="00015252">
              <w:rPr>
                <w:b/>
              </w:rPr>
              <w:t xml:space="preserve">Systemic </w:t>
            </w:r>
          </w:p>
          <w:p w14:paraId="731A08D9" w14:textId="77777777" w:rsidR="00C47639" w:rsidRPr="00495CE2" w:rsidRDefault="00C47639" w:rsidP="00C47639">
            <w:pPr>
              <w:pStyle w:val="Standaard-Tabellen"/>
              <w:rPr>
                <w:b/>
                <w:lang w:val="de-DE"/>
              </w:rPr>
            </w:pPr>
            <w:r w:rsidRPr="00495CE2">
              <w:rPr>
                <w:b/>
                <w:lang w:val="de-DE"/>
              </w:rPr>
              <w:t>NOAEL</w:t>
            </w:r>
          </w:p>
          <w:p w14:paraId="48D2688A" w14:textId="77777777" w:rsidR="00C47639" w:rsidRPr="00495CE2" w:rsidRDefault="00C47639" w:rsidP="00C47639">
            <w:pPr>
              <w:pStyle w:val="Standaard-Tabellen"/>
              <w:rPr>
                <w:b/>
                <w:lang w:val="de-DE"/>
              </w:rPr>
            </w:pPr>
            <w:r w:rsidRPr="00495CE2">
              <w:rPr>
                <w:b/>
                <w:lang w:val="de-DE"/>
              </w:rPr>
              <w:t xml:space="preserve">[mg/kg </w:t>
            </w:r>
            <w:proofErr w:type="spellStart"/>
            <w:r w:rsidRPr="00495CE2">
              <w:rPr>
                <w:b/>
                <w:lang w:val="de-DE"/>
              </w:rPr>
              <w:t>bw</w:t>
            </w:r>
            <w:proofErr w:type="spellEnd"/>
            <w:r w:rsidRPr="00495CE2">
              <w:rPr>
                <w:b/>
                <w:lang w:val="de-DE"/>
              </w:rPr>
              <w:t>/d]</w:t>
            </w:r>
          </w:p>
        </w:tc>
        <w:tc>
          <w:tcPr>
            <w:tcW w:w="813" w:type="pct"/>
            <w:shd w:val="clear" w:color="auto" w:fill="BFBFBF" w:themeFill="background1" w:themeFillShade="BF"/>
          </w:tcPr>
          <w:p w14:paraId="4B014BC7" w14:textId="77777777" w:rsidR="00C47639" w:rsidRPr="00015252" w:rsidRDefault="00C47639" w:rsidP="00C47639">
            <w:pPr>
              <w:pStyle w:val="Standaard-Tabellen"/>
              <w:rPr>
                <w:b/>
                <w:lang w:val="es-ES"/>
              </w:rPr>
            </w:pPr>
            <w:r w:rsidRPr="00015252">
              <w:rPr>
                <w:b/>
                <w:lang w:val="es-ES"/>
              </w:rPr>
              <w:t>AEL</w:t>
            </w:r>
          </w:p>
          <w:p w14:paraId="0BC4DC60" w14:textId="77777777" w:rsidR="00C47639" w:rsidRPr="00015252" w:rsidRDefault="00C47639" w:rsidP="00C47639">
            <w:pPr>
              <w:pStyle w:val="Standaard-Tabellen"/>
              <w:rPr>
                <w:b/>
                <w:lang w:val="es-ES"/>
              </w:rPr>
            </w:pPr>
            <w:r>
              <w:rPr>
                <w:b/>
                <w:lang w:val="es-ES"/>
              </w:rPr>
              <w:t>[</w:t>
            </w:r>
            <w:r w:rsidRPr="00015252">
              <w:rPr>
                <w:b/>
                <w:lang w:val="es-ES"/>
              </w:rPr>
              <w:t xml:space="preserve">mg/kg </w:t>
            </w:r>
            <w:proofErr w:type="spellStart"/>
            <w:r w:rsidRPr="00015252">
              <w:rPr>
                <w:b/>
                <w:lang w:val="es-ES"/>
              </w:rPr>
              <w:t>bw</w:t>
            </w:r>
            <w:proofErr w:type="spellEnd"/>
            <w:r w:rsidRPr="00015252">
              <w:rPr>
                <w:b/>
                <w:lang w:val="es-ES"/>
              </w:rPr>
              <w:t>/d</w:t>
            </w:r>
            <w:r>
              <w:rPr>
                <w:b/>
                <w:lang w:val="es-ES"/>
              </w:rPr>
              <w:t>]</w:t>
            </w:r>
          </w:p>
        </w:tc>
        <w:tc>
          <w:tcPr>
            <w:tcW w:w="701" w:type="pct"/>
            <w:shd w:val="clear" w:color="auto" w:fill="BFBFBF" w:themeFill="background1" w:themeFillShade="BF"/>
          </w:tcPr>
          <w:p w14:paraId="1A470281" w14:textId="77777777" w:rsidR="00C47639" w:rsidRDefault="00C47639" w:rsidP="00C47639">
            <w:pPr>
              <w:pStyle w:val="Standaard-Tabellen"/>
              <w:rPr>
                <w:b/>
              </w:rPr>
            </w:pPr>
            <w:r w:rsidRPr="00015252">
              <w:rPr>
                <w:b/>
              </w:rPr>
              <w:t xml:space="preserve">Estimated </w:t>
            </w:r>
          </w:p>
          <w:p w14:paraId="3137C81C" w14:textId="77777777" w:rsidR="00C47639" w:rsidRPr="00015252" w:rsidRDefault="00C47639" w:rsidP="00C47639">
            <w:pPr>
              <w:pStyle w:val="Standaard-Tabellen"/>
              <w:rPr>
                <w:b/>
              </w:rPr>
            </w:pPr>
            <w:r w:rsidRPr="00015252">
              <w:rPr>
                <w:b/>
              </w:rPr>
              <w:t>uptake</w:t>
            </w:r>
          </w:p>
          <w:p w14:paraId="4404AB52" w14:textId="77777777" w:rsidR="00C47639" w:rsidRPr="00015252" w:rsidRDefault="00C47639" w:rsidP="00C47639">
            <w:pPr>
              <w:pStyle w:val="Standaard-Tabellen"/>
              <w:rPr>
                <w:b/>
              </w:rPr>
            </w:pPr>
            <w:r>
              <w:rPr>
                <w:b/>
              </w:rPr>
              <w:t xml:space="preserve">[mg/kg </w:t>
            </w:r>
            <w:proofErr w:type="spellStart"/>
            <w:r>
              <w:rPr>
                <w:b/>
              </w:rPr>
              <w:t>bw</w:t>
            </w:r>
            <w:proofErr w:type="spellEnd"/>
            <w:r>
              <w:rPr>
                <w:b/>
              </w:rPr>
              <w:t>]</w:t>
            </w:r>
          </w:p>
        </w:tc>
        <w:tc>
          <w:tcPr>
            <w:tcW w:w="784" w:type="pct"/>
            <w:shd w:val="clear" w:color="auto" w:fill="BFBFBF" w:themeFill="background1" w:themeFillShade="BF"/>
          </w:tcPr>
          <w:p w14:paraId="022D37C5" w14:textId="77777777" w:rsidR="00C47639" w:rsidRDefault="00C47639" w:rsidP="00C47639">
            <w:pPr>
              <w:pStyle w:val="Standaard-Tabellen"/>
              <w:rPr>
                <w:b/>
              </w:rPr>
            </w:pPr>
            <w:r w:rsidRPr="00015252">
              <w:rPr>
                <w:b/>
              </w:rPr>
              <w:t xml:space="preserve">Estimated </w:t>
            </w:r>
          </w:p>
          <w:p w14:paraId="1BC11EEA" w14:textId="77777777" w:rsidR="00C47639" w:rsidRPr="00015252" w:rsidRDefault="00C47639" w:rsidP="00C47639">
            <w:pPr>
              <w:pStyle w:val="Standaard-Tabellen"/>
              <w:rPr>
                <w:b/>
              </w:rPr>
            </w:pPr>
            <w:r w:rsidRPr="00015252">
              <w:rPr>
                <w:b/>
              </w:rPr>
              <w:t xml:space="preserve">uptake/ AEL </w:t>
            </w:r>
          </w:p>
          <w:p w14:paraId="5ACBC024" w14:textId="77777777" w:rsidR="00C47639" w:rsidRPr="00015252" w:rsidRDefault="00C47639" w:rsidP="00C47639">
            <w:pPr>
              <w:pStyle w:val="Standaard-Tabellen"/>
              <w:rPr>
                <w:b/>
              </w:rPr>
            </w:pPr>
            <w:r w:rsidRPr="00015252">
              <w:rPr>
                <w:b/>
              </w:rPr>
              <w:t>(%)</w:t>
            </w:r>
          </w:p>
        </w:tc>
        <w:tc>
          <w:tcPr>
            <w:tcW w:w="704" w:type="pct"/>
            <w:shd w:val="clear" w:color="auto" w:fill="BFBFBF" w:themeFill="background1" w:themeFillShade="BF"/>
          </w:tcPr>
          <w:p w14:paraId="5596FA58" w14:textId="77777777" w:rsidR="00C47639" w:rsidRPr="00015252" w:rsidRDefault="00C47639" w:rsidP="00C47639">
            <w:pPr>
              <w:pStyle w:val="Standaard-Tabellen"/>
              <w:rPr>
                <w:b/>
              </w:rPr>
            </w:pPr>
            <w:r w:rsidRPr="00015252">
              <w:rPr>
                <w:b/>
              </w:rPr>
              <w:t>Acceptable</w:t>
            </w:r>
          </w:p>
          <w:p w14:paraId="1C0EF6EF" w14:textId="77777777" w:rsidR="00C47639" w:rsidRPr="00015252" w:rsidRDefault="00C47639" w:rsidP="00C47639">
            <w:pPr>
              <w:pStyle w:val="Standaard-Tabellen"/>
              <w:rPr>
                <w:b/>
              </w:rPr>
            </w:pPr>
            <w:r w:rsidRPr="00015252">
              <w:rPr>
                <w:b/>
              </w:rPr>
              <w:t>(yes/no)</w:t>
            </w:r>
          </w:p>
        </w:tc>
      </w:tr>
      <w:tr w:rsidR="00C47639" w:rsidRPr="00FD2055" w14:paraId="63E7ABD5" w14:textId="77777777" w:rsidTr="00C47639">
        <w:tc>
          <w:tcPr>
            <w:tcW w:w="785" w:type="pct"/>
            <w:shd w:val="clear" w:color="auto" w:fill="auto"/>
          </w:tcPr>
          <w:p w14:paraId="4FC9B1D2" w14:textId="77777777" w:rsidR="00C47639" w:rsidRDefault="00C47639" w:rsidP="00C47639">
            <w:pPr>
              <w:pStyle w:val="Standaard-Tabellen"/>
            </w:pPr>
            <w:r w:rsidRPr="0091532F">
              <w:rPr>
                <w:szCs w:val="18"/>
                <w:lang w:eastAsia="en-US"/>
              </w:rPr>
              <w:t>Scenario 1</w:t>
            </w:r>
            <w:r>
              <w:rPr>
                <w:szCs w:val="18"/>
                <w:lang w:eastAsia="en-US"/>
              </w:rPr>
              <w:t>+2,</w:t>
            </w:r>
            <w:r w:rsidRPr="0091532F">
              <w:rPr>
                <w:szCs w:val="18"/>
                <w:lang w:eastAsia="en-US"/>
              </w:rPr>
              <w:t xml:space="preserve"> adult</w:t>
            </w:r>
            <w:r>
              <w:rPr>
                <w:szCs w:val="18"/>
                <w:lang w:eastAsia="en-US"/>
              </w:rPr>
              <w:t>,</w:t>
            </w:r>
            <w:r>
              <w:t xml:space="preserve"> </w:t>
            </w:r>
          </w:p>
          <w:p w14:paraId="07B7A80C" w14:textId="77777777" w:rsidR="00C47639" w:rsidRPr="00FD2055" w:rsidRDefault="00C47639" w:rsidP="00C47639">
            <w:pPr>
              <w:pStyle w:val="Standaard-Tabellen"/>
            </w:pPr>
            <w:r>
              <w:rPr>
                <w:szCs w:val="18"/>
                <w:lang w:eastAsia="en-US"/>
              </w:rPr>
              <w:t>3</w:t>
            </w:r>
            <w:r w:rsidRPr="008D08E6">
              <w:rPr>
                <w:szCs w:val="18"/>
                <w:lang w:eastAsia="en-US"/>
              </w:rPr>
              <w:t xml:space="preserve"> </w:t>
            </w:r>
            <w:proofErr w:type="spellStart"/>
            <w:r w:rsidRPr="008D08E6">
              <w:rPr>
                <w:szCs w:val="18"/>
                <w:lang w:eastAsia="en-US"/>
              </w:rPr>
              <w:t>appl</w:t>
            </w:r>
            <w:proofErr w:type="spellEnd"/>
            <w:r w:rsidRPr="008D08E6">
              <w:rPr>
                <w:szCs w:val="18"/>
                <w:lang w:eastAsia="en-US"/>
              </w:rPr>
              <w:t>/d</w:t>
            </w:r>
            <w:r w:rsidRPr="008D08E6" w:rsidDel="0038690A">
              <w:rPr>
                <w:szCs w:val="18"/>
                <w:lang w:eastAsia="en-US"/>
              </w:rPr>
              <w:t xml:space="preserve"> </w:t>
            </w:r>
          </w:p>
        </w:tc>
        <w:tc>
          <w:tcPr>
            <w:tcW w:w="575" w:type="pct"/>
            <w:shd w:val="clear" w:color="auto" w:fill="auto"/>
          </w:tcPr>
          <w:p w14:paraId="2BB69746" w14:textId="77777777" w:rsidR="00C47639" w:rsidRPr="00FD2055" w:rsidRDefault="00C47639" w:rsidP="00C47639">
            <w:pPr>
              <w:pStyle w:val="Standaard-Tabellen"/>
            </w:pPr>
            <w:r w:rsidRPr="0091532F">
              <w:rPr>
                <w:szCs w:val="18"/>
                <w:lang w:eastAsia="en-US"/>
              </w:rPr>
              <w:t>1</w:t>
            </w:r>
          </w:p>
        </w:tc>
        <w:tc>
          <w:tcPr>
            <w:tcW w:w="638" w:type="pct"/>
            <w:shd w:val="clear" w:color="auto" w:fill="auto"/>
          </w:tcPr>
          <w:p w14:paraId="16D613C7" w14:textId="77777777" w:rsidR="00C47639" w:rsidRPr="00FD2055" w:rsidRDefault="00C47639" w:rsidP="00C47639">
            <w:pPr>
              <w:pStyle w:val="Standaard-Tabellen"/>
            </w:pPr>
            <w:r>
              <w:rPr>
                <w:szCs w:val="18"/>
                <w:lang w:eastAsia="en-US"/>
              </w:rPr>
              <w:t>500</w:t>
            </w:r>
          </w:p>
        </w:tc>
        <w:tc>
          <w:tcPr>
            <w:tcW w:w="813" w:type="pct"/>
            <w:shd w:val="clear" w:color="auto" w:fill="auto"/>
          </w:tcPr>
          <w:p w14:paraId="2DC16760" w14:textId="77777777" w:rsidR="00C47639" w:rsidRPr="00FD2055" w:rsidRDefault="00C47639" w:rsidP="00C47639">
            <w:pPr>
              <w:pStyle w:val="Standaard-Tabellen"/>
            </w:pPr>
            <w:r>
              <w:rPr>
                <w:szCs w:val="18"/>
                <w:lang w:eastAsia="en-US"/>
              </w:rPr>
              <w:t>5</w:t>
            </w:r>
          </w:p>
        </w:tc>
        <w:tc>
          <w:tcPr>
            <w:tcW w:w="701" w:type="pct"/>
            <w:shd w:val="clear" w:color="auto" w:fill="auto"/>
            <w:vAlign w:val="center"/>
          </w:tcPr>
          <w:p w14:paraId="6FA79C8C" w14:textId="77777777" w:rsidR="00C47639" w:rsidRPr="00412894" w:rsidRDefault="00C47639" w:rsidP="00C47639">
            <w:pPr>
              <w:pStyle w:val="Standaard-Tabellen"/>
              <w:rPr>
                <w:szCs w:val="18"/>
              </w:rPr>
            </w:pPr>
            <w:r w:rsidRPr="00B42FAC">
              <w:rPr>
                <w:bCs w:val="0"/>
                <w:szCs w:val="18"/>
              </w:rPr>
              <w:t xml:space="preserve">8.57 </w:t>
            </w:r>
          </w:p>
        </w:tc>
        <w:tc>
          <w:tcPr>
            <w:tcW w:w="784" w:type="pct"/>
            <w:shd w:val="clear" w:color="auto" w:fill="auto"/>
            <w:vAlign w:val="center"/>
          </w:tcPr>
          <w:p w14:paraId="0C2D9C6D" w14:textId="77777777" w:rsidR="00C47639" w:rsidRPr="00B42FAC" w:rsidRDefault="00C47639" w:rsidP="00C47639">
            <w:pPr>
              <w:pStyle w:val="Standaard-Tabellen"/>
              <w:rPr>
                <w:color w:val="FF0000"/>
                <w:szCs w:val="18"/>
              </w:rPr>
            </w:pPr>
            <w:r w:rsidRPr="00B42FAC">
              <w:rPr>
                <w:color w:val="FF0000"/>
                <w:szCs w:val="18"/>
                <w:lang w:eastAsia="en-US"/>
              </w:rPr>
              <w:t>171.45</w:t>
            </w:r>
          </w:p>
        </w:tc>
        <w:tc>
          <w:tcPr>
            <w:tcW w:w="704" w:type="pct"/>
            <w:shd w:val="clear" w:color="auto" w:fill="auto"/>
            <w:vAlign w:val="center"/>
          </w:tcPr>
          <w:p w14:paraId="4CD6B4EC" w14:textId="77777777" w:rsidR="00C47639" w:rsidRPr="00412894" w:rsidRDefault="00C47639" w:rsidP="00C47639">
            <w:pPr>
              <w:pStyle w:val="Standaard-Tabellen"/>
              <w:rPr>
                <w:szCs w:val="18"/>
              </w:rPr>
            </w:pPr>
            <w:r w:rsidRPr="00412894">
              <w:rPr>
                <w:color w:val="FF0000"/>
                <w:szCs w:val="18"/>
                <w:lang w:eastAsia="en-US"/>
              </w:rPr>
              <w:t xml:space="preserve">No </w:t>
            </w:r>
          </w:p>
        </w:tc>
      </w:tr>
      <w:tr w:rsidR="00C47639" w:rsidRPr="00FD2055" w14:paraId="36E6E320" w14:textId="77777777" w:rsidTr="00C47639">
        <w:tc>
          <w:tcPr>
            <w:tcW w:w="785" w:type="pct"/>
            <w:shd w:val="clear" w:color="auto" w:fill="auto"/>
          </w:tcPr>
          <w:p w14:paraId="49B7EC03" w14:textId="77777777" w:rsidR="00C47639" w:rsidRDefault="00C47639" w:rsidP="00C47639">
            <w:pPr>
              <w:pStyle w:val="Standaard-Tabellen"/>
              <w:rPr>
                <w:szCs w:val="18"/>
                <w:lang w:eastAsia="en-US"/>
              </w:rPr>
            </w:pPr>
            <w:r w:rsidRPr="0091532F">
              <w:rPr>
                <w:szCs w:val="18"/>
                <w:lang w:eastAsia="en-US"/>
              </w:rPr>
              <w:t>Scenario 1</w:t>
            </w:r>
            <w:r>
              <w:rPr>
                <w:szCs w:val="18"/>
                <w:lang w:eastAsia="en-US"/>
              </w:rPr>
              <w:t>+2</w:t>
            </w:r>
            <w:r w:rsidRPr="0091532F">
              <w:rPr>
                <w:szCs w:val="18"/>
                <w:lang w:eastAsia="en-US"/>
              </w:rPr>
              <w:t>, child</w:t>
            </w:r>
            <w:r>
              <w:rPr>
                <w:szCs w:val="18"/>
                <w:lang w:eastAsia="en-US"/>
              </w:rPr>
              <w:t xml:space="preserve"> (6-12),</w:t>
            </w:r>
          </w:p>
          <w:p w14:paraId="2FE5FC91" w14:textId="77777777" w:rsidR="00C47639" w:rsidRPr="00FD2055" w:rsidRDefault="00C47639" w:rsidP="00C47639">
            <w:pPr>
              <w:pStyle w:val="Standaard-Tabellen"/>
            </w:pPr>
            <w:r w:rsidRPr="008D08E6">
              <w:rPr>
                <w:szCs w:val="18"/>
              </w:rPr>
              <w:t xml:space="preserve">2 </w:t>
            </w:r>
            <w:proofErr w:type="spellStart"/>
            <w:r w:rsidRPr="008D08E6">
              <w:rPr>
                <w:szCs w:val="18"/>
              </w:rPr>
              <w:t>appl</w:t>
            </w:r>
            <w:proofErr w:type="spellEnd"/>
            <w:r w:rsidRPr="008D08E6">
              <w:rPr>
                <w:szCs w:val="18"/>
              </w:rPr>
              <w:t>/d</w:t>
            </w:r>
            <w:r w:rsidRPr="008D08E6" w:rsidDel="0038690A">
              <w:rPr>
                <w:szCs w:val="18"/>
              </w:rPr>
              <w:t xml:space="preserve"> </w:t>
            </w:r>
          </w:p>
        </w:tc>
        <w:tc>
          <w:tcPr>
            <w:tcW w:w="575" w:type="pct"/>
            <w:shd w:val="clear" w:color="auto" w:fill="auto"/>
          </w:tcPr>
          <w:p w14:paraId="25171979" w14:textId="77777777" w:rsidR="00C47639" w:rsidRPr="00FD2055" w:rsidRDefault="00C47639" w:rsidP="00C47639">
            <w:pPr>
              <w:pStyle w:val="Standaard-Tabellen"/>
            </w:pPr>
            <w:r w:rsidRPr="0091532F">
              <w:rPr>
                <w:szCs w:val="18"/>
                <w:lang w:eastAsia="en-US"/>
              </w:rPr>
              <w:t>1</w:t>
            </w:r>
          </w:p>
        </w:tc>
        <w:tc>
          <w:tcPr>
            <w:tcW w:w="638" w:type="pct"/>
            <w:shd w:val="clear" w:color="auto" w:fill="auto"/>
          </w:tcPr>
          <w:p w14:paraId="023905C9" w14:textId="77777777" w:rsidR="00C47639" w:rsidRPr="00FD2055" w:rsidRDefault="00C47639" w:rsidP="00C47639">
            <w:pPr>
              <w:pStyle w:val="Standaard-Tabellen"/>
            </w:pPr>
            <w:r>
              <w:rPr>
                <w:szCs w:val="18"/>
                <w:lang w:eastAsia="en-US"/>
              </w:rPr>
              <w:t>500</w:t>
            </w:r>
          </w:p>
        </w:tc>
        <w:tc>
          <w:tcPr>
            <w:tcW w:w="813" w:type="pct"/>
            <w:shd w:val="clear" w:color="auto" w:fill="auto"/>
          </w:tcPr>
          <w:p w14:paraId="609FA6CA" w14:textId="77777777" w:rsidR="00C47639" w:rsidRPr="00FD2055" w:rsidRDefault="00C47639" w:rsidP="00C47639">
            <w:pPr>
              <w:pStyle w:val="Standaard-Tabellen"/>
            </w:pPr>
            <w:r>
              <w:rPr>
                <w:szCs w:val="18"/>
                <w:lang w:eastAsia="en-US"/>
              </w:rPr>
              <w:t>5</w:t>
            </w:r>
          </w:p>
        </w:tc>
        <w:tc>
          <w:tcPr>
            <w:tcW w:w="701" w:type="pct"/>
            <w:shd w:val="clear" w:color="auto" w:fill="auto"/>
            <w:vAlign w:val="center"/>
          </w:tcPr>
          <w:p w14:paraId="67CE8B1E" w14:textId="77777777" w:rsidR="00C47639" w:rsidRPr="00412894" w:rsidRDefault="00C47639" w:rsidP="00C47639">
            <w:pPr>
              <w:pStyle w:val="Standaard-Tabellen"/>
              <w:rPr>
                <w:szCs w:val="18"/>
              </w:rPr>
            </w:pPr>
            <w:r w:rsidRPr="00B42FAC">
              <w:rPr>
                <w:szCs w:val="18"/>
              </w:rPr>
              <w:t>7.96</w:t>
            </w:r>
          </w:p>
        </w:tc>
        <w:tc>
          <w:tcPr>
            <w:tcW w:w="784" w:type="pct"/>
            <w:shd w:val="clear" w:color="auto" w:fill="auto"/>
            <w:vAlign w:val="center"/>
          </w:tcPr>
          <w:p w14:paraId="79BBF8C7" w14:textId="77777777" w:rsidR="00C47639" w:rsidRPr="00B42FAC" w:rsidRDefault="00C47639" w:rsidP="00C47639">
            <w:pPr>
              <w:pStyle w:val="Standaard-Tabellen"/>
              <w:rPr>
                <w:color w:val="FF0000"/>
                <w:szCs w:val="18"/>
              </w:rPr>
            </w:pPr>
            <w:r w:rsidRPr="00B42FAC">
              <w:rPr>
                <w:color w:val="FF0000"/>
                <w:szCs w:val="18"/>
                <w:lang w:eastAsia="en-US"/>
              </w:rPr>
              <w:t>159.18</w:t>
            </w:r>
          </w:p>
        </w:tc>
        <w:tc>
          <w:tcPr>
            <w:tcW w:w="704" w:type="pct"/>
            <w:shd w:val="clear" w:color="auto" w:fill="auto"/>
            <w:vAlign w:val="center"/>
          </w:tcPr>
          <w:p w14:paraId="3B43E64D" w14:textId="77777777" w:rsidR="00C47639" w:rsidRPr="00412894" w:rsidRDefault="00C47639" w:rsidP="00C47639">
            <w:pPr>
              <w:pStyle w:val="Standaard-Tabellen"/>
              <w:rPr>
                <w:szCs w:val="18"/>
              </w:rPr>
            </w:pPr>
            <w:r w:rsidRPr="00412894">
              <w:rPr>
                <w:color w:val="FF0000"/>
                <w:szCs w:val="18"/>
                <w:lang w:eastAsia="en-US"/>
              </w:rPr>
              <w:t xml:space="preserve">No </w:t>
            </w:r>
          </w:p>
        </w:tc>
      </w:tr>
      <w:tr w:rsidR="00C47639" w:rsidRPr="00FD2055" w14:paraId="3EB5FA77" w14:textId="77777777" w:rsidTr="00C47639">
        <w:tc>
          <w:tcPr>
            <w:tcW w:w="785" w:type="pct"/>
            <w:shd w:val="clear" w:color="auto" w:fill="auto"/>
          </w:tcPr>
          <w:p w14:paraId="52A42395" w14:textId="77777777" w:rsidR="00C47639" w:rsidRDefault="00C47639" w:rsidP="00C47639">
            <w:pPr>
              <w:pStyle w:val="Standaard-Tabellen"/>
              <w:rPr>
                <w:szCs w:val="18"/>
                <w:lang w:eastAsia="en-US"/>
              </w:rPr>
            </w:pPr>
            <w:r w:rsidRPr="0091532F">
              <w:rPr>
                <w:szCs w:val="18"/>
                <w:lang w:eastAsia="en-US"/>
              </w:rPr>
              <w:t>Scenario 1</w:t>
            </w:r>
            <w:r>
              <w:rPr>
                <w:szCs w:val="18"/>
                <w:lang w:eastAsia="en-US"/>
              </w:rPr>
              <w:t>+2</w:t>
            </w:r>
            <w:r w:rsidRPr="0091532F">
              <w:rPr>
                <w:szCs w:val="18"/>
                <w:lang w:eastAsia="en-US"/>
              </w:rPr>
              <w:t>,  child</w:t>
            </w:r>
            <w:r>
              <w:rPr>
                <w:szCs w:val="18"/>
                <w:lang w:eastAsia="en-US"/>
              </w:rPr>
              <w:t xml:space="preserve"> (2-6),</w:t>
            </w:r>
          </w:p>
          <w:p w14:paraId="7DF5E69D" w14:textId="77777777" w:rsidR="00C47639" w:rsidRPr="0091532F" w:rsidRDefault="00C47639" w:rsidP="00C47639">
            <w:pPr>
              <w:pStyle w:val="Standaard-Tabellen"/>
              <w:rPr>
                <w:szCs w:val="18"/>
              </w:rPr>
            </w:pPr>
            <w:r w:rsidRPr="008D08E6">
              <w:rPr>
                <w:szCs w:val="18"/>
              </w:rPr>
              <w:t xml:space="preserve">2 </w:t>
            </w:r>
            <w:proofErr w:type="spellStart"/>
            <w:r w:rsidRPr="008D08E6">
              <w:rPr>
                <w:szCs w:val="18"/>
              </w:rPr>
              <w:t>appl</w:t>
            </w:r>
            <w:proofErr w:type="spellEnd"/>
            <w:r w:rsidRPr="008D08E6">
              <w:rPr>
                <w:szCs w:val="18"/>
              </w:rPr>
              <w:t>/d</w:t>
            </w:r>
          </w:p>
        </w:tc>
        <w:tc>
          <w:tcPr>
            <w:tcW w:w="575" w:type="pct"/>
            <w:shd w:val="clear" w:color="auto" w:fill="auto"/>
          </w:tcPr>
          <w:p w14:paraId="5D9D0CEB" w14:textId="77777777" w:rsidR="00C47639" w:rsidRPr="0091532F" w:rsidRDefault="00C47639" w:rsidP="00C47639">
            <w:pPr>
              <w:pStyle w:val="Standaard-Tabellen"/>
              <w:rPr>
                <w:szCs w:val="18"/>
              </w:rPr>
            </w:pPr>
            <w:r w:rsidRPr="0091532F">
              <w:rPr>
                <w:szCs w:val="18"/>
                <w:lang w:eastAsia="en-US"/>
              </w:rPr>
              <w:t>1</w:t>
            </w:r>
          </w:p>
        </w:tc>
        <w:tc>
          <w:tcPr>
            <w:tcW w:w="638" w:type="pct"/>
            <w:shd w:val="clear" w:color="auto" w:fill="auto"/>
          </w:tcPr>
          <w:p w14:paraId="6D05852F" w14:textId="77777777" w:rsidR="00C47639" w:rsidRDefault="00C47639" w:rsidP="00C47639">
            <w:pPr>
              <w:pStyle w:val="Standaard-Tabellen"/>
              <w:rPr>
                <w:szCs w:val="18"/>
                <w:lang w:eastAsia="en-US"/>
              </w:rPr>
            </w:pPr>
            <w:r>
              <w:rPr>
                <w:szCs w:val="18"/>
                <w:lang w:eastAsia="en-US"/>
              </w:rPr>
              <w:t>500</w:t>
            </w:r>
          </w:p>
        </w:tc>
        <w:tc>
          <w:tcPr>
            <w:tcW w:w="813" w:type="pct"/>
            <w:shd w:val="clear" w:color="auto" w:fill="auto"/>
          </w:tcPr>
          <w:p w14:paraId="07D358E9" w14:textId="77777777" w:rsidR="00C47639" w:rsidRDefault="00C47639" w:rsidP="00C47639">
            <w:pPr>
              <w:pStyle w:val="Standaard-Tabellen"/>
              <w:rPr>
                <w:szCs w:val="18"/>
                <w:lang w:eastAsia="en-US"/>
              </w:rPr>
            </w:pPr>
            <w:r>
              <w:rPr>
                <w:szCs w:val="18"/>
                <w:lang w:eastAsia="en-US"/>
              </w:rPr>
              <w:t>5</w:t>
            </w:r>
          </w:p>
        </w:tc>
        <w:tc>
          <w:tcPr>
            <w:tcW w:w="701" w:type="pct"/>
            <w:shd w:val="clear" w:color="auto" w:fill="auto"/>
            <w:vAlign w:val="center"/>
          </w:tcPr>
          <w:p w14:paraId="5206876F" w14:textId="77777777" w:rsidR="00C47639" w:rsidRPr="00412894" w:rsidRDefault="00C47639" w:rsidP="00C47639">
            <w:pPr>
              <w:spacing w:line="276" w:lineRule="auto"/>
              <w:rPr>
                <w:rFonts w:cs="Arial"/>
                <w:sz w:val="18"/>
                <w:szCs w:val="18"/>
              </w:rPr>
            </w:pPr>
            <w:r w:rsidRPr="00B42FAC">
              <w:rPr>
                <w:bCs/>
                <w:sz w:val="18"/>
                <w:szCs w:val="18"/>
                <w:lang w:eastAsia="en-GB"/>
              </w:rPr>
              <w:t>9.02</w:t>
            </w:r>
          </w:p>
        </w:tc>
        <w:tc>
          <w:tcPr>
            <w:tcW w:w="784" w:type="pct"/>
            <w:shd w:val="clear" w:color="auto" w:fill="auto"/>
            <w:vAlign w:val="center"/>
          </w:tcPr>
          <w:p w14:paraId="5F868E48" w14:textId="77777777" w:rsidR="00C47639" w:rsidRPr="00B42FAC" w:rsidRDefault="00C47639" w:rsidP="00C47639">
            <w:pPr>
              <w:pStyle w:val="Standaard-Tabellen"/>
              <w:rPr>
                <w:color w:val="FF0000"/>
                <w:szCs w:val="18"/>
                <w:lang w:eastAsia="en-US"/>
              </w:rPr>
            </w:pPr>
            <w:r w:rsidRPr="00B42FAC">
              <w:rPr>
                <w:color w:val="FF0000"/>
                <w:szCs w:val="18"/>
                <w:lang w:eastAsia="en-US"/>
              </w:rPr>
              <w:t>180.36</w:t>
            </w:r>
          </w:p>
        </w:tc>
        <w:tc>
          <w:tcPr>
            <w:tcW w:w="704" w:type="pct"/>
            <w:shd w:val="clear" w:color="auto" w:fill="auto"/>
            <w:vAlign w:val="center"/>
          </w:tcPr>
          <w:p w14:paraId="480D3BA5" w14:textId="77777777" w:rsidR="00C47639" w:rsidRPr="00412894" w:rsidRDefault="00C47639" w:rsidP="00C47639">
            <w:pPr>
              <w:pStyle w:val="Standaard-Tabellen"/>
              <w:rPr>
                <w:szCs w:val="18"/>
                <w:lang w:eastAsia="en-US"/>
              </w:rPr>
            </w:pPr>
            <w:r w:rsidRPr="00412894">
              <w:rPr>
                <w:color w:val="FF0000"/>
                <w:szCs w:val="18"/>
                <w:lang w:eastAsia="en-US"/>
              </w:rPr>
              <w:t>No</w:t>
            </w:r>
          </w:p>
        </w:tc>
      </w:tr>
      <w:tr w:rsidR="00C47639" w:rsidRPr="00FD2055" w14:paraId="0EEEC791" w14:textId="77777777" w:rsidTr="00C47639">
        <w:tc>
          <w:tcPr>
            <w:tcW w:w="785" w:type="pct"/>
            <w:shd w:val="clear" w:color="auto" w:fill="auto"/>
          </w:tcPr>
          <w:p w14:paraId="665672AE" w14:textId="77777777" w:rsidR="00C47639" w:rsidRDefault="00C47639" w:rsidP="00C47639">
            <w:pPr>
              <w:pStyle w:val="Standaard-Tabellen"/>
              <w:rPr>
                <w:szCs w:val="18"/>
                <w:lang w:eastAsia="en-US"/>
              </w:rPr>
            </w:pPr>
            <w:r>
              <w:rPr>
                <w:szCs w:val="18"/>
                <w:lang w:eastAsia="en-US"/>
              </w:rPr>
              <w:t>Scenario 1+2</w:t>
            </w:r>
            <w:r w:rsidRPr="0091532F">
              <w:rPr>
                <w:szCs w:val="18"/>
                <w:lang w:eastAsia="en-US"/>
              </w:rPr>
              <w:t>, toddler</w:t>
            </w:r>
            <w:r>
              <w:rPr>
                <w:szCs w:val="18"/>
                <w:lang w:eastAsia="en-US"/>
              </w:rPr>
              <w:t>,</w:t>
            </w:r>
          </w:p>
          <w:p w14:paraId="1D7A7A0B" w14:textId="77777777" w:rsidR="00C47639" w:rsidRPr="0091532F" w:rsidRDefault="00C47639" w:rsidP="00C47639">
            <w:pPr>
              <w:pStyle w:val="Standaard-Tabellen"/>
              <w:rPr>
                <w:szCs w:val="18"/>
              </w:rPr>
            </w:pPr>
            <w:r>
              <w:rPr>
                <w:szCs w:val="18"/>
              </w:rPr>
              <w:t>1</w:t>
            </w:r>
            <w:r w:rsidRPr="008D08E6">
              <w:rPr>
                <w:szCs w:val="18"/>
              </w:rPr>
              <w:t xml:space="preserve"> </w:t>
            </w:r>
            <w:proofErr w:type="spellStart"/>
            <w:r w:rsidRPr="008D08E6">
              <w:rPr>
                <w:szCs w:val="18"/>
              </w:rPr>
              <w:t>appl</w:t>
            </w:r>
            <w:proofErr w:type="spellEnd"/>
            <w:r w:rsidRPr="008D08E6">
              <w:rPr>
                <w:szCs w:val="18"/>
              </w:rPr>
              <w:t>/d</w:t>
            </w:r>
          </w:p>
        </w:tc>
        <w:tc>
          <w:tcPr>
            <w:tcW w:w="575" w:type="pct"/>
            <w:shd w:val="clear" w:color="auto" w:fill="auto"/>
          </w:tcPr>
          <w:p w14:paraId="7EA8C2FF" w14:textId="77777777" w:rsidR="00C47639" w:rsidRPr="0091532F" w:rsidRDefault="00C47639" w:rsidP="00C47639">
            <w:pPr>
              <w:pStyle w:val="Standaard-Tabellen"/>
              <w:rPr>
                <w:szCs w:val="18"/>
              </w:rPr>
            </w:pPr>
            <w:r w:rsidRPr="0091532F">
              <w:rPr>
                <w:szCs w:val="18"/>
                <w:lang w:eastAsia="en-US"/>
              </w:rPr>
              <w:t>1</w:t>
            </w:r>
          </w:p>
        </w:tc>
        <w:tc>
          <w:tcPr>
            <w:tcW w:w="638" w:type="pct"/>
            <w:shd w:val="clear" w:color="auto" w:fill="auto"/>
          </w:tcPr>
          <w:p w14:paraId="2B4DAA06" w14:textId="77777777" w:rsidR="00C47639" w:rsidRDefault="00C47639" w:rsidP="00C47639">
            <w:pPr>
              <w:pStyle w:val="Standaard-Tabellen"/>
              <w:rPr>
                <w:szCs w:val="18"/>
                <w:lang w:eastAsia="en-US"/>
              </w:rPr>
            </w:pPr>
            <w:r>
              <w:rPr>
                <w:szCs w:val="18"/>
                <w:lang w:eastAsia="en-US"/>
              </w:rPr>
              <w:t>500</w:t>
            </w:r>
          </w:p>
        </w:tc>
        <w:tc>
          <w:tcPr>
            <w:tcW w:w="813" w:type="pct"/>
            <w:shd w:val="clear" w:color="auto" w:fill="auto"/>
          </w:tcPr>
          <w:p w14:paraId="5D80658B" w14:textId="77777777" w:rsidR="00C47639" w:rsidRDefault="00C47639" w:rsidP="00C47639">
            <w:pPr>
              <w:pStyle w:val="Standaard-Tabellen"/>
              <w:rPr>
                <w:szCs w:val="18"/>
                <w:lang w:eastAsia="en-US"/>
              </w:rPr>
            </w:pPr>
            <w:r>
              <w:rPr>
                <w:szCs w:val="18"/>
                <w:lang w:eastAsia="en-US"/>
              </w:rPr>
              <w:t>5</w:t>
            </w:r>
          </w:p>
        </w:tc>
        <w:tc>
          <w:tcPr>
            <w:tcW w:w="701" w:type="pct"/>
            <w:shd w:val="clear" w:color="auto" w:fill="auto"/>
            <w:vAlign w:val="center"/>
          </w:tcPr>
          <w:p w14:paraId="21C47CA2" w14:textId="77777777" w:rsidR="00C47639" w:rsidRPr="00412894" w:rsidRDefault="00C47639" w:rsidP="00C47639">
            <w:pPr>
              <w:spacing w:line="276" w:lineRule="auto"/>
              <w:rPr>
                <w:rFonts w:cs="Arial"/>
                <w:sz w:val="18"/>
                <w:szCs w:val="18"/>
              </w:rPr>
            </w:pPr>
            <w:r w:rsidRPr="00412894">
              <w:rPr>
                <w:bCs/>
                <w:sz w:val="18"/>
                <w:szCs w:val="18"/>
                <w:lang w:eastAsia="en-GB"/>
              </w:rPr>
              <w:t>4.97</w:t>
            </w:r>
          </w:p>
        </w:tc>
        <w:tc>
          <w:tcPr>
            <w:tcW w:w="784" w:type="pct"/>
            <w:shd w:val="clear" w:color="auto" w:fill="auto"/>
            <w:vAlign w:val="center"/>
          </w:tcPr>
          <w:p w14:paraId="09EE255A" w14:textId="77777777" w:rsidR="00C47639" w:rsidRPr="008D08E6" w:rsidRDefault="00C47639" w:rsidP="00C47639">
            <w:pPr>
              <w:pStyle w:val="Standaard-Tabellen"/>
              <w:rPr>
                <w:szCs w:val="18"/>
                <w:lang w:eastAsia="en-US"/>
              </w:rPr>
            </w:pPr>
            <w:r w:rsidRPr="00973BCE">
              <w:rPr>
                <w:szCs w:val="18"/>
                <w:lang w:eastAsia="en-US"/>
              </w:rPr>
              <w:t>99.40</w:t>
            </w:r>
          </w:p>
        </w:tc>
        <w:tc>
          <w:tcPr>
            <w:tcW w:w="704" w:type="pct"/>
            <w:shd w:val="clear" w:color="auto" w:fill="auto"/>
            <w:vAlign w:val="center"/>
          </w:tcPr>
          <w:p w14:paraId="101BA0A6" w14:textId="77777777" w:rsidR="00C47639" w:rsidRPr="008D08E6" w:rsidRDefault="00C47639" w:rsidP="00C47639">
            <w:pPr>
              <w:pStyle w:val="Standaard-Tabellen"/>
              <w:rPr>
                <w:szCs w:val="18"/>
                <w:lang w:eastAsia="en-US"/>
              </w:rPr>
            </w:pPr>
            <w:r w:rsidRPr="008D08E6">
              <w:rPr>
                <w:szCs w:val="18"/>
                <w:lang w:eastAsia="en-US"/>
              </w:rPr>
              <w:t>Yes</w:t>
            </w:r>
          </w:p>
        </w:tc>
      </w:tr>
      <w:tr w:rsidR="00C47639" w:rsidRPr="00FD2055" w14:paraId="40C27AFF" w14:textId="77777777" w:rsidTr="00C47639">
        <w:tc>
          <w:tcPr>
            <w:tcW w:w="785" w:type="pct"/>
            <w:tcBorders>
              <w:bottom w:val="double" w:sz="4" w:space="0" w:color="auto"/>
            </w:tcBorders>
            <w:shd w:val="clear" w:color="auto" w:fill="auto"/>
          </w:tcPr>
          <w:p w14:paraId="796AAF2F" w14:textId="77777777" w:rsidR="00C47639" w:rsidRDefault="00C47639" w:rsidP="00C47639">
            <w:pPr>
              <w:pStyle w:val="Standaard-Tabellen"/>
              <w:rPr>
                <w:szCs w:val="18"/>
                <w:lang w:eastAsia="en-US"/>
              </w:rPr>
            </w:pPr>
            <w:r w:rsidRPr="0091532F">
              <w:rPr>
                <w:szCs w:val="18"/>
                <w:lang w:eastAsia="en-US"/>
              </w:rPr>
              <w:t>Scenario 1</w:t>
            </w:r>
            <w:r>
              <w:rPr>
                <w:szCs w:val="18"/>
                <w:lang w:eastAsia="en-US"/>
              </w:rPr>
              <w:t>+2</w:t>
            </w:r>
            <w:r w:rsidRPr="0091532F">
              <w:rPr>
                <w:szCs w:val="18"/>
                <w:lang w:eastAsia="en-US"/>
              </w:rPr>
              <w:t>, infant</w:t>
            </w:r>
            <w:r>
              <w:rPr>
                <w:szCs w:val="18"/>
                <w:lang w:eastAsia="en-US"/>
              </w:rPr>
              <w:t>,</w:t>
            </w:r>
          </w:p>
          <w:p w14:paraId="0CCF900B" w14:textId="77777777" w:rsidR="00C47639" w:rsidRPr="0091532F" w:rsidRDefault="00C47639" w:rsidP="00C47639">
            <w:pPr>
              <w:pStyle w:val="Standaard-Tabellen"/>
              <w:rPr>
                <w:szCs w:val="18"/>
              </w:rPr>
            </w:pPr>
            <w:r>
              <w:rPr>
                <w:szCs w:val="18"/>
              </w:rPr>
              <w:t>1</w:t>
            </w:r>
            <w:r w:rsidRPr="008D08E6">
              <w:rPr>
                <w:szCs w:val="18"/>
              </w:rPr>
              <w:t xml:space="preserve"> </w:t>
            </w:r>
            <w:proofErr w:type="spellStart"/>
            <w:r w:rsidRPr="008D08E6">
              <w:rPr>
                <w:szCs w:val="18"/>
              </w:rPr>
              <w:t>appl</w:t>
            </w:r>
            <w:proofErr w:type="spellEnd"/>
            <w:r w:rsidRPr="008D08E6">
              <w:rPr>
                <w:szCs w:val="18"/>
              </w:rPr>
              <w:t>/d</w:t>
            </w:r>
          </w:p>
        </w:tc>
        <w:tc>
          <w:tcPr>
            <w:tcW w:w="575" w:type="pct"/>
            <w:tcBorders>
              <w:bottom w:val="double" w:sz="4" w:space="0" w:color="auto"/>
            </w:tcBorders>
            <w:shd w:val="clear" w:color="auto" w:fill="auto"/>
          </w:tcPr>
          <w:p w14:paraId="11D5B41D" w14:textId="77777777" w:rsidR="00C47639" w:rsidRPr="0091532F" w:rsidRDefault="00C47639" w:rsidP="00C47639">
            <w:pPr>
              <w:pStyle w:val="Standaard-Tabellen"/>
              <w:rPr>
                <w:szCs w:val="18"/>
              </w:rPr>
            </w:pPr>
            <w:r w:rsidRPr="0091532F">
              <w:rPr>
                <w:szCs w:val="18"/>
                <w:lang w:eastAsia="en-US"/>
              </w:rPr>
              <w:t>1</w:t>
            </w:r>
          </w:p>
        </w:tc>
        <w:tc>
          <w:tcPr>
            <w:tcW w:w="638" w:type="pct"/>
            <w:tcBorders>
              <w:bottom w:val="double" w:sz="4" w:space="0" w:color="auto"/>
            </w:tcBorders>
            <w:shd w:val="clear" w:color="auto" w:fill="auto"/>
          </w:tcPr>
          <w:p w14:paraId="4E6B8644" w14:textId="77777777" w:rsidR="00C47639" w:rsidRDefault="00C47639" w:rsidP="00C47639">
            <w:pPr>
              <w:pStyle w:val="Standaard-Tabellen"/>
              <w:rPr>
                <w:szCs w:val="18"/>
                <w:lang w:eastAsia="en-US"/>
              </w:rPr>
            </w:pPr>
            <w:r>
              <w:rPr>
                <w:szCs w:val="18"/>
                <w:lang w:eastAsia="en-US"/>
              </w:rPr>
              <w:t>500</w:t>
            </w:r>
          </w:p>
        </w:tc>
        <w:tc>
          <w:tcPr>
            <w:tcW w:w="813" w:type="pct"/>
            <w:tcBorders>
              <w:bottom w:val="double" w:sz="4" w:space="0" w:color="auto"/>
            </w:tcBorders>
            <w:shd w:val="clear" w:color="auto" w:fill="auto"/>
          </w:tcPr>
          <w:p w14:paraId="0E0AAE5B" w14:textId="77777777" w:rsidR="00C47639" w:rsidRDefault="00C47639" w:rsidP="00C47639">
            <w:pPr>
              <w:pStyle w:val="Standaard-Tabellen"/>
              <w:rPr>
                <w:szCs w:val="18"/>
                <w:lang w:eastAsia="en-US"/>
              </w:rPr>
            </w:pPr>
            <w:r>
              <w:rPr>
                <w:szCs w:val="18"/>
                <w:lang w:eastAsia="en-US"/>
              </w:rPr>
              <w:t>5</w:t>
            </w:r>
          </w:p>
        </w:tc>
        <w:tc>
          <w:tcPr>
            <w:tcW w:w="701" w:type="pct"/>
            <w:tcBorders>
              <w:bottom w:val="double" w:sz="4" w:space="0" w:color="auto"/>
            </w:tcBorders>
            <w:shd w:val="clear" w:color="auto" w:fill="auto"/>
            <w:vAlign w:val="center"/>
          </w:tcPr>
          <w:p w14:paraId="4ACF8FC2" w14:textId="77777777" w:rsidR="00C47639" w:rsidRPr="00412894" w:rsidRDefault="00C47639" w:rsidP="00C47639">
            <w:pPr>
              <w:spacing w:line="276" w:lineRule="auto"/>
              <w:rPr>
                <w:rFonts w:cs="Arial"/>
                <w:sz w:val="18"/>
                <w:szCs w:val="18"/>
              </w:rPr>
            </w:pPr>
            <w:r w:rsidRPr="00B42FAC">
              <w:rPr>
                <w:bCs/>
                <w:sz w:val="18"/>
                <w:szCs w:val="18"/>
                <w:lang w:eastAsia="en-GB"/>
              </w:rPr>
              <w:t>5.30</w:t>
            </w:r>
          </w:p>
        </w:tc>
        <w:tc>
          <w:tcPr>
            <w:tcW w:w="784" w:type="pct"/>
            <w:tcBorders>
              <w:bottom w:val="double" w:sz="4" w:space="0" w:color="auto"/>
            </w:tcBorders>
            <w:shd w:val="clear" w:color="auto" w:fill="auto"/>
            <w:vAlign w:val="center"/>
          </w:tcPr>
          <w:p w14:paraId="17CACFE2" w14:textId="77777777" w:rsidR="00C47639" w:rsidRPr="00412894" w:rsidRDefault="00C47639" w:rsidP="00C47639">
            <w:pPr>
              <w:pStyle w:val="Standaard-Tabellen"/>
              <w:rPr>
                <w:szCs w:val="18"/>
                <w:lang w:eastAsia="en-US"/>
              </w:rPr>
            </w:pPr>
            <w:r w:rsidRPr="00B42FAC">
              <w:rPr>
                <w:color w:val="FF0000"/>
                <w:szCs w:val="18"/>
                <w:lang w:eastAsia="en-US"/>
              </w:rPr>
              <w:t>106.05</w:t>
            </w:r>
          </w:p>
        </w:tc>
        <w:tc>
          <w:tcPr>
            <w:tcW w:w="704" w:type="pct"/>
            <w:tcBorders>
              <w:bottom w:val="double" w:sz="4" w:space="0" w:color="auto"/>
            </w:tcBorders>
            <w:shd w:val="clear" w:color="auto" w:fill="auto"/>
            <w:vAlign w:val="center"/>
          </w:tcPr>
          <w:p w14:paraId="5A95D2BD" w14:textId="77777777" w:rsidR="00C47639" w:rsidRPr="008D08E6" w:rsidRDefault="00C47639" w:rsidP="00C47639">
            <w:pPr>
              <w:pStyle w:val="Standaard-Tabellen"/>
              <w:rPr>
                <w:szCs w:val="18"/>
                <w:lang w:eastAsia="en-US"/>
              </w:rPr>
            </w:pPr>
            <w:r w:rsidRPr="00973BCE">
              <w:rPr>
                <w:color w:val="FF0000"/>
                <w:szCs w:val="18"/>
                <w:lang w:eastAsia="en-US"/>
              </w:rPr>
              <w:t>No</w:t>
            </w:r>
          </w:p>
        </w:tc>
      </w:tr>
      <w:tr w:rsidR="00C47639" w:rsidRPr="00FD2055" w14:paraId="170CDB61" w14:textId="77777777" w:rsidTr="00C47639">
        <w:tc>
          <w:tcPr>
            <w:tcW w:w="785" w:type="pct"/>
            <w:shd w:val="clear" w:color="auto" w:fill="auto"/>
          </w:tcPr>
          <w:p w14:paraId="7FF55669" w14:textId="77777777" w:rsidR="00C47639" w:rsidRDefault="00C47639" w:rsidP="00C47639">
            <w:pPr>
              <w:pStyle w:val="Standaard-Tabellen"/>
            </w:pPr>
            <w:r w:rsidRPr="0091532F">
              <w:rPr>
                <w:szCs w:val="18"/>
                <w:lang w:eastAsia="en-US"/>
              </w:rPr>
              <w:t>Scenario 1</w:t>
            </w:r>
            <w:r>
              <w:rPr>
                <w:szCs w:val="18"/>
                <w:lang w:eastAsia="en-US"/>
              </w:rPr>
              <w:t>+2,</w:t>
            </w:r>
            <w:r w:rsidRPr="0091532F">
              <w:rPr>
                <w:szCs w:val="18"/>
                <w:lang w:eastAsia="en-US"/>
              </w:rPr>
              <w:t xml:space="preserve"> adult</w:t>
            </w:r>
            <w:r>
              <w:rPr>
                <w:szCs w:val="18"/>
                <w:lang w:eastAsia="en-US"/>
              </w:rPr>
              <w:t>,</w:t>
            </w:r>
            <w:r>
              <w:t xml:space="preserve"> </w:t>
            </w:r>
          </w:p>
          <w:p w14:paraId="0200E8D1" w14:textId="77777777" w:rsidR="00C47639" w:rsidRPr="0091532F" w:rsidRDefault="00C47639" w:rsidP="00C47639">
            <w:pPr>
              <w:pStyle w:val="Standaard-Tabellen"/>
              <w:rPr>
                <w:szCs w:val="18"/>
              </w:rPr>
            </w:pPr>
            <w:r>
              <w:rPr>
                <w:szCs w:val="18"/>
                <w:lang w:eastAsia="en-US"/>
              </w:rPr>
              <w:t>2</w:t>
            </w:r>
            <w:r w:rsidRPr="008D08E6">
              <w:rPr>
                <w:szCs w:val="18"/>
                <w:lang w:eastAsia="en-US"/>
              </w:rPr>
              <w:t xml:space="preserve"> </w:t>
            </w:r>
            <w:proofErr w:type="spellStart"/>
            <w:r w:rsidRPr="008D08E6">
              <w:rPr>
                <w:szCs w:val="18"/>
                <w:lang w:eastAsia="en-US"/>
              </w:rPr>
              <w:t>appl</w:t>
            </w:r>
            <w:proofErr w:type="spellEnd"/>
            <w:r w:rsidRPr="008D08E6">
              <w:rPr>
                <w:szCs w:val="18"/>
                <w:lang w:eastAsia="en-US"/>
              </w:rPr>
              <w:t>/d</w:t>
            </w:r>
            <w:r w:rsidRPr="008D08E6" w:rsidDel="0038690A">
              <w:rPr>
                <w:szCs w:val="18"/>
                <w:lang w:eastAsia="en-US"/>
              </w:rPr>
              <w:t xml:space="preserve"> </w:t>
            </w:r>
          </w:p>
        </w:tc>
        <w:tc>
          <w:tcPr>
            <w:tcW w:w="575" w:type="pct"/>
            <w:tcBorders>
              <w:top w:val="double" w:sz="4" w:space="0" w:color="auto"/>
            </w:tcBorders>
            <w:shd w:val="clear" w:color="auto" w:fill="auto"/>
          </w:tcPr>
          <w:p w14:paraId="77F05857" w14:textId="77777777" w:rsidR="00C47639" w:rsidRPr="0091532F" w:rsidRDefault="00C47639" w:rsidP="00C47639">
            <w:pPr>
              <w:pStyle w:val="Standaard-Tabellen"/>
              <w:rPr>
                <w:szCs w:val="18"/>
              </w:rPr>
            </w:pPr>
            <w:r>
              <w:rPr>
                <w:szCs w:val="18"/>
                <w:lang w:eastAsia="en-US"/>
              </w:rPr>
              <w:t>2</w:t>
            </w:r>
          </w:p>
        </w:tc>
        <w:tc>
          <w:tcPr>
            <w:tcW w:w="638" w:type="pct"/>
            <w:tcBorders>
              <w:top w:val="double" w:sz="4" w:space="0" w:color="auto"/>
            </w:tcBorders>
            <w:shd w:val="clear" w:color="auto" w:fill="auto"/>
          </w:tcPr>
          <w:p w14:paraId="5A79E736" w14:textId="77777777" w:rsidR="00C47639" w:rsidRDefault="00C47639" w:rsidP="00C47639">
            <w:pPr>
              <w:pStyle w:val="Standaard-Tabellen"/>
              <w:rPr>
                <w:szCs w:val="18"/>
                <w:lang w:eastAsia="en-US"/>
              </w:rPr>
            </w:pPr>
            <w:r>
              <w:rPr>
                <w:szCs w:val="18"/>
                <w:lang w:eastAsia="en-US"/>
              </w:rPr>
              <w:t>500</w:t>
            </w:r>
          </w:p>
        </w:tc>
        <w:tc>
          <w:tcPr>
            <w:tcW w:w="813" w:type="pct"/>
            <w:tcBorders>
              <w:top w:val="double" w:sz="4" w:space="0" w:color="auto"/>
            </w:tcBorders>
            <w:shd w:val="clear" w:color="auto" w:fill="auto"/>
          </w:tcPr>
          <w:p w14:paraId="11A7D8DD" w14:textId="77777777" w:rsidR="00C47639" w:rsidRDefault="00C47639" w:rsidP="00C47639">
            <w:pPr>
              <w:pStyle w:val="Standaard-Tabellen"/>
              <w:rPr>
                <w:szCs w:val="18"/>
                <w:lang w:eastAsia="en-US"/>
              </w:rPr>
            </w:pPr>
            <w:r>
              <w:rPr>
                <w:szCs w:val="18"/>
                <w:lang w:eastAsia="en-US"/>
              </w:rPr>
              <w:t>5</w:t>
            </w:r>
          </w:p>
        </w:tc>
        <w:tc>
          <w:tcPr>
            <w:tcW w:w="701" w:type="pct"/>
            <w:tcBorders>
              <w:top w:val="double" w:sz="4" w:space="0" w:color="auto"/>
            </w:tcBorders>
            <w:shd w:val="clear" w:color="auto" w:fill="auto"/>
            <w:vAlign w:val="center"/>
          </w:tcPr>
          <w:p w14:paraId="6F374C61" w14:textId="77777777" w:rsidR="00C47639" w:rsidRPr="00412894" w:rsidRDefault="00C47639" w:rsidP="00C47639">
            <w:pPr>
              <w:spacing w:line="276" w:lineRule="auto"/>
              <w:rPr>
                <w:rFonts w:cs="Arial"/>
                <w:sz w:val="18"/>
                <w:szCs w:val="18"/>
              </w:rPr>
            </w:pPr>
            <w:r w:rsidRPr="00B42FAC">
              <w:rPr>
                <w:bCs/>
                <w:sz w:val="18"/>
                <w:szCs w:val="18"/>
                <w:lang w:eastAsia="en-GB"/>
              </w:rPr>
              <w:t>5.71</w:t>
            </w:r>
          </w:p>
        </w:tc>
        <w:tc>
          <w:tcPr>
            <w:tcW w:w="784" w:type="pct"/>
            <w:tcBorders>
              <w:top w:val="double" w:sz="4" w:space="0" w:color="auto"/>
            </w:tcBorders>
            <w:shd w:val="clear" w:color="auto" w:fill="auto"/>
            <w:vAlign w:val="center"/>
          </w:tcPr>
          <w:p w14:paraId="377A2AFC" w14:textId="77777777" w:rsidR="00C47639" w:rsidRPr="00412894" w:rsidRDefault="00C47639" w:rsidP="00C47639">
            <w:pPr>
              <w:pStyle w:val="Standaard-Tabellen"/>
              <w:rPr>
                <w:szCs w:val="18"/>
                <w:lang w:eastAsia="en-US"/>
              </w:rPr>
            </w:pPr>
            <w:r w:rsidRPr="00B42FAC">
              <w:rPr>
                <w:color w:val="FF0000"/>
                <w:szCs w:val="18"/>
                <w:lang w:eastAsia="en-US"/>
              </w:rPr>
              <w:t>114.30</w:t>
            </w:r>
          </w:p>
        </w:tc>
        <w:tc>
          <w:tcPr>
            <w:tcW w:w="704" w:type="pct"/>
            <w:shd w:val="clear" w:color="auto" w:fill="auto"/>
            <w:vAlign w:val="center"/>
          </w:tcPr>
          <w:p w14:paraId="64CFE83A" w14:textId="77777777" w:rsidR="00C47639" w:rsidRPr="008D08E6" w:rsidRDefault="00C47639" w:rsidP="00C47639">
            <w:pPr>
              <w:pStyle w:val="Standaard-Tabellen"/>
              <w:rPr>
                <w:szCs w:val="18"/>
                <w:lang w:eastAsia="en-US"/>
              </w:rPr>
            </w:pPr>
            <w:r w:rsidRPr="00973BCE">
              <w:rPr>
                <w:color w:val="FF0000"/>
                <w:szCs w:val="18"/>
                <w:lang w:eastAsia="en-US"/>
              </w:rPr>
              <w:t>No</w:t>
            </w:r>
          </w:p>
        </w:tc>
      </w:tr>
      <w:tr w:rsidR="00C47639" w:rsidRPr="00FD2055" w14:paraId="48CA2D13" w14:textId="77777777" w:rsidTr="00C47639">
        <w:tc>
          <w:tcPr>
            <w:tcW w:w="785" w:type="pct"/>
            <w:shd w:val="clear" w:color="auto" w:fill="auto"/>
          </w:tcPr>
          <w:p w14:paraId="6348D7B3" w14:textId="77777777" w:rsidR="00C47639" w:rsidRDefault="00C47639" w:rsidP="00C47639">
            <w:pPr>
              <w:pStyle w:val="Standaard-Tabellen"/>
              <w:rPr>
                <w:szCs w:val="18"/>
                <w:lang w:eastAsia="en-US"/>
              </w:rPr>
            </w:pPr>
            <w:r w:rsidRPr="0091532F">
              <w:rPr>
                <w:szCs w:val="18"/>
                <w:lang w:eastAsia="en-US"/>
              </w:rPr>
              <w:t>Scenario 1</w:t>
            </w:r>
            <w:r>
              <w:rPr>
                <w:szCs w:val="18"/>
                <w:lang w:eastAsia="en-US"/>
              </w:rPr>
              <w:t>+2</w:t>
            </w:r>
            <w:r w:rsidRPr="0091532F">
              <w:rPr>
                <w:szCs w:val="18"/>
                <w:lang w:eastAsia="en-US"/>
              </w:rPr>
              <w:t>, child</w:t>
            </w:r>
            <w:r>
              <w:rPr>
                <w:szCs w:val="18"/>
                <w:lang w:eastAsia="en-US"/>
              </w:rPr>
              <w:t xml:space="preserve"> (6-12),</w:t>
            </w:r>
          </w:p>
          <w:p w14:paraId="7C87E875" w14:textId="77777777" w:rsidR="00C47639" w:rsidRPr="0091532F" w:rsidRDefault="00C47639" w:rsidP="00C47639">
            <w:pPr>
              <w:pStyle w:val="Standaard-Tabellen"/>
              <w:rPr>
                <w:szCs w:val="18"/>
              </w:rPr>
            </w:pPr>
            <w:r>
              <w:rPr>
                <w:szCs w:val="18"/>
              </w:rPr>
              <w:t>1</w:t>
            </w:r>
            <w:r w:rsidRPr="008D08E6">
              <w:rPr>
                <w:szCs w:val="18"/>
              </w:rPr>
              <w:t xml:space="preserve"> </w:t>
            </w:r>
            <w:proofErr w:type="spellStart"/>
            <w:r w:rsidRPr="008D08E6">
              <w:rPr>
                <w:szCs w:val="18"/>
              </w:rPr>
              <w:t>appl</w:t>
            </w:r>
            <w:proofErr w:type="spellEnd"/>
            <w:r w:rsidRPr="008D08E6">
              <w:rPr>
                <w:szCs w:val="18"/>
              </w:rPr>
              <w:t>/d</w:t>
            </w:r>
            <w:r w:rsidRPr="008D08E6" w:rsidDel="0038690A">
              <w:rPr>
                <w:szCs w:val="18"/>
              </w:rPr>
              <w:t xml:space="preserve"> </w:t>
            </w:r>
          </w:p>
        </w:tc>
        <w:tc>
          <w:tcPr>
            <w:tcW w:w="575" w:type="pct"/>
            <w:shd w:val="clear" w:color="auto" w:fill="auto"/>
          </w:tcPr>
          <w:p w14:paraId="04EDC911" w14:textId="77777777" w:rsidR="00C47639" w:rsidRPr="0091532F" w:rsidRDefault="00C47639" w:rsidP="00C47639">
            <w:pPr>
              <w:pStyle w:val="Standaard-Tabellen"/>
              <w:rPr>
                <w:szCs w:val="18"/>
              </w:rPr>
            </w:pPr>
            <w:r>
              <w:rPr>
                <w:szCs w:val="18"/>
                <w:lang w:eastAsia="en-US"/>
              </w:rPr>
              <w:t>2</w:t>
            </w:r>
          </w:p>
        </w:tc>
        <w:tc>
          <w:tcPr>
            <w:tcW w:w="638" w:type="pct"/>
            <w:shd w:val="clear" w:color="auto" w:fill="auto"/>
          </w:tcPr>
          <w:p w14:paraId="31474EB1" w14:textId="77777777" w:rsidR="00C47639" w:rsidRDefault="00C47639" w:rsidP="00C47639">
            <w:pPr>
              <w:pStyle w:val="Standaard-Tabellen"/>
              <w:rPr>
                <w:szCs w:val="18"/>
                <w:lang w:eastAsia="en-US"/>
              </w:rPr>
            </w:pPr>
            <w:r>
              <w:rPr>
                <w:szCs w:val="18"/>
                <w:lang w:eastAsia="en-US"/>
              </w:rPr>
              <w:t>500</w:t>
            </w:r>
          </w:p>
        </w:tc>
        <w:tc>
          <w:tcPr>
            <w:tcW w:w="813" w:type="pct"/>
            <w:shd w:val="clear" w:color="auto" w:fill="auto"/>
          </w:tcPr>
          <w:p w14:paraId="17A2BB03" w14:textId="77777777" w:rsidR="00C47639" w:rsidRDefault="00C47639" w:rsidP="00C47639">
            <w:pPr>
              <w:pStyle w:val="Standaard-Tabellen"/>
              <w:rPr>
                <w:szCs w:val="18"/>
                <w:lang w:eastAsia="en-US"/>
              </w:rPr>
            </w:pPr>
            <w:r>
              <w:rPr>
                <w:szCs w:val="18"/>
                <w:lang w:eastAsia="en-US"/>
              </w:rPr>
              <w:t>5</w:t>
            </w:r>
          </w:p>
        </w:tc>
        <w:tc>
          <w:tcPr>
            <w:tcW w:w="701" w:type="pct"/>
            <w:shd w:val="clear" w:color="auto" w:fill="auto"/>
            <w:vAlign w:val="center"/>
          </w:tcPr>
          <w:p w14:paraId="58ED2C58" w14:textId="77777777" w:rsidR="00C47639" w:rsidRPr="00412894" w:rsidRDefault="00C47639" w:rsidP="00C47639">
            <w:pPr>
              <w:spacing w:line="276" w:lineRule="auto"/>
              <w:rPr>
                <w:rFonts w:cs="Arial"/>
                <w:sz w:val="18"/>
                <w:szCs w:val="18"/>
              </w:rPr>
            </w:pPr>
            <w:r w:rsidRPr="00412894">
              <w:rPr>
                <w:bCs/>
                <w:sz w:val="18"/>
                <w:szCs w:val="18"/>
                <w:lang w:eastAsia="en-GB"/>
              </w:rPr>
              <w:t>3.98</w:t>
            </w:r>
          </w:p>
        </w:tc>
        <w:tc>
          <w:tcPr>
            <w:tcW w:w="784" w:type="pct"/>
            <w:shd w:val="clear" w:color="auto" w:fill="auto"/>
            <w:vAlign w:val="center"/>
          </w:tcPr>
          <w:p w14:paraId="1DCB0609" w14:textId="77777777" w:rsidR="00C47639" w:rsidRPr="008D08E6" w:rsidRDefault="00C47639" w:rsidP="00C47639">
            <w:pPr>
              <w:pStyle w:val="Standaard-Tabellen"/>
              <w:rPr>
                <w:szCs w:val="18"/>
                <w:lang w:eastAsia="en-US"/>
              </w:rPr>
            </w:pPr>
            <w:r w:rsidRPr="00973BCE">
              <w:rPr>
                <w:szCs w:val="18"/>
                <w:lang w:eastAsia="en-US"/>
              </w:rPr>
              <w:t>79.59</w:t>
            </w:r>
          </w:p>
        </w:tc>
        <w:tc>
          <w:tcPr>
            <w:tcW w:w="704" w:type="pct"/>
            <w:shd w:val="clear" w:color="auto" w:fill="auto"/>
            <w:vAlign w:val="center"/>
          </w:tcPr>
          <w:p w14:paraId="10B3477C" w14:textId="77777777" w:rsidR="00C47639" w:rsidRPr="008D08E6" w:rsidRDefault="00C47639" w:rsidP="00C47639">
            <w:pPr>
              <w:pStyle w:val="Standaard-Tabellen"/>
              <w:rPr>
                <w:szCs w:val="18"/>
                <w:lang w:eastAsia="en-US"/>
              </w:rPr>
            </w:pPr>
            <w:r w:rsidRPr="008D08E6">
              <w:rPr>
                <w:szCs w:val="18"/>
                <w:lang w:eastAsia="en-US"/>
              </w:rPr>
              <w:t>Yes</w:t>
            </w:r>
          </w:p>
        </w:tc>
      </w:tr>
      <w:tr w:rsidR="00C47639" w:rsidRPr="00FD2055" w14:paraId="4CB71B6C" w14:textId="77777777" w:rsidTr="00C47639">
        <w:tc>
          <w:tcPr>
            <w:tcW w:w="785" w:type="pct"/>
            <w:shd w:val="clear" w:color="auto" w:fill="auto"/>
          </w:tcPr>
          <w:p w14:paraId="0F300141" w14:textId="77777777" w:rsidR="00C47639" w:rsidRDefault="00C47639" w:rsidP="00C47639">
            <w:pPr>
              <w:pStyle w:val="Standaard-Tabellen"/>
              <w:rPr>
                <w:szCs w:val="18"/>
                <w:lang w:eastAsia="en-US"/>
              </w:rPr>
            </w:pPr>
            <w:r w:rsidRPr="0091532F">
              <w:rPr>
                <w:szCs w:val="18"/>
                <w:lang w:eastAsia="en-US"/>
              </w:rPr>
              <w:t>Scenario 1</w:t>
            </w:r>
            <w:r>
              <w:rPr>
                <w:szCs w:val="18"/>
                <w:lang w:eastAsia="en-US"/>
              </w:rPr>
              <w:t>+2</w:t>
            </w:r>
            <w:r w:rsidRPr="0091532F">
              <w:rPr>
                <w:szCs w:val="18"/>
                <w:lang w:eastAsia="en-US"/>
              </w:rPr>
              <w:t>,  child</w:t>
            </w:r>
            <w:r>
              <w:rPr>
                <w:szCs w:val="18"/>
                <w:lang w:eastAsia="en-US"/>
              </w:rPr>
              <w:t xml:space="preserve"> (2-6),</w:t>
            </w:r>
          </w:p>
          <w:p w14:paraId="3FACDBCD" w14:textId="77777777" w:rsidR="00C47639" w:rsidRPr="0091532F" w:rsidRDefault="00C47639" w:rsidP="00C47639">
            <w:pPr>
              <w:pStyle w:val="Standaard-Tabellen"/>
              <w:rPr>
                <w:szCs w:val="18"/>
              </w:rPr>
            </w:pPr>
            <w:r>
              <w:rPr>
                <w:szCs w:val="18"/>
              </w:rPr>
              <w:t>1</w:t>
            </w:r>
            <w:r w:rsidRPr="008D08E6">
              <w:rPr>
                <w:szCs w:val="18"/>
              </w:rPr>
              <w:t xml:space="preserve"> </w:t>
            </w:r>
            <w:proofErr w:type="spellStart"/>
            <w:r w:rsidRPr="008D08E6">
              <w:rPr>
                <w:szCs w:val="18"/>
              </w:rPr>
              <w:t>appl</w:t>
            </w:r>
            <w:proofErr w:type="spellEnd"/>
            <w:r w:rsidRPr="008D08E6">
              <w:rPr>
                <w:szCs w:val="18"/>
              </w:rPr>
              <w:t>/d</w:t>
            </w:r>
          </w:p>
        </w:tc>
        <w:tc>
          <w:tcPr>
            <w:tcW w:w="575" w:type="pct"/>
            <w:tcBorders>
              <w:bottom w:val="double" w:sz="4" w:space="0" w:color="auto"/>
            </w:tcBorders>
            <w:shd w:val="clear" w:color="auto" w:fill="auto"/>
          </w:tcPr>
          <w:p w14:paraId="6579225C" w14:textId="77777777" w:rsidR="00C47639" w:rsidRPr="0091532F" w:rsidRDefault="00C47639" w:rsidP="00C47639">
            <w:pPr>
              <w:pStyle w:val="Standaard-Tabellen"/>
              <w:rPr>
                <w:szCs w:val="18"/>
              </w:rPr>
            </w:pPr>
            <w:r>
              <w:rPr>
                <w:szCs w:val="18"/>
                <w:lang w:eastAsia="en-US"/>
              </w:rPr>
              <w:t>2</w:t>
            </w:r>
          </w:p>
        </w:tc>
        <w:tc>
          <w:tcPr>
            <w:tcW w:w="638" w:type="pct"/>
            <w:tcBorders>
              <w:bottom w:val="double" w:sz="4" w:space="0" w:color="auto"/>
            </w:tcBorders>
            <w:shd w:val="clear" w:color="auto" w:fill="auto"/>
          </w:tcPr>
          <w:p w14:paraId="732809EC" w14:textId="77777777" w:rsidR="00C47639" w:rsidRDefault="00C47639" w:rsidP="00C47639">
            <w:pPr>
              <w:pStyle w:val="Standaard-Tabellen"/>
              <w:rPr>
                <w:szCs w:val="18"/>
                <w:lang w:eastAsia="en-US"/>
              </w:rPr>
            </w:pPr>
            <w:r>
              <w:rPr>
                <w:szCs w:val="18"/>
                <w:lang w:eastAsia="en-US"/>
              </w:rPr>
              <w:t>500</w:t>
            </w:r>
          </w:p>
        </w:tc>
        <w:tc>
          <w:tcPr>
            <w:tcW w:w="813" w:type="pct"/>
            <w:tcBorders>
              <w:bottom w:val="double" w:sz="4" w:space="0" w:color="auto"/>
            </w:tcBorders>
            <w:shd w:val="clear" w:color="auto" w:fill="auto"/>
          </w:tcPr>
          <w:p w14:paraId="62118F27" w14:textId="77777777" w:rsidR="00C47639" w:rsidRDefault="00C47639" w:rsidP="00C47639">
            <w:pPr>
              <w:pStyle w:val="Standaard-Tabellen"/>
              <w:rPr>
                <w:szCs w:val="18"/>
                <w:lang w:eastAsia="en-US"/>
              </w:rPr>
            </w:pPr>
            <w:r>
              <w:rPr>
                <w:szCs w:val="18"/>
                <w:lang w:eastAsia="en-US"/>
              </w:rPr>
              <w:t>5</w:t>
            </w:r>
          </w:p>
        </w:tc>
        <w:tc>
          <w:tcPr>
            <w:tcW w:w="701" w:type="pct"/>
            <w:tcBorders>
              <w:bottom w:val="double" w:sz="4" w:space="0" w:color="auto"/>
            </w:tcBorders>
            <w:shd w:val="clear" w:color="auto" w:fill="auto"/>
            <w:vAlign w:val="center"/>
          </w:tcPr>
          <w:p w14:paraId="56ADC513" w14:textId="77777777" w:rsidR="00C47639" w:rsidRPr="00412894" w:rsidRDefault="00C47639" w:rsidP="00C47639">
            <w:pPr>
              <w:spacing w:line="276" w:lineRule="auto"/>
              <w:rPr>
                <w:rFonts w:cs="Arial"/>
                <w:sz w:val="18"/>
                <w:szCs w:val="18"/>
              </w:rPr>
            </w:pPr>
            <w:r w:rsidRPr="00412894">
              <w:rPr>
                <w:bCs/>
                <w:sz w:val="18"/>
                <w:szCs w:val="18"/>
                <w:lang w:eastAsia="en-GB"/>
              </w:rPr>
              <w:t>4.51</w:t>
            </w:r>
          </w:p>
        </w:tc>
        <w:tc>
          <w:tcPr>
            <w:tcW w:w="784" w:type="pct"/>
            <w:tcBorders>
              <w:bottom w:val="double" w:sz="4" w:space="0" w:color="auto"/>
            </w:tcBorders>
            <w:shd w:val="clear" w:color="auto" w:fill="auto"/>
            <w:vAlign w:val="center"/>
          </w:tcPr>
          <w:p w14:paraId="636E580C" w14:textId="77777777" w:rsidR="00C47639" w:rsidRPr="008D08E6" w:rsidRDefault="00C47639" w:rsidP="00C47639">
            <w:pPr>
              <w:pStyle w:val="Standaard-Tabellen"/>
              <w:rPr>
                <w:szCs w:val="18"/>
                <w:lang w:eastAsia="en-US"/>
              </w:rPr>
            </w:pPr>
            <w:r w:rsidRPr="00973BCE">
              <w:rPr>
                <w:szCs w:val="18"/>
                <w:lang w:eastAsia="en-US"/>
              </w:rPr>
              <w:t>90.18</w:t>
            </w:r>
          </w:p>
        </w:tc>
        <w:tc>
          <w:tcPr>
            <w:tcW w:w="704" w:type="pct"/>
            <w:tcBorders>
              <w:bottom w:val="double" w:sz="4" w:space="0" w:color="auto"/>
            </w:tcBorders>
            <w:shd w:val="clear" w:color="auto" w:fill="auto"/>
            <w:vAlign w:val="center"/>
          </w:tcPr>
          <w:p w14:paraId="1B349EA7" w14:textId="77777777" w:rsidR="00C47639" w:rsidRPr="008D08E6" w:rsidRDefault="00C47639" w:rsidP="00C47639">
            <w:pPr>
              <w:pStyle w:val="Standaard-Tabellen"/>
              <w:rPr>
                <w:szCs w:val="18"/>
                <w:lang w:eastAsia="en-US"/>
              </w:rPr>
            </w:pPr>
            <w:r w:rsidRPr="008D08E6">
              <w:rPr>
                <w:szCs w:val="18"/>
                <w:lang w:eastAsia="en-US"/>
              </w:rPr>
              <w:t>Yes</w:t>
            </w:r>
          </w:p>
        </w:tc>
      </w:tr>
      <w:tr w:rsidR="00C47639" w:rsidRPr="00FD2055" w14:paraId="45DEACCB" w14:textId="77777777" w:rsidTr="00C47639">
        <w:tc>
          <w:tcPr>
            <w:tcW w:w="785" w:type="pct"/>
            <w:tcBorders>
              <w:top w:val="double" w:sz="4" w:space="0" w:color="auto"/>
              <w:bottom w:val="single" w:sz="18" w:space="0" w:color="auto"/>
            </w:tcBorders>
            <w:shd w:val="clear" w:color="auto" w:fill="auto"/>
          </w:tcPr>
          <w:p w14:paraId="27A3E543" w14:textId="77777777" w:rsidR="00C47639" w:rsidRPr="008D08E6" w:rsidRDefault="00C47639" w:rsidP="00C47639">
            <w:pPr>
              <w:pStyle w:val="Standaard-Tabellen"/>
              <w:rPr>
                <w:szCs w:val="18"/>
                <w:lang w:eastAsia="en-US"/>
              </w:rPr>
            </w:pPr>
            <w:r w:rsidRPr="008D08E6">
              <w:rPr>
                <w:szCs w:val="18"/>
                <w:lang w:eastAsia="en-US"/>
              </w:rPr>
              <w:t xml:space="preserve">Scenario 1+2, adult, </w:t>
            </w:r>
          </w:p>
          <w:p w14:paraId="559F0BD0" w14:textId="77777777" w:rsidR="00C47639" w:rsidRPr="0091532F" w:rsidRDefault="00C47639" w:rsidP="00C47639">
            <w:pPr>
              <w:pStyle w:val="Standaard-Tabellen"/>
              <w:rPr>
                <w:szCs w:val="18"/>
              </w:rPr>
            </w:pPr>
            <w:r>
              <w:rPr>
                <w:szCs w:val="18"/>
                <w:lang w:eastAsia="en-US"/>
              </w:rPr>
              <w:t>1</w:t>
            </w:r>
            <w:r w:rsidRPr="008D08E6">
              <w:rPr>
                <w:szCs w:val="18"/>
                <w:lang w:eastAsia="en-US"/>
              </w:rPr>
              <w:t xml:space="preserve"> </w:t>
            </w:r>
            <w:proofErr w:type="spellStart"/>
            <w:r w:rsidRPr="008D08E6">
              <w:rPr>
                <w:szCs w:val="18"/>
                <w:lang w:eastAsia="en-US"/>
              </w:rPr>
              <w:t>appl</w:t>
            </w:r>
            <w:proofErr w:type="spellEnd"/>
            <w:r w:rsidRPr="008D08E6">
              <w:rPr>
                <w:szCs w:val="18"/>
                <w:lang w:eastAsia="en-US"/>
              </w:rPr>
              <w:t>/d</w:t>
            </w:r>
          </w:p>
        </w:tc>
        <w:tc>
          <w:tcPr>
            <w:tcW w:w="575" w:type="pct"/>
            <w:tcBorders>
              <w:top w:val="double" w:sz="4" w:space="0" w:color="auto"/>
              <w:bottom w:val="single" w:sz="18" w:space="0" w:color="auto"/>
            </w:tcBorders>
            <w:shd w:val="clear" w:color="auto" w:fill="auto"/>
          </w:tcPr>
          <w:p w14:paraId="5195078C" w14:textId="77777777" w:rsidR="00C47639" w:rsidRPr="0091532F" w:rsidRDefault="00C47639" w:rsidP="00C47639">
            <w:pPr>
              <w:pStyle w:val="Standaard-Tabellen"/>
              <w:rPr>
                <w:szCs w:val="18"/>
              </w:rPr>
            </w:pPr>
            <w:r>
              <w:rPr>
                <w:szCs w:val="18"/>
                <w:lang w:eastAsia="en-US"/>
              </w:rPr>
              <w:t>3</w:t>
            </w:r>
          </w:p>
        </w:tc>
        <w:tc>
          <w:tcPr>
            <w:tcW w:w="638" w:type="pct"/>
            <w:tcBorders>
              <w:top w:val="double" w:sz="4" w:space="0" w:color="auto"/>
              <w:bottom w:val="single" w:sz="18" w:space="0" w:color="auto"/>
            </w:tcBorders>
            <w:shd w:val="clear" w:color="auto" w:fill="auto"/>
          </w:tcPr>
          <w:p w14:paraId="5D4F6FA8" w14:textId="77777777" w:rsidR="00C47639" w:rsidRDefault="00C47639" w:rsidP="00C47639">
            <w:pPr>
              <w:pStyle w:val="Standaard-Tabellen"/>
              <w:rPr>
                <w:szCs w:val="18"/>
                <w:lang w:eastAsia="en-US"/>
              </w:rPr>
            </w:pPr>
            <w:r>
              <w:rPr>
                <w:szCs w:val="18"/>
                <w:lang w:eastAsia="en-US"/>
              </w:rPr>
              <w:t>500</w:t>
            </w:r>
          </w:p>
        </w:tc>
        <w:tc>
          <w:tcPr>
            <w:tcW w:w="813" w:type="pct"/>
            <w:tcBorders>
              <w:top w:val="double" w:sz="4" w:space="0" w:color="auto"/>
              <w:bottom w:val="single" w:sz="18" w:space="0" w:color="auto"/>
            </w:tcBorders>
            <w:shd w:val="clear" w:color="auto" w:fill="auto"/>
          </w:tcPr>
          <w:p w14:paraId="4B7B6C27" w14:textId="77777777" w:rsidR="00C47639" w:rsidRDefault="00C47639" w:rsidP="00C47639">
            <w:pPr>
              <w:pStyle w:val="Standaard-Tabellen"/>
              <w:rPr>
                <w:szCs w:val="18"/>
                <w:lang w:eastAsia="en-US"/>
              </w:rPr>
            </w:pPr>
            <w:r>
              <w:rPr>
                <w:szCs w:val="18"/>
                <w:lang w:eastAsia="en-US"/>
              </w:rPr>
              <w:t>5</w:t>
            </w:r>
          </w:p>
        </w:tc>
        <w:tc>
          <w:tcPr>
            <w:tcW w:w="701" w:type="pct"/>
            <w:tcBorders>
              <w:top w:val="double" w:sz="4" w:space="0" w:color="auto"/>
              <w:bottom w:val="single" w:sz="18" w:space="0" w:color="auto"/>
            </w:tcBorders>
            <w:shd w:val="clear" w:color="auto" w:fill="auto"/>
            <w:vAlign w:val="center"/>
          </w:tcPr>
          <w:p w14:paraId="58F0F220" w14:textId="77777777" w:rsidR="00C47639" w:rsidRPr="00412894" w:rsidRDefault="00C47639" w:rsidP="00C47639">
            <w:pPr>
              <w:spacing w:line="276" w:lineRule="auto"/>
              <w:rPr>
                <w:rFonts w:cs="Arial"/>
                <w:sz w:val="18"/>
                <w:szCs w:val="18"/>
              </w:rPr>
            </w:pPr>
            <w:r w:rsidRPr="00412894">
              <w:rPr>
                <w:bCs/>
                <w:sz w:val="18"/>
                <w:szCs w:val="18"/>
                <w:lang w:eastAsia="en-GB"/>
              </w:rPr>
              <w:t>2.86</w:t>
            </w:r>
          </w:p>
        </w:tc>
        <w:tc>
          <w:tcPr>
            <w:tcW w:w="784" w:type="pct"/>
            <w:tcBorders>
              <w:top w:val="double" w:sz="4" w:space="0" w:color="auto"/>
              <w:bottom w:val="single" w:sz="18" w:space="0" w:color="auto"/>
            </w:tcBorders>
            <w:shd w:val="clear" w:color="auto" w:fill="auto"/>
            <w:vAlign w:val="center"/>
          </w:tcPr>
          <w:p w14:paraId="2E85AD49" w14:textId="77777777" w:rsidR="00C47639" w:rsidRPr="008D08E6" w:rsidRDefault="00C47639" w:rsidP="00C47639">
            <w:pPr>
              <w:pStyle w:val="Standaard-Tabellen"/>
              <w:rPr>
                <w:szCs w:val="18"/>
                <w:lang w:eastAsia="en-US"/>
              </w:rPr>
            </w:pPr>
            <w:r w:rsidRPr="00973BCE">
              <w:rPr>
                <w:szCs w:val="18"/>
                <w:lang w:eastAsia="en-US"/>
              </w:rPr>
              <w:t>57.15</w:t>
            </w:r>
          </w:p>
        </w:tc>
        <w:tc>
          <w:tcPr>
            <w:tcW w:w="704" w:type="pct"/>
            <w:tcBorders>
              <w:top w:val="double" w:sz="4" w:space="0" w:color="auto"/>
              <w:bottom w:val="single" w:sz="18" w:space="0" w:color="auto"/>
            </w:tcBorders>
            <w:shd w:val="clear" w:color="auto" w:fill="auto"/>
            <w:vAlign w:val="center"/>
          </w:tcPr>
          <w:p w14:paraId="5955A66E" w14:textId="77777777" w:rsidR="00C47639" w:rsidRPr="008D08E6" w:rsidRDefault="00C47639" w:rsidP="00C47639">
            <w:pPr>
              <w:pStyle w:val="Standaard-Tabellen"/>
              <w:rPr>
                <w:szCs w:val="18"/>
                <w:lang w:eastAsia="en-US"/>
              </w:rPr>
            </w:pPr>
            <w:r w:rsidRPr="008D08E6">
              <w:rPr>
                <w:szCs w:val="18"/>
                <w:lang w:eastAsia="en-US"/>
              </w:rPr>
              <w:t>Yes</w:t>
            </w:r>
          </w:p>
        </w:tc>
      </w:tr>
    </w:tbl>
    <w:p w14:paraId="0A97B1A1" w14:textId="77777777" w:rsidR="00C47639" w:rsidRPr="00FD2055" w:rsidRDefault="00C47639" w:rsidP="00C47639"/>
    <w:p w14:paraId="788624B5" w14:textId="77777777" w:rsidR="00C47639" w:rsidRPr="008A3D8E" w:rsidRDefault="00C47639" w:rsidP="00C47639">
      <w:pPr>
        <w:pStyle w:val="Titre6"/>
        <w:rPr>
          <w:lang w:val="en-US"/>
        </w:rPr>
      </w:pPr>
      <w:r w:rsidRPr="008A3D8E">
        <w:rPr>
          <w:lang w:val="en-US"/>
        </w:rPr>
        <w:t xml:space="preserve">Local effects </w:t>
      </w:r>
    </w:p>
    <w:p w14:paraId="4D3B2EEF" w14:textId="4AAC9BB7" w:rsidR="00C47639" w:rsidRPr="00837CC1" w:rsidRDefault="00C47639" w:rsidP="00C47639">
      <w:pPr>
        <w:rPr>
          <w:sz w:val="18"/>
          <w:szCs w:val="18"/>
        </w:rPr>
      </w:pPr>
      <w:r>
        <w:rPr>
          <w:szCs w:val="18"/>
        </w:rPr>
        <w:t>The biocidal product is classified</w:t>
      </w:r>
      <w:r w:rsidRPr="00347CC0">
        <w:rPr>
          <w:szCs w:val="18"/>
        </w:rPr>
        <w:t xml:space="preserve"> as </w:t>
      </w:r>
      <w:r>
        <w:t>eye damage/irritation cat 2, H319. However, appropriate risk mitigation measures will be imposed and taken up on the label: ‘</w:t>
      </w:r>
      <w:r w:rsidRPr="005771A6">
        <w:rPr>
          <w:rFonts w:cs="Times"/>
          <w:bCs/>
          <w:szCs w:val="29"/>
        </w:rPr>
        <w:t xml:space="preserve">Do not spray into the eyes or apply to eye area. </w:t>
      </w:r>
      <w:r w:rsidRPr="000E5479">
        <w:t xml:space="preserve">An adult should apply the product to children below </w:t>
      </w:r>
      <w:r>
        <w:t>1</w:t>
      </w:r>
      <w:r w:rsidR="00DE6C70">
        <w:t>2</w:t>
      </w:r>
      <w:r w:rsidRPr="000E5479">
        <w:t xml:space="preserve"> years of age. </w:t>
      </w:r>
      <w:r w:rsidRPr="005771A6">
        <w:rPr>
          <w:rFonts w:cs="Times"/>
          <w:bCs/>
          <w:szCs w:val="29"/>
        </w:rPr>
        <w:t>Do not use on children’s hands.</w:t>
      </w:r>
      <w:r>
        <w:t xml:space="preserve">’ Consequently, </w:t>
      </w:r>
      <w:r w:rsidRPr="00347CC0">
        <w:rPr>
          <w:szCs w:val="18"/>
        </w:rPr>
        <w:t>there is no need to consider local effects separately</w:t>
      </w:r>
      <w:r>
        <w:rPr>
          <w:szCs w:val="18"/>
        </w:rPr>
        <w:t>.</w:t>
      </w:r>
    </w:p>
    <w:p w14:paraId="72847856" w14:textId="77777777" w:rsidR="00C47639" w:rsidRPr="00FD2055" w:rsidRDefault="00C47639" w:rsidP="00C47639"/>
    <w:p w14:paraId="5F098290" w14:textId="77777777" w:rsidR="00C47639" w:rsidRPr="008A3D8E" w:rsidRDefault="00C47639" w:rsidP="00C47639">
      <w:pPr>
        <w:pStyle w:val="Titre6"/>
        <w:rPr>
          <w:lang w:val="en-US"/>
        </w:rPr>
      </w:pPr>
      <w:r w:rsidRPr="008A3D8E">
        <w:rPr>
          <w:lang w:val="en-US"/>
        </w:rPr>
        <w:t>Conclusion</w:t>
      </w:r>
    </w:p>
    <w:p w14:paraId="0AE2A9F4" w14:textId="77777777" w:rsidR="00C47639" w:rsidRPr="0027501E" w:rsidRDefault="00C47639" w:rsidP="00C47639">
      <w:r>
        <w:t>S</w:t>
      </w:r>
      <w:r w:rsidRPr="0027501E">
        <w:t>afe uses</w:t>
      </w:r>
      <w:r>
        <w:t xml:space="preserve"> are identified for</w:t>
      </w:r>
      <w:r w:rsidRPr="0027501E">
        <w:t xml:space="preserve"> this product</w:t>
      </w:r>
      <w:r>
        <w:t>, Insect Repellent Pump Spray IR3535</w:t>
      </w:r>
      <w:r w:rsidRPr="0027501E">
        <w:rPr>
          <w:vertAlign w:val="superscript"/>
        </w:rPr>
        <w:t>®</w:t>
      </w:r>
      <w:r w:rsidRPr="00C903B8">
        <w:t xml:space="preserve"> 20</w:t>
      </w:r>
      <w:proofErr w:type="gramStart"/>
      <w:r w:rsidRPr="00C903B8">
        <w:t>%</w:t>
      </w:r>
      <w:r>
        <w:t xml:space="preserve"> </w:t>
      </w:r>
      <w:r w:rsidRPr="0027501E">
        <w:t>:</w:t>
      </w:r>
      <w:proofErr w:type="gramEnd"/>
      <w:r w:rsidRPr="0027501E">
        <w:t xml:space="preserve"> </w:t>
      </w:r>
    </w:p>
    <w:p w14:paraId="349EAEBD" w14:textId="77777777" w:rsidR="00C47639" w:rsidRDefault="00C47639" w:rsidP="00C47639">
      <w:pPr>
        <w:pStyle w:val="Paragraphedeliste"/>
        <w:numPr>
          <w:ilvl w:val="0"/>
          <w:numId w:val="12"/>
        </w:numPr>
      </w:pPr>
      <w:proofErr w:type="gramStart"/>
      <w:r w:rsidRPr="00412894">
        <w:t>for</w:t>
      </w:r>
      <w:proofErr w:type="gramEnd"/>
      <w:r w:rsidRPr="00412894">
        <w:t xml:space="preserve"> adult, children and toddler </w:t>
      </w:r>
      <w:r>
        <w:t>when t</w:t>
      </w:r>
      <w:r w:rsidRPr="0027501E">
        <w:t xml:space="preserve">he product is applied </w:t>
      </w:r>
      <w:r w:rsidRPr="0027501E">
        <w:rPr>
          <w:b/>
          <w:u w:val="single"/>
        </w:rPr>
        <w:t>once per day</w:t>
      </w:r>
      <w:r w:rsidRPr="0027501E">
        <w:t xml:space="preserve">. </w:t>
      </w:r>
    </w:p>
    <w:p w14:paraId="46A24BDF" w14:textId="77777777" w:rsidR="00C47639" w:rsidRDefault="00C47639" w:rsidP="00C47639">
      <w:pPr>
        <w:pStyle w:val="Paragraphedeliste"/>
        <w:numPr>
          <w:ilvl w:val="0"/>
          <w:numId w:val="12"/>
        </w:numPr>
      </w:pPr>
      <w:r w:rsidRPr="0027501E">
        <w:t xml:space="preserve">There is </w:t>
      </w:r>
      <w:r w:rsidRPr="0027501E">
        <w:rPr>
          <w:b/>
        </w:rPr>
        <w:t xml:space="preserve">no safe use for infants. </w:t>
      </w:r>
      <w:r w:rsidRPr="0027501E">
        <w:t>The product should not be applied on child below 1 year old.</w:t>
      </w:r>
    </w:p>
    <w:p w14:paraId="5B45813A" w14:textId="77777777" w:rsidR="00C47639" w:rsidRPr="0027501E" w:rsidRDefault="00C47639" w:rsidP="00C47639">
      <w:pPr>
        <w:rPr>
          <w:highlight w:val="yellow"/>
        </w:rPr>
      </w:pPr>
    </w:p>
    <w:p w14:paraId="147B7866" w14:textId="77777777" w:rsidR="00C47639" w:rsidRPr="00311002" w:rsidRDefault="00C47639" w:rsidP="00C47639">
      <w:r w:rsidRPr="00412894">
        <w:t xml:space="preserve">There is no concern for indirect </w:t>
      </w:r>
      <w:r w:rsidRPr="00973BCE">
        <w:t>secondary exposure for adults, children and infants from</w:t>
      </w:r>
      <w:r w:rsidRPr="00311002">
        <w:t xml:space="preserve"> the use of the biocidal product as a Repellent Subtype PT19.01.  Exposure via hand-to-mouth transfer is of minor concern when the product is used as intended (not to be applied to children’s hands), and inhalation of volatilized residues after application is limited. Secondary exposure for a parent applying (spraying) the product on children and herself/himself is minor compared to primary dermal exposure.</w:t>
      </w:r>
    </w:p>
    <w:p w14:paraId="5FC68ADD" w14:textId="77777777" w:rsidR="00C47639" w:rsidRPr="0027501E" w:rsidRDefault="00C47639" w:rsidP="00C47639"/>
    <w:p w14:paraId="5ECA27C2" w14:textId="77777777" w:rsidR="00C47639" w:rsidRPr="00311002" w:rsidRDefault="00C47639" w:rsidP="00C47639">
      <w:r w:rsidRPr="00412894">
        <w:t>Proper use, i.e. use in compliance with corr</w:t>
      </w:r>
      <w:r w:rsidRPr="00973BCE">
        <w:t>ect and complete conditions on the label, of Insect Repellent Pump Spray IR3535</w:t>
      </w:r>
      <w:r w:rsidRPr="00311002">
        <w:rPr>
          <w:vertAlign w:val="superscript"/>
        </w:rPr>
        <w:t>®</w:t>
      </w:r>
      <w:r w:rsidRPr="00311002">
        <w:t xml:space="preserve"> 20% is considered safe for adults and children. </w:t>
      </w:r>
    </w:p>
    <w:p w14:paraId="0C6437C3" w14:textId="77777777" w:rsidR="00C47639" w:rsidRPr="0027501E" w:rsidRDefault="00C47639" w:rsidP="00C47639"/>
    <w:p w14:paraId="7BBBF819" w14:textId="77777777" w:rsidR="00C47639" w:rsidRPr="00412894" w:rsidRDefault="00C47639" w:rsidP="00C47639">
      <w:r w:rsidRPr="00412894">
        <w:t>The following RMM are required:</w:t>
      </w:r>
    </w:p>
    <w:p w14:paraId="7529C320" w14:textId="77777777" w:rsidR="00C47639" w:rsidRPr="00311002" w:rsidRDefault="00C47639" w:rsidP="00C47639">
      <w:pPr>
        <w:pStyle w:val="Paragraphedeliste"/>
        <w:numPr>
          <w:ilvl w:val="0"/>
          <w:numId w:val="11"/>
        </w:numPr>
        <w:rPr>
          <w:lang w:eastAsia="fi-FI"/>
        </w:rPr>
      </w:pPr>
      <w:r w:rsidRPr="00973BCE">
        <w:rPr>
          <w:lang w:eastAsia="fi-FI"/>
        </w:rPr>
        <w:t>Use repellent safely. Always read the label and product information before use.</w:t>
      </w:r>
    </w:p>
    <w:p w14:paraId="5E2FA021" w14:textId="77777777" w:rsidR="00C47639" w:rsidRPr="00311002" w:rsidRDefault="00C47639" w:rsidP="00C47639">
      <w:pPr>
        <w:pStyle w:val="Paragraphedeliste"/>
        <w:numPr>
          <w:ilvl w:val="0"/>
          <w:numId w:val="11"/>
        </w:numPr>
        <w:rPr>
          <w:lang w:eastAsia="fi-FI"/>
        </w:rPr>
      </w:pPr>
      <w:r w:rsidRPr="00311002">
        <w:rPr>
          <w:lang w:eastAsia="fi-FI"/>
        </w:rPr>
        <w:t xml:space="preserve">Suitable for children older than 1 year. Keep out of reach of children. Avoid breathing </w:t>
      </w:r>
      <w:proofErr w:type="spellStart"/>
      <w:r w:rsidRPr="00311002">
        <w:rPr>
          <w:lang w:eastAsia="fi-FI"/>
        </w:rPr>
        <w:t>vapours</w:t>
      </w:r>
      <w:proofErr w:type="spellEnd"/>
      <w:r w:rsidRPr="00311002">
        <w:rPr>
          <w:lang w:eastAsia="fi-FI"/>
        </w:rPr>
        <w:t xml:space="preserve">/spray. Use only outdoors or in a well-ventilated area.  </w:t>
      </w:r>
    </w:p>
    <w:p w14:paraId="641EF56B" w14:textId="773F0B72" w:rsidR="00C47639" w:rsidRPr="00311002" w:rsidRDefault="00C47639" w:rsidP="00C47639">
      <w:pPr>
        <w:pStyle w:val="Paragraphedeliste"/>
        <w:numPr>
          <w:ilvl w:val="0"/>
          <w:numId w:val="11"/>
        </w:numPr>
        <w:rPr>
          <w:rFonts w:cs="Times"/>
          <w:bCs/>
          <w:szCs w:val="29"/>
        </w:rPr>
      </w:pPr>
      <w:r w:rsidRPr="007924A9">
        <w:rPr>
          <w:rFonts w:cs="Times"/>
          <w:bCs/>
          <w:szCs w:val="29"/>
        </w:rPr>
        <w:t xml:space="preserve">ONLY apply to </w:t>
      </w:r>
      <w:r>
        <w:rPr>
          <w:rFonts w:cs="Times"/>
          <w:bCs/>
          <w:szCs w:val="29"/>
        </w:rPr>
        <w:t>uncovered parts of the</w:t>
      </w:r>
      <w:r w:rsidRPr="007924A9">
        <w:rPr>
          <w:rFonts w:cs="Times"/>
          <w:bCs/>
          <w:szCs w:val="29"/>
        </w:rPr>
        <w:t xml:space="preserve"> arms, hands, legs, feet and face. </w:t>
      </w:r>
      <w:r w:rsidRPr="00412894">
        <w:t>For treatment of the face, spray the repellent solutio</w:t>
      </w:r>
      <w:r w:rsidRPr="00973BCE">
        <w:t xml:space="preserve">n onto the palm of the hand and distribute the solution over the skin of the face thereby taking care to protect the eyes. </w:t>
      </w:r>
      <w:r w:rsidRPr="00311002">
        <w:rPr>
          <w:rFonts w:cs="Times"/>
          <w:bCs/>
          <w:szCs w:val="29"/>
        </w:rPr>
        <w:t xml:space="preserve">Do not spray into the eyes or apply to eye area. </w:t>
      </w:r>
      <w:r w:rsidRPr="00311002">
        <w:t>An adult should apply the product to children below 1</w:t>
      </w:r>
      <w:r w:rsidR="00DE6C70">
        <w:t>2</w:t>
      </w:r>
      <w:r w:rsidRPr="00311002">
        <w:t xml:space="preserve"> years of age. </w:t>
      </w:r>
      <w:r w:rsidRPr="00311002">
        <w:rPr>
          <w:rFonts w:cs="Times"/>
          <w:bCs/>
          <w:szCs w:val="29"/>
        </w:rPr>
        <w:t>Do not use on children’s hands.</w:t>
      </w:r>
      <w:r w:rsidRPr="00311002">
        <w:t xml:space="preserve"> </w:t>
      </w:r>
      <w:r w:rsidRPr="00311002">
        <w:rPr>
          <w:rFonts w:cs="Times"/>
          <w:bCs/>
          <w:szCs w:val="29"/>
        </w:rPr>
        <w:t xml:space="preserve">Do not apply over cuts, wounds, freshly shaven or irritated skin. Do not use under clothing. </w:t>
      </w:r>
    </w:p>
    <w:p w14:paraId="12B9E523" w14:textId="77777777" w:rsidR="00C47639" w:rsidRPr="00311002" w:rsidRDefault="00C47639" w:rsidP="00C47639">
      <w:pPr>
        <w:pStyle w:val="Paragraphedeliste"/>
        <w:numPr>
          <w:ilvl w:val="0"/>
          <w:numId w:val="11"/>
        </w:numPr>
      </w:pPr>
      <w:r w:rsidRPr="00311002">
        <w:t>Maximum number of applications per day: once for</w:t>
      </w:r>
      <w:r>
        <w:t xml:space="preserve"> adults and</w:t>
      </w:r>
      <w:r w:rsidRPr="00412894">
        <w:t xml:space="preserve"> children</w:t>
      </w:r>
      <w:r>
        <w:t xml:space="preserve"> above 1 year</w:t>
      </w:r>
      <w:r w:rsidRPr="00311002">
        <w:t xml:space="preserve"> old. </w:t>
      </w:r>
      <w:r w:rsidRPr="00311002">
        <w:rPr>
          <w:rFonts w:cs="Times"/>
          <w:bCs/>
          <w:szCs w:val="29"/>
        </w:rPr>
        <w:t xml:space="preserve">Product can be used </w:t>
      </w:r>
      <w:r>
        <w:rPr>
          <w:rFonts w:cs="Times"/>
          <w:bCs/>
          <w:szCs w:val="29"/>
        </w:rPr>
        <w:t xml:space="preserve">only </w:t>
      </w:r>
      <w:r w:rsidRPr="00311002">
        <w:rPr>
          <w:rFonts w:cs="Times"/>
          <w:bCs/>
          <w:szCs w:val="29"/>
        </w:rPr>
        <w:t xml:space="preserve">for children older than 1 year. </w:t>
      </w:r>
    </w:p>
    <w:p w14:paraId="00982C56" w14:textId="77777777" w:rsidR="00C47639" w:rsidRPr="00311002" w:rsidRDefault="00C47639" w:rsidP="00C47639">
      <w:pPr>
        <w:pStyle w:val="Paragraphedeliste"/>
        <w:numPr>
          <w:ilvl w:val="0"/>
          <w:numId w:val="11"/>
        </w:numPr>
      </w:pPr>
      <w:r w:rsidRPr="00311002">
        <w:rPr>
          <w:rFonts w:cs="Times"/>
          <w:bCs/>
          <w:szCs w:val="29"/>
        </w:rPr>
        <w:t xml:space="preserve">Avoid contact with synthetic materials. </w:t>
      </w:r>
      <w:r w:rsidRPr="00311002">
        <w:t>Synthetic materials should be protected during spraying and the compatibility with textiles should be tested on a non-visible part of clothes before use.</w:t>
      </w:r>
    </w:p>
    <w:p w14:paraId="68E990B1" w14:textId="77777777" w:rsidR="00C47639" w:rsidRPr="00311002" w:rsidRDefault="00C47639" w:rsidP="00C47639">
      <w:pPr>
        <w:pStyle w:val="Paragraphedeliste"/>
        <w:numPr>
          <w:ilvl w:val="0"/>
          <w:numId w:val="11"/>
        </w:numPr>
      </w:pPr>
      <w:r w:rsidRPr="00311002">
        <w:t>Applying sun care products or cosmetic formulations after repellent use will decrease the efficacy of the repellent considerably.</w:t>
      </w:r>
    </w:p>
    <w:p w14:paraId="6360D202" w14:textId="77777777" w:rsidR="00C47639" w:rsidRPr="00FD2055" w:rsidRDefault="00C47639" w:rsidP="00C47639">
      <w:pPr>
        <w:pStyle w:val="Titre5"/>
      </w:pPr>
      <w:bookmarkStart w:id="232" w:name="_Toc389729092"/>
      <w:bookmarkStart w:id="233" w:name="_Toc403472778"/>
      <w:r>
        <w:br w:type="page"/>
      </w:r>
      <w:bookmarkStart w:id="234" w:name="_Toc532391112"/>
      <w:bookmarkStart w:id="235" w:name="_Toc8296526"/>
      <w:r w:rsidRPr="00FD2055">
        <w:lastRenderedPageBreak/>
        <w:t>Risk for the general public</w:t>
      </w:r>
      <w:bookmarkEnd w:id="232"/>
      <w:bookmarkEnd w:id="233"/>
      <w:bookmarkEnd w:id="234"/>
      <w:bookmarkEnd w:id="235"/>
      <w:r w:rsidRPr="00FD2055">
        <w:t xml:space="preserve"> </w:t>
      </w:r>
    </w:p>
    <w:p w14:paraId="146577C3" w14:textId="77777777" w:rsidR="00C47639" w:rsidRPr="00FD2055" w:rsidRDefault="00C47639" w:rsidP="00C47639">
      <w:pPr>
        <w:pStyle w:val="Titre6"/>
      </w:pPr>
      <w:proofErr w:type="spellStart"/>
      <w:r w:rsidRPr="00FD2055">
        <w:t>Systemic</w:t>
      </w:r>
      <w:proofErr w:type="spellEnd"/>
      <w:r w:rsidRPr="00FD2055">
        <w:t xml:space="preserve"> </w:t>
      </w:r>
      <w:proofErr w:type="spellStart"/>
      <w:r w:rsidRPr="00FD2055">
        <w:t>effects</w:t>
      </w:r>
      <w:proofErr w:type="spellEnd"/>
      <w:r w:rsidRPr="00FD20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610"/>
        <w:gridCol w:w="1500"/>
        <w:gridCol w:w="1195"/>
        <w:gridCol w:w="1599"/>
        <w:gridCol w:w="2082"/>
        <w:gridCol w:w="1323"/>
      </w:tblGrid>
      <w:tr w:rsidR="00C47639" w:rsidRPr="00015252" w14:paraId="1D12DF9B" w14:textId="77777777" w:rsidTr="00C47639">
        <w:tc>
          <w:tcPr>
            <w:tcW w:w="499" w:type="pct"/>
            <w:shd w:val="clear" w:color="auto" w:fill="BFBFBF" w:themeFill="background1" w:themeFillShade="BF"/>
          </w:tcPr>
          <w:p w14:paraId="13B02FEF" w14:textId="77777777" w:rsidR="00C47639" w:rsidRPr="00015252" w:rsidRDefault="00C47639" w:rsidP="00C47639">
            <w:pPr>
              <w:pStyle w:val="Standaard-Tabellen"/>
              <w:rPr>
                <w:b/>
              </w:rPr>
            </w:pPr>
            <w:r w:rsidRPr="00015252">
              <w:rPr>
                <w:b/>
              </w:rPr>
              <w:t>Task/</w:t>
            </w:r>
          </w:p>
          <w:p w14:paraId="692BB139" w14:textId="77777777" w:rsidR="00C47639" w:rsidRPr="00015252" w:rsidRDefault="00C47639" w:rsidP="00C47639">
            <w:pPr>
              <w:pStyle w:val="Standaard-Tabellen"/>
              <w:rPr>
                <w:b/>
              </w:rPr>
            </w:pPr>
            <w:r w:rsidRPr="00015252">
              <w:rPr>
                <w:b/>
              </w:rPr>
              <w:t>Scenario</w:t>
            </w:r>
          </w:p>
        </w:tc>
        <w:tc>
          <w:tcPr>
            <w:tcW w:w="279" w:type="pct"/>
            <w:shd w:val="clear" w:color="auto" w:fill="BFBFBF" w:themeFill="background1" w:themeFillShade="BF"/>
          </w:tcPr>
          <w:p w14:paraId="4C3AC9E6" w14:textId="77777777" w:rsidR="00C47639" w:rsidRPr="00015252" w:rsidRDefault="00C47639" w:rsidP="00C47639">
            <w:pPr>
              <w:pStyle w:val="Standaard-Tabellen"/>
              <w:rPr>
                <w:b/>
              </w:rPr>
            </w:pPr>
            <w:r w:rsidRPr="00015252">
              <w:rPr>
                <w:b/>
              </w:rPr>
              <w:t>Tier</w:t>
            </w:r>
          </w:p>
        </w:tc>
        <w:tc>
          <w:tcPr>
            <w:tcW w:w="855" w:type="pct"/>
            <w:shd w:val="clear" w:color="auto" w:fill="BFBFBF" w:themeFill="background1" w:themeFillShade="BF"/>
          </w:tcPr>
          <w:p w14:paraId="06604F81" w14:textId="77777777" w:rsidR="00C47639" w:rsidRPr="00015252" w:rsidRDefault="00C47639" w:rsidP="00C47639">
            <w:pPr>
              <w:pStyle w:val="Standaard-Tabellen"/>
              <w:rPr>
                <w:b/>
              </w:rPr>
            </w:pPr>
            <w:r w:rsidRPr="00015252">
              <w:rPr>
                <w:b/>
              </w:rPr>
              <w:t>Systemic NOAEL</w:t>
            </w:r>
          </w:p>
          <w:p w14:paraId="37D6BE43" w14:textId="77777777" w:rsidR="00C47639" w:rsidRPr="00015252" w:rsidRDefault="00C47639" w:rsidP="00C47639">
            <w:pPr>
              <w:pStyle w:val="Standaard-Tabellen"/>
              <w:rPr>
                <w:b/>
              </w:rPr>
            </w:pPr>
            <w:r w:rsidRPr="00015252">
              <w:rPr>
                <w:b/>
              </w:rPr>
              <w:t xml:space="preserve">mg/kg </w:t>
            </w:r>
            <w:proofErr w:type="spellStart"/>
            <w:r w:rsidRPr="00015252">
              <w:rPr>
                <w:b/>
              </w:rPr>
              <w:t>bw</w:t>
            </w:r>
            <w:proofErr w:type="spellEnd"/>
            <w:r w:rsidRPr="00015252">
              <w:rPr>
                <w:b/>
              </w:rPr>
              <w:t>/d</w:t>
            </w:r>
          </w:p>
        </w:tc>
        <w:tc>
          <w:tcPr>
            <w:tcW w:w="693" w:type="pct"/>
            <w:shd w:val="clear" w:color="auto" w:fill="BFBFBF" w:themeFill="background1" w:themeFillShade="BF"/>
          </w:tcPr>
          <w:p w14:paraId="444DE53C" w14:textId="77777777" w:rsidR="00C47639" w:rsidRPr="00015252" w:rsidRDefault="00C47639" w:rsidP="00C47639">
            <w:pPr>
              <w:pStyle w:val="Standaard-Tabellen"/>
              <w:rPr>
                <w:b/>
                <w:lang w:val="es-ES"/>
              </w:rPr>
            </w:pPr>
            <w:r w:rsidRPr="00015252">
              <w:rPr>
                <w:b/>
                <w:lang w:val="es-ES"/>
              </w:rPr>
              <w:t>AEL</w:t>
            </w:r>
          </w:p>
          <w:p w14:paraId="7B6000EA" w14:textId="77777777" w:rsidR="00C47639" w:rsidRPr="00015252" w:rsidRDefault="00C47639" w:rsidP="00C47639">
            <w:pPr>
              <w:pStyle w:val="Standaard-Tabellen"/>
              <w:rPr>
                <w:b/>
                <w:lang w:val="es-ES"/>
              </w:rPr>
            </w:pPr>
            <w:r w:rsidRPr="00015252">
              <w:rPr>
                <w:b/>
                <w:lang w:val="es-ES"/>
              </w:rPr>
              <w:t xml:space="preserve">mg/kg </w:t>
            </w:r>
            <w:proofErr w:type="spellStart"/>
            <w:r w:rsidRPr="00015252">
              <w:rPr>
                <w:b/>
                <w:lang w:val="es-ES"/>
              </w:rPr>
              <w:t>bw</w:t>
            </w:r>
            <w:proofErr w:type="spellEnd"/>
            <w:r w:rsidRPr="00015252">
              <w:rPr>
                <w:b/>
                <w:lang w:val="es-ES"/>
              </w:rPr>
              <w:t>/d</w:t>
            </w:r>
          </w:p>
        </w:tc>
        <w:tc>
          <w:tcPr>
            <w:tcW w:w="907" w:type="pct"/>
            <w:shd w:val="clear" w:color="auto" w:fill="BFBFBF" w:themeFill="background1" w:themeFillShade="BF"/>
          </w:tcPr>
          <w:p w14:paraId="2D101435" w14:textId="77777777" w:rsidR="00C47639" w:rsidRPr="00015252" w:rsidRDefault="00C47639" w:rsidP="00C47639">
            <w:pPr>
              <w:pStyle w:val="Standaard-Tabellen"/>
              <w:rPr>
                <w:b/>
              </w:rPr>
            </w:pPr>
            <w:r w:rsidRPr="00015252">
              <w:rPr>
                <w:b/>
              </w:rPr>
              <w:t>Estimated uptake</w:t>
            </w:r>
          </w:p>
          <w:p w14:paraId="5CE41131" w14:textId="77777777" w:rsidR="00C47639" w:rsidRPr="00015252" w:rsidRDefault="00C47639" w:rsidP="00C47639">
            <w:pPr>
              <w:pStyle w:val="Standaard-Tabellen"/>
              <w:rPr>
                <w:b/>
              </w:rPr>
            </w:pPr>
            <w:r w:rsidRPr="00015252">
              <w:rPr>
                <w:b/>
              </w:rPr>
              <w:t xml:space="preserve">mg/kg </w:t>
            </w:r>
            <w:proofErr w:type="spellStart"/>
            <w:r w:rsidRPr="00015252">
              <w:rPr>
                <w:b/>
              </w:rPr>
              <w:t>bw</w:t>
            </w:r>
            <w:proofErr w:type="spellEnd"/>
            <w:r w:rsidRPr="00015252">
              <w:rPr>
                <w:b/>
              </w:rPr>
              <w:t>/d</w:t>
            </w:r>
          </w:p>
        </w:tc>
        <w:tc>
          <w:tcPr>
            <w:tcW w:w="1164" w:type="pct"/>
            <w:shd w:val="clear" w:color="auto" w:fill="BFBFBF" w:themeFill="background1" w:themeFillShade="BF"/>
          </w:tcPr>
          <w:p w14:paraId="347459C5" w14:textId="77777777" w:rsidR="00C47639" w:rsidRPr="00015252" w:rsidRDefault="00C47639" w:rsidP="00C47639">
            <w:pPr>
              <w:pStyle w:val="Standaard-Tabellen"/>
              <w:rPr>
                <w:b/>
              </w:rPr>
            </w:pPr>
            <w:r w:rsidRPr="00015252">
              <w:rPr>
                <w:b/>
              </w:rPr>
              <w:t xml:space="preserve">Estimated uptake/ AEL </w:t>
            </w:r>
          </w:p>
          <w:p w14:paraId="6EA4B3A7" w14:textId="77777777" w:rsidR="00C47639" w:rsidRPr="00015252" w:rsidRDefault="00C47639" w:rsidP="00C47639">
            <w:pPr>
              <w:pStyle w:val="Standaard-Tabellen"/>
              <w:rPr>
                <w:b/>
              </w:rPr>
            </w:pPr>
            <w:r w:rsidRPr="00015252">
              <w:rPr>
                <w:b/>
              </w:rPr>
              <w:t>(%)</w:t>
            </w:r>
          </w:p>
        </w:tc>
        <w:tc>
          <w:tcPr>
            <w:tcW w:w="604" w:type="pct"/>
            <w:shd w:val="clear" w:color="auto" w:fill="BFBFBF" w:themeFill="background1" w:themeFillShade="BF"/>
          </w:tcPr>
          <w:p w14:paraId="3F8D0CBF" w14:textId="77777777" w:rsidR="00C47639" w:rsidRPr="00015252" w:rsidRDefault="00C47639" w:rsidP="00C47639">
            <w:pPr>
              <w:pStyle w:val="Standaard-Tabellen"/>
              <w:rPr>
                <w:b/>
              </w:rPr>
            </w:pPr>
            <w:r w:rsidRPr="00015252">
              <w:rPr>
                <w:b/>
              </w:rPr>
              <w:t>Acceptable</w:t>
            </w:r>
          </w:p>
          <w:p w14:paraId="212ED7A0" w14:textId="77777777" w:rsidR="00C47639" w:rsidRPr="00015252" w:rsidRDefault="00C47639" w:rsidP="00C47639">
            <w:pPr>
              <w:pStyle w:val="Standaard-Tabellen"/>
              <w:rPr>
                <w:b/>
              </w:rPr>
            </w:pPr>
            <w:r w:rsidRPr="00015252">
              <w:rPr>
                <w:b/>
              </w:rPr>
              <w:t>(yes/no)</w:t>
            </w:r>
          </w:p>
        </w:tc>
      </w:tr>
      <w:tr w:rsidR="00C47639" w:rsidRPr="00FD2055" w14:paraId="31AF4894" w14:textId="77777777" w:rsidTr="00C47639">
        <w:tc>
          <w:tcPr>
            <w:tcW w:w="499" w:type="pct"/>
            <w:shd w:val="clear" w:color="auto" w:fill="auto"/>
          </w:tcPr>
          <w:p w14:paraId="781905E9" w14:textId="77777777" w:rsidR="00C47639" w:rsidRPr="00FD2055" w:rsidRDefault="00C47639" w:rsidP="00C47639">
            <w:pPr>
              <w:pStyle w:val="Standaard-Tabellen"/>
            </w:pPr>
            <w:proofErr w:type="spellStart"/>
            <w:r>
              <w:t>n.a</w:t>
            </w:r>
            <w:proofErr w:type="spellEnd"/>
            <w:r>
              <w:t>.</w:t>
            </w:r>
          </w:p>
        </w:tc>
        <w:tc>
          <w:tcPr>
            <w:tcW w:w="279" w:type="pct"/>
            <w:shd w:val="clear" w:color="auto" w:fill="auto"/>
          </w:tcPr>
          <w:p w14:paraId="7304BC38" w14:textId="77777777" w:rsidR="00C47639" w:rsidRPr="00FD2055" w:rsidRDefault="00C47639" w:rsidP="00C47639">
            <w:pPr>
              <w:pStyle w:val="Standaard-Tabellen"/>
            </w:pPr>
          </w:p>
        </w:tc>
        <w:tc>
          <w:tcPr>
            <w:tcW w:w="855" w:type="pct"/>
            <w:shd w:val="clear" w:color="auto" w:fill="auto"/>
          </w:tcPr>
          <w:p w14:paraId="17B5A4DC" w14:textId="77777777" w:rsidR="00C47639" w:rsidRPr="00FD2055" w:rsidRDefault="00C47639" w:rsidP="00C47639">
            <w:pPr>
              <w:pStyle w:val="Standaard-Tabellen"/>
            </w:pPr>
          </w:p>
        </w:tc>
        <w:tc>
          <w:tcPr>
            <w:tcW w:w="693" w:type="pct"/>
            <w:shd w:val="clear" w:color="auto" w:fill="auto"/>
          </w:tcPr>
          <w:p w14:paraId="2E8250C8" w14:textId="77777777" w:rsidR="00C47639" w:rsidRPr="00FD2055" w:rsidRDefault="00C47639" w:rsidP="00C47639">
            <w:pPr>
              <w:pStyle w:val="Standaard-Tabellen"/>
            </w:pPr>
          </w:p>
        </w:tc>
        <w:tc>
          <w:tcPr>
            <w:tcW w:w="907" w:type="pct"/>
            <w:shd w:val="clear" w:color="auto" w:fill="auto"/>
          </w:tcPr>
          <w:p w14:paraId="5861DFB9" w14:textId="77777777" w:rsidR="00C47639" w:rsidRPr="00FD2055" w:rsidRDefault="00C47639" w:rsidP="00C47639">
            <w:pPr>
              <w:pStyle w:val="Standaard-Tabellen"/>
            </w:pPr>
          </w:p>
        </w:tc>
        <w:tc>
          <w:tcPr>
            <w:tcW w:w="1164" w:type="pct"/>
            <w:shd w:val="clear" w:color="auto" w:fill="auto"/>
          </w:tcPr>
          <w:p w14:paraId="3DD09898" w14:textId="77777777" w:rsidR="00C47639" w:rsidRPr="00FD2055" w:rsidRDefault="00C47639" w:rsidP="00C47639">
            <w:pPr>
              <w:pStyle w:val="Standaard-Tabellen"/>
            </w:pPr>
          </w:p>
        </w:tc>
        <w:tc>
          <w:tcPr>
            <w:tcW w:w="604" w:type="pct"/>
            <w:shd w:val="clear" w:color="auto" w:fill="auto"/>
          </w:tcPr>
          <w:p w14:paraId="067AD7A3" w14:textId="77777777" w:rsidR="00C47639" w:rsidRPr="00FD2055" w:rsidRDefault="00C47639" w:rsidP="00C47639">
            <w:pPr>
              <w:pStyle w:val="Standaard-Tabellen"/>
            </w:pPr>
          </w:p>
        </w:tc>
      </w:tr>
    </w:tbl>
    <w:p w14:paraId="2C8030BB" w14:textId="77777777" w:rsidR="00C47639" w:rsidRPr="00FD2055" w:rsidRDefault="00C47639" w:rsidP="00C47639"/>
    <w:p w14:paraId="4CDA3D0A" w14:textId="77777777" w:rsidR="00C47639" w:rsidRPr="00FD2055" w:rsidRDefault="00C47639" w:rsidP="00C47639">
      <w:pPr>
        <w:pStyle w:val="Titre6"/>
      </w:pPr>
      <w:proofErr w:type="spellStart"/>
      <w:r w:rsidRPr="00FD2055">
        <w:t>Combined</w:t>
      </w:r>
      <w:proofErr w:type="spellEnd"/>
      <w:r w:rsidRPr="00FD2055">
        <w:t xml:space="preserve"> </w:t>
      </w:r>
      <w:proofErr w:type="spellStart"/>
      <w:r w:rsidRPr="00FD2055">
        <w:t>scenarios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10"/>
        <w:gridCol w:w="1368"/>
        <w:gridCol w:w="1093"/>
        <w:gridCol w:w="1458"/>
        <w:gridCol w:w="1894"/>
        <w:gridCol w:w="1323"/>
      </w:tblGrid>
      <w:tr w:rsidR="00C47639" w:rsidRPr="00015252" w14:paraId="3230FBB2" w14:textId="77777777" w:rsidTr="00C47639">
        <w:tc>
          <w:tcPr>
            <w:tcW w:w="927" w:type="pct"/>
            <w:shd w:val="clear" w:color="auto" w:fill="BFBFBF" w:themeFill="background1" w:themeFillShade="BF"/>
          </w:tcPr>
          <w:p w14:paraId="6B6490EE" w14:textId="77777777" w:rsidR="00C47639" w:rsidRPr="00015252" w:rsidRDefault="00C47639" w:rsidP="00C47639">
            <w:pPr>
              <w:pStyle w:val="Standaard-Tabellen"/>
              <w:rPr>
                <w:b/>
              </w:rPr>
            </w:pPr>
            <w:r w:rsidRPr="00015252">
              <w:rPr>
                <w:b/>
              </w:rPr>
              <w:t>Scenarios combined</w:t>
            </w:r>
          </w:p>
        </w:tc>
        <w:tc>
          <w:tcPr>
            <w:tcW w:w="252" w:type="pct"/>
            <w:shd w:val="clear" w:color="auto" w:fill="BFBFBF" w:themeFill="background1" w:themeFillShade="BF"/>
          </w:tcPr>
          <w:p w14:paraId="0C18F4AC" w14:textId="77777777" w:rsidR="00C47639" w:rsidRPr="00015252" w:rsidRDefault="00C47639" w:rsidP="00C47639">
            <w:pPr>
              <w:pStyle w:val="Standaard-Tabellen"/>
              <w:rPr>
                <w:b/>
              </w:rPr>
            </w:pPr>
            <w:r w:rsidRPr="00015252">
              <w:rPr>
                <w:b/>
              </w:rPr>
              <w:t>Tier</w:t>
            </w:r>
          </w:p>
        </w:tc>
        <w:tc>
          <w:tcPr>
            <w:tcW w:w="774" w:type="pct"/>
            <w:shd w:val="clear" w:color="auto" w:fill="BFBFBF" w:themeFill="background1" w:themeFillShade="BF"/>
          </w:tcPr>
          <w:p w14:paraId="346F27DA" w14:textId="77777777" w:rsidR="00C47639" w:rsidRPr="00015252" w:rsidRDefault="00C47639" w:rsidP="00C47639">
            <w:pPr>
              <w:pStyle w:val="Standaard-Tabellen"/>
              <w:rPr>
                <w:b/>
              </w:rPr>
            </w:pPr>
            <w:r w:rsidRPr="00015252">
              <w:rPr>
                <w:b/>
              </w:rPr>
              <w:t>Systemic NOAEL</w:t>
            </w:r>
          </w:p>
          <w:p w14:paraId="2758A6F8" w14:textId="77777777" w:rsidR="00C47639" w:rsidRPr="00015252" w:rsidRDefault="00C47639" w:rsidP="00C47639">
            <w:pPr>
              <w:pStyle w:val="Standaard-Tabellen"/>
              <w:rPr>
                <w:b/>
              </w:rPr>
            </w:pPr>
            <w:r w:rsidRPr="00015252">
              <w:rPr>
                <w:b/>
              </w:rPr>
              <w:t xml:space="preserve">mg/kg </w:t>
            </w:r>
            <w:proofErr w:type="spellStart"/>
            <w:r w:rsidRPr="00015252">
              <w:rPr>
                <w:b/>
              </w:rPr>
              <w:t>bw</w:t>
            </w:r>
            <w:proofErr w:type="spellEnd"/>
            <w:r w:rsidRPr="00015252">
              <w:rPr>
                <w:b/>
              </w:rPr>
              <w:t>/d</w:t>
            </w:r>
          </w:p>
        </w:tc>
        <w:tc>
          <w:tcPr>
            <w:tcW w:w="627" w:type="pct"/>
            <w:shd w:val="clear" w:color="auto" w:fill="BFBFBF" w:themeFill="background1" w:themeFillShade="BF"/>
          </w:tcPr>
          <w:p w14:paraId="0F0A4A98" w14:textId="77777777" w:rsidR="00C47639" w:rsidRPr="00015252" w:rsidRDefault="00C47639" w:rsidP="00C47639">
            <w:pPr>
              <w:pStyle w:val="Standaard-Tabellen"/>
              <w:rPr>
                <w:b/>
                <w:lang w:val="es-ES"/>
              </w:rPr>
            </w:pPr>
            <w:r w:rsidRPr="00015252">
              <w:rPr>
                <w:b/>
                <w:lang w:val="es-ES"/>
              </w:rPr>
              <w:t>AEL</w:t>
            </w:r>
          </w:p>
          <w:p w14:paraId="18DC5C2C" w14:textId="77777777" w:rsidR="00C47639" w:rsidRPr="00015252" w:rsidRDefault="00C47639" w:rsidP="00C47639">
            <w:pPr>
              <w:pStyle w:val="Standaard-Tabellen"/>
              <w:rPr>
                <w:b/>
                <w:lang w:val="es-ES"/>
              </w:rPr>
            </w:pPr>
            <w:r w:rsidRPr="00015252">
              <w:rPr>
                <w:b/>
                <w:lang w:val="es-ES"/>
              </w:rPr>
              <w:t xml:space="preserve">mg/kg </w:t>
            </w:r>
            <w:proofErr w:type="spellStart"/>
            <w:r w:rsidRPr="00015252">
              <w:rPr>
                <w:b/>
                <w:lang w:val="es-ES"/>
              </w:rPr>
              <w:t>bw</w:t>
            </w:r>
            <w:proofErr w:type="spellEnd"/>
            <w:r w:rsidRPr="00015252">
              <w:rPr>
                <w:b/>
                <w:lang w:val="es-ES"/>
              </w:rPr>
              <w:t>/d</w:t>
            </w:r>
          </w:p>
        </w:tc>
        <w:tc>
          <w:tcPr>
            <w:tcW w:w="821" w:type="pct"/>
            <w:shd w:val="clear" w:color="auto" w:fill="BFBFBF" w:themeFill="background1" w:themeFillShade="BF"/>
          </w:tcPr>
          <w:p w14:paraId="58C8CB3D" w14:textId="77777777" w:rsidR="00C47639" w:rsidRPr="00015252" w:rsidRDefault="00C47639" w:rsidP="00C47639">
            <w:pPr>
              <w:pStyle w:val="Standaard-Tabellen"/>
              <w:rPr>
                <w:b/>
              </w:rPr>
            </w:pPr>
            <w:r w:rsidRPr="00015252">
              <w:rPr>
                <w:b/>
              </w:rPr>
              <w:t>Estimated uptake</w:t>
            </w:r>
          </w:p>
          <w:p w14:paraId="2A29D966" w14:textId="77777777" w:rsidR="00C47639" w:rsidRPr="00015252" w:rsidRDefault="00C47639" w:rsidP="00C47639">
            <w:pPr>
              <w:pStyle w:val="Standaard-Tabellen"/>
              <w:rPr>
                <w:b/>
              </w:rPr>
            </w:pPr>
            <w:r w:rsidRPr="00015252">
              <w:rPr>
                <w:b/>
              </w:rPr>
              <w:t xml:space="preserve">mg/kg </w:t>
            </w:r>
            <w:proofErr w:type="spellStart"/>
            <w:r w:rsidRPr="00015252">
              <w:rPr>
                <w:b/>
              </w:rPr>
              <w:t>bw</w:t>
            </w:r>
            <w:proofErr w:type="spellEnd"/>
            <w:r w:rsidRPr="00015252">
              <w:rPr>
                <w:b/>
              </w:rPr>
              <w:t>/d</w:t>
            </w:r>
          </w:p>
        </w:tc>
        <w:tc>
          <w:tcPr>
            <w:tcW w:w="1053" w:type="pct"/>
            <w:shd w:val="clear" w:color="auto" w:fill="BFBFBF" w:themeFill="background1" w:themeFillShade="BF"/>
          </w:tcPr>
          <w:p w14:paraId="2285E9A9" w14:textId="77777777" w:rsidR="00C47639" w:rsidRPr="00015252" w:rsidRDefault="00C47639" w:rsidP="00C47639">
            <w:pPr>
              <w:pStyle w:val="Standaard-Tabellen"/>
              <w:rPr>
                <w:b/>
              </w:rPr>
            </w:pPr>
            <w:r w:rsidRPr="00015252">
              <w:rPr>
                <w:b/>
              </w:rPr>
              <w:t xml:space="preserve">Estimated uptake/ AEL </w:t>
            </w:r>
          </w:p>
          <w:p w14:paraId="0661B670" w14:textId="77777777" w:rsidR="00C47639" w:rsidRPr="00015252" w:rsidRDefault="00C47639" w:rsidP="00C47639">
            <w:pPr>
              <w:pStyle w:val="Standaard-Tabellen"/>
              <w:rPr>
                <w:b/>
              </w:rPr>
            </w:pPr>
            <w:r w:rsidRPr="00015252">
              <w:rPr>
                <w:b/>
              </w:rPr>
              <w:t>(%)</w:t>
            </w:r>
          </w:p>
        </w:tc>
        <w:tc>
          <w:tcPr>
            <w:tcW w:w="547" w:type="pct"/>
            <w:shd w:val="clear" w:color="auto" w:fill="BFBFBF" w:themeFill="background1" w:themeFillShade="BF"/>
          </w:tcPr>
          <w:p w14:paraId="6DA0A972" w14:textId="77777777" w:rsidR="00C47639" w:rsidRPr="00015252" w:rsidRDefault="00C47639" w:rsidP="00C47639">
            <w:pPr>
              <w:pStyle w:val="Standaard-Tabellen"/>
              <w:rPr>
                <w:b/>
              </w:rPr>
            </w:pPr>
            <w:r w:rsidRPr="00015252">
              <w:rPr>
                <w:b/>
              </w:rPr>
              <w:t>Acceptable</w:t>
            </w:r>
          </w:p>
          <w:p w14:paraId="4791748C" w14:textId="77777777" w:rsidR="00C47639" w:rsidRPr="00015252" w:rsidRDefault="00C47639" w:rsidP="00C47639">
            <w:pPr>
              <w:pStyle w:val="Standaard-Tabellen"/>
              <w:rPr>
                <w:b/>
              </w:rPr>
            </w:pPr>
            <w:r w:rsidRPr="00015252">
              <w:rPr>
                <w:b/>
              </w:rPr>
              <w:t>(yes/no)</w:t>
            </w:r>
          </w:p>
        </w:tc>
      </w:tr>
      <w:tr w:rsidR="00C47639" w:rsidRPr="00FD2055" w14:paraId="45B96D30" w14:textId="77777777" w:rsidTr="00C47639">
        <w:tc>
          <w:tcPr>
            <w:tcW w:w="927" w:type="pct"/>
            <w:shd w:val="clear" w:color="auto" w:fill="auto"/>
          </w:tcPr>
          <w:p w14:paraId="1C34B787" w14:textId="77777777" w:rsidR="00C47639" w:rsidRPr="00FD2055" w:rsidRDefault="00C47639" w:rsidP="00C47639">
            <w:pPr>
              <w:pStyle w:val="Standaard-Tabellen"/>
            </w:pPr>
            <w:proofErr w:type="spellStart"/>
            <w:r>
              <w:t>n.a</w:t>
            </w:r>
            <w:proofErr w:type="spellEnd"/>
            <w:r>
              <w:t>.</w:t>
            </w:r>
          </w:p>
        </w:tc>
        <w:tc>
          <w:tcPr>
            <w:tcW w:w="252" w:type="pct"/>
            <w:shd w:val="clear" w:color="auto" w:fill="auto"/>
          </w:tcPr>
          <w:p w14:paraId="2D71840B" w14:textId="77777777" w:rsidR="00C47639" w:rsidRPr="00FD2055" w:rsidRDefault="00C47639" w:rsidP="00C47639">
            <w:pPr>
              <w:pStyle w:val="Standaard-Tabellen"/>
            </w:pPr>
          </w:p>
        </w:tc>
        <w:tc>
          <w:tcPr>
            <w:tcW w:w="774" w:type="pct"/>
            <w:shd w:val="clear" w:color="auto" w:fill="auto"/>
          </w:tcPr>
          <w:p w14:paraId="76E37734" w14:textId="77777777" w:rsidR="00C47639" w:rsidRPr="00FD2055" w:rsidRDefault="00C47639" w:rsidP="00C47639">
            <w:pPr>
              <w:pStyle w:val="Standaard-Tabellen"/>
            </w:pPr>
          </w:p>
        </w:tc>
        <w:tc>
          <w:tcPr>
            <w:tcW w:w="627" w:type="pct"/>
            <w:shd w:val="clear" w:color="auto" w:fill="auto"/>
          </w:tcPr>
          <w:p w14:paraId="0F610499" w14:textId="77777777" w:rsidR="00C47639" w:rsidRPr="00FD2055" w:rsidRDefault="00C47639" w:rsidP="00C47639">
            <w:pPr>
              <w:pStyle w:val="Standaard-Tabellen"/>
            </w:pPr>
          </w:p>
        </w:tc>
        <w:tc>
          <w:tcPr>
            <w:tcW w:w="821" w:type="pct"/>
            <w:shd w:val="clear" w:color="auto" w:fill="auto"/>
          </w:tcPr>
          <w:p w14:paraId="17FA1B0E" w14:textId="77777777" w:rsidR="00C47639" w:rsidRPr="00FD2055" w:rsidRDefault="00C47639" w:rsidP="00C47639">
            <w:pPr>
              <w:pStyle w:val="Standaard-Tabellen"/>
            </w:pPr>
          </w:p>
        </w:tc>
        <w:tc>
          <w:tcPr>
            <w:tcW w:w="1053" w:type="pct"/>
            <w:shd w:val="clear" w:color="auto" w:fill="auto"/>
          </w:tcPr>
          <w:p w14:paraId="70ECA7C6" w14:textId="77777777" w:rsidR="00C47639" w:rsidRPr="00FD2055" w:rsidRDefault="00C47639" w:rsidP="00C47639">
            <w:pPr>
              <w:pStyle w:val="Standaard-Tabellen"/>
            </w:pPr>
          </w:p>
        </w:tc>
        <w:tc>
          <w:tcPr>
            <w:tcW w:w="547" w:type="pct"/>
            <w:shd w:val="clear" w:color="auto" w:fill="auto"/>
          </w:tcPr>
          <w:p w14:paraId="41ED3FE8" w14:textId="77777777" w:rsidR="00C47639" w:rsidRPr="00FD2055" w:rsidRDefault="00C47639" w:rsidP="00C47639">
            <w:pPr>
              <w:pStyle w:val="Standaard-Tabellen"/>
            </w:pPr>
          </w:p>
        </w:tc>
      </w:tr>
    </w:tbl>
    <w:p w14:paraId="759EB655" w14:textId="77777777" w:rsidR="00C47639" w:rsidRPr="00FD2055" w:rsidRDefault="00C47639" w:rsidP="00C47639"/>
    <w:p w14:paraId="64C5CA4C" w14:textId="77777777" w:rsidR="00C47639" w:rsidRPr="008A3D8E" w:rsidRDefault="00C47639" w:rsidP="00C47639">
      <w:pPr>
        <w:pStyle w:val="Titre6"/>
        <w:rPr>
          <w:lang w:val="en-US"/>
        </w:rPr>
      </w:pPr>
      <w:r w:rsidRPr="008A3D8E">
        <w:rPr>
          <w:lang w:val="en-US"/>
        </w:rPr>
        <w:t xml:space="preserve">Local effects </w:t>
      </w:r>
    </w:p>
    <w:p w14:paraId="12EEA359" w14:textId="77777777" w:rsidR="00C47639" w:rsidRPr="00FD2055" w:rsidRDefault="00C47639" w:rsidP="00C47639">
      <w:pPr>
        <w:rPr>
          <w:color w:val="808080"/>
          <w:sz w:val="18"/>
        </w:rPr>
      </w:pPr>
      <w:proofErr w:type="spellStart"/>
      <w:r>
        <w:t>n.a</w:t>
      </w:r>
      <w:proofErr w:type="spellEnd"/>
      <w:r>
        <w:t>.</w:t>
      </w:r>
    </w:p>
    <w:p w14:paraId="67FD49B9" w14:textId="77777777" w:rsidR="00C47639" w:rsidRPr="00FD2055" w:rsidRDefault="00C47639" w:rsidP="00C47639"/>
    <w:p w14:paraId="7B02277A" w14:textId="77777777" w:rsidR="00C47639" w:rsidRPr="008A3D8E" w:rsidRDefault="00C47639" w:rsidP="00C47639">
      <w:pPr>
        <w:pStyle w:val="Titre6"/>
        <w:rPr>
          <w:lang w:val="en-US"/>
        </w:rPr>
      </w:pPr>
      <w:r w:rsidRPr="008A3D8E">
        <w:rPr>
          <w:lang w:val="en-US"/>
        </w:rPr>
        <w:t>Conclusion</w:t>
      </w:r>
    </w:p>
    <w:p w14:paraId="1CB17B64" w14:textId="77777777" w:rsidR="00C47639" w:rsidRPr="00FD2055" w:rsidRDefault="00C47639" w:rsidP="00C47639">
      <w:pPr>
        <w:rPr>
          <w:color w:val="808080"/>
          <w:sz w:val="18"/>
        </w:rPr>
      </w:pPr>
      <w:proofErr w:type="spellStart"/>
      <w:r>
        <w:t>n.a</w:t>
      </w:r>
      <w:proofErr w:type="spellEnd"/>
      <w:r>
        <w:t>.</w:t>
      </w:r>
    </w:p>
    <w:p w14:paraId="5FD77FC5" w14:textId="77777777" w:rsidR="00C47639" w:rsidRPr="00FD2055" w:rsidRDefault="00C47639" w:rsidP="00C47639"/>
    <w:p w14:paraId="694D9D9A" w14:textId="77777777" w:rsidR="00C47639" w:rsidRPr="00FD2055" w:rsidRDefault="00C47639" w:rsidP="00C47639">
      <w:pPr>
        <w:pStyle w:val="Titre5"/>
      </w:pPr>
      <w:bookmarkStart w:id="236" w:name="_Toc389729093"/>
      <w:bookmarkStart w:id="237" w:name="_Toc403472779"/>
      <w:bookmarkStart w:id="238" w:name="_Toc532391113"/>
      <w:bookmarkStart w:id="239" w:name="_Toc8296527"/>
      <w:r w:rsidRPr="00FD2055">
        <w:t>Risk for consumers via residues in food</w:t>
      </w:r>
      <w:bookmarkEnd w:id="236"/>
      <w:bookmarkEnd w:id="237"/>
      <w:bookmarkEnd w:id="238"/>
      <w:bookmarkEnd w:id="239"/>
    </w:p>
    <w:p w14:paraId="61A41282" w14:textId="77777777" w:rsidR="00C47639" w:rsidRPr="00FD2055" w:rsidRDefault="00C47639" w:rsidP="00C47639">
      <w:r>
        <w:t>Not applicable.</w:t>
      </w:r>
    </w:p>
    <w:p w14:paraId="6E66DED7" w14:textId="77777777" w:rsidR="00C47639" w:rsidRPr="00FD2055" w:rsidRDefault="00C47639" w:rsidP="00C47639">
      <w:pPr>
        <w:pStyle w:val="Titre5"/>
      </w:pPr>
      <w:bookmarkStart w:id="240" w:name="_Toc389729094"/>
      <w:bookmarkStart w:id="241" w:name="_Toc403472780"/>
      <w:bookmarkStart w:id="242" w:name="_Toc532391114"/>
      <w:bookmarkStart w:id="243" w:name="_Toc8296528"/>
      <w:r w:rsidRPr="00FD2055">
        <w:t xml:space="preserve">Risk </w:t>
      </w:r>
      <w:proofErr w:type="spellStart"/>
      <w:r w:rsidRPr="00FD2055">
        <w:t>characterisation</w:t>
      </w:r>
      <w:proofErr w:type="spellEnd"/>
      <w:r w:rsidRPr="00FD2055">
        <w:t xml:space="preserve"> from combined exposure to several active substances or substances of concern within a biocidal product</w:t>
      </w:r>
      <w:bookmarkEnd w:id="240"/>
      <w:bookmarkEnd w:id="241"/>
      <w:bookmarkEnd w:id="242"/>
      <w:bookmarkEnd w:id="243"/>
      <w:r w:rsidRPr="00FD2055">
        <w:t xml:space="preserve"> </w:t>
      </w:r>
    </w:p>
    <w:p w14:paraId="7B7FC13B" w14:textId="77777777" w:rsidR="00C47639" w:rsidRPr="00015252" w:rsidRDefault="00C47639" w:rsidP="00C47639">
      <w:r>
        <w:t>Not applicable.</w:t>
      </w:r>
    </w:p>
    <w:p w14:paraId="6F25009F" w14:textId="77777777" w:rsidR="00C47639" w:rsidRDefault="00C47639" w:rsidP="00C47639"/>
    <w:p w14:paraId="7995CE44" w14:textId="77777777" w:rsidR="00C47639" w:rsidRDefault="00C47639" w:rsidP="00C47639">
      <w:pPr>
        <w:pStyle w:val="Titre3"/>
      </w:pPr>
      <w:bookmarkStart w:id="244" w:name="_Toc532391115"/>
      <w:bookmarkStart w:id="245" w:name="_Toc8296529"/>
      <w:r>
        <w:t>Risk assessment for animal health</w:t>
      </w:r>
      <w:bookmarkEnd w:id="244"/>
      <w:bookmarkEnd w:id="245"/>
    </w:p>
    <w:p w14:paraId="0317064F" w14:textId="77777777" w:rsidR="00C47639" w:rsidRDefault="00C47639" w:rsidP="00C47639">
      <w:r>
        <w:t>Not applicable.</w:t>
      </w:r>
    </w:p>
    <w:p w14:paraId="2559C511" w14:textId="77777777" w:rsidR="00C47639" w:rsidRDefault="00C47639" w:rsidP="00C47639">
      <w:pPr>
        <w:spacing w:before="0" w:after="160" w:line="259" w:lineRule="auto"/>
      </w:pPr>
      <w:r>
        <w:br w:type="page"/>
      </w:r>
    </w:p>
    <w:p w14:paraId="21B9D898" w14:textId="77777777" w:rsidR="00C47639" w:rsidRDefault="00C47639" w:rsidP="00C47639">
      <w:pPr>
        <w:pStyle w:val="Titre3"/>
      </w:pPr>
      <w:bookmarkStart w:id="246" w:name="_Toc532391116"/>
      <w:bookmarkStart w:id="247" w:name="_Toc8296530"/>
      <w:r>
        <w:lastRenderedPageBreak/>
        <w:t>Risk assessment for the environment</w:t>
      </w:r>
      <w:bookmarkEnd w:id="246"/>
      <w:bookmarkEnd w:id="247"/>
    </w:p>
    <w:p w14:paraId="71B70799" w14:textId="77777777" w:rsidR="00C47639" w:rsidRDefault="00C47639" w:rsidP="00C47639">
      <w:r>
        <w:t>For the product Insect Repellent Pump Spray IR3535</w:t>
      </w:r>
      <w:r>
        <w:rPr>
          <w:vertAlign w:val="superscript"/>
        </w:rPr>
        <w:t>®</w:t>
      </w:r>
      <w:r>
        <w:t xml:space="preserve"> 20 % no new studies or additional information for the environment have been provided. The active substance contained in this product is the same as evaluated in the CAR for IR3535</w:t>
      </w:r>
      <w:r w:rsidRPr="0004367B">
        <w:rPr>
          <w:vertAlign w:val="superscript"/>
          <w:lang w:eastAsia="fr-FR"/>
        </w:rPr>
        <w:t>®</w:t>
      </w:r>
      <w:r>
        <w:t xml:space="preserve"> and therefore no new data/information on the active substance is required.</w:t>
      </w:r>
    </w:p>
    <w:p w14:paraId="15AB6442" w14:textId="77777777" w:rsidR="00C47639" w:rsidRDefault="00C47639" w:rsidP="00C47639"/>
    <w:p w14:paraId="6B31EC33" w14:textId="77777777" w:rsidR="00C47639" w:rsidRDefault="00C47639" w:rsidP="00C47639">
      <w:r>
        <w:t>The composition of the representative product from the CAR is not identical to that of Insect Repellent Pump Spray IR3535</w:t>
      </w:r>
      <w:r w:rsidRPr="00AC0EA0">
        <w:rPr>
          <w:vertAlign w:val="superscript"/>
        </w:rPr>
        <w:t>®</w:t>
      </w:r>
      <w:r>
        <w:t xml:space="preserve"> 20 %. However, the intended use is identical as well as the amount of active substance in both products. Only the active substance is of relevance for the environmental exposure assessment of this product.</w:t>
      </w:r>
    </w:p>
    <w:p w14:paraId="753F5184" w14:textId="77777777" w:rsidR="00C47639" w:rsidRDefault="00C47639" w:rsidP="00C47639">
      <w:pPr>
        <w:pStyle w:val="Titre4"/>
      </w:pPr>
      <w:bookmarkStart w:id="248" w:name="_Toc532391117"/>
      <w:bookmarkStart w:id="249" w:name="_Toc8296531"/>
      <w:r>
        <w:t>Effects assessment on the environment</w:t>
      </w:r>
      <w:bookmarkEnd w:id="248"/>
      <w:bookmarkEnd w:id="249"/>
    </w:p>
    <w:p w14:paraId="192731DC" w14:textId="77777777" w:rsidR="00C47639" w:rsidRDefault="00C47639" w:rsidP="00C47639">
      <w:r>
        <w:t>All data used for the effect assessment of Insect Repellent Pump Spray IR3535</w:t>
      </w:r>
      <w:r>
        <w:rPr>
          <w:vertAlign w:val="superscript"/>
        </w:rPr>
        <w:t>®</w:t>
      </w:r>
      <w:r>
        <w:t xml:space="preserve"> 20% is based on the available information on the active substance IR3535</w:t>
      </w:r>
      <w:r w:rsidRPr="0004367B">
        <w:rPr>
          <w:vertAlign w:val="superscript"/>
          <w:lang w:eastAsia="fr-FR"/>
        </w:rPr>
        <w:t>®</w:t>
      </w:r>
      <w:r>
        <w:t xml:space="preserve">, such as it is presented in its respective CAR. </w:t>
      </w:r>
    </w:p>
    <w:p w14:paraId="0FB096F9" w14:textId="77777777" w:rsidR="00C47639" w:rsidRDefault="00C47639" w:rsidP="00C47639">
      <w:r>
        <w:t xml:space="preserve">No new data relevant for the environmental evaluation, nor on the product, nor on the active substance, have been submitted. Apart from the active substance, the product does not contain any </w:t>
      </w:r>
      <w:proofErr w:type="spellStart"/>
      <w:r>
        <w:t>formulants</w:t>
      </w:r>
      <w:proofErr w:type="spellEnd"/>
      <w:r>
        <w:t xml:space="preserve"> that are of </w:t>
      </w:r>
      <w:proofErr w:type="spellStart"/>
      <w:r>
        <w:t>ecotoxicological</w:t>
      </w:r>
      <w:proofErr w:type="spellEnd"/>
      <w:r>
        <w:t xml:space="preserve"> concern. </w:t>
      </w:r>
    </w:p>
    <w:p w14:paraId="049C7DF7" w14:textId="77777777" w:rsidR="00C47639" w:rsidRDefault="00C47639" w:rsidP="00C47639"/>
    <w:p w14:paraId="0299265B" w14:textId="77777777" w:rsidR="00C47639" w:rsidRDefault="00C47639" w:rsidP="00C47639">
      <w:r>
        <w:t xml:space="preserve">Following the referral conclusions for this product, it has been decided that Ethanol should be considered as a substance of concern, since it is </w:t>
      </w:r>
      <w:r w:rsidRPr="006B641D">
        <w:t xml:space="preserve">responsible for the classification of the biocidal product as </w:t>
      </w:r>
      <w:r>
        <w:t xml:space="preserve">a </w:t>
      </w:r>
      <w:r w:rsidRPr="006B641D">
        <w:t>flammable liquid.</w:t>
      </w:r>
      <w:r>
        <w:t xml:space="preserve"> </w:t>
      </w:r>
    </w:p>
    <w:p w14:paraId="48611852" w14:textId="77777777" w:rsidR="00C47639" w:rsidRDefault="00C47639" w:rsidP="00C47639">
      <w:r>
        <w:t xml:space="preserve">However, from an </w:t>
      </w:r>
      <w:proofErr w:type="spellStart"/>
      <w:r>
        <w:t>ecotoxicological</w:t>
      </w:r>
      <w:proofErr w:type="spellEnd"/>
      <w:r>
        <w:t xml:space="preserve"> point of view, ethanol is not considered relevant. Based on its harmonized classification, ethanol is not classified for any environmental hazards.  Therefore, ethanol was not considered during the environmental risk assessment. </w:t>
      </w:r>
    </w:p>
    <w:p w14:paraId="4FEEE286" w14:textId="77777777" w:rsidR="00C47639" w:rsidRDefault="00C47639" w:rsidP="00C47639">
      <w:r>
        <w:br/>
        <w:t xml:space="preserve">An overview of the environmental fate and </w:t>
      </w:r>
      <w:proofErr w:type="spellStart"/>
      <w:r>
        <w:t>behaviour</w:t>
      </w:r>
      <w:proofErr w:type="spellEnd"/>
      <w:r>
        <w:t xml:space="preserve"> for the active substance, taken from the EU CAR, is presented in the first two titles below.</w:t>
      </w:r>
    </w:p>
    <w:p w14:paraId="1A750C45" w14:textId="77777777" w:rsidR="00C47639" w:rsidRPr="008A3D8E" w:rsidRDefault="00C47639" w:rsidP="00C47639">
      <w:pPr>
        <w:pStyle w:val="Titre5"/>
        <w:numPr>
          <w:ilvl w:val="0"/>
          <w:numId w:val="0"/>
        </w:numPr>
        <w:rPr>
          <w:color w:val="538135" w:themeColor="accent6" w:themeShade="BF"/>
        </w:rPr>
      </w:pPr>
      <w:bookmarkStart w:id="250" w:name="_Toc532391118"/>
      <w:bookmarkStart w:id="251" w:name="_Toc8296532"/>
      <w:r w:rsidRPr="008A3D8E">
        <w:rPr>
          <w:color w:val="538135" w:themeColor="accent6" w:themeShade="BF"/>
        </w:rPr>
        <w:t>Environmental fate and behavior of the active substance</w:t>
      </w:r>
      <w:bookmarkEnd w:id="250"/>
      <w:bookmarkEnd w:id="251"/>
    </w:p>
    <w:p w14:paraId="17646186" w14:textId="77777777" w:rsidR="00C47639" w:rsidRDefault="00C47639" w:rsidP="00C47639">
      <w:r>
        <w:t>IR3535</w:t>
      </w:r>
      <w:r>
        <w:rPr>
          <w:vertAlign w:val="superscript"/>
        </w:rPr>
        <w:t>®</w:t>
      </w:r>
      <w:r>
        <w:t xml:space="preserve"> is used in insect repellents (PT19) that are applied on uncovered human skin.  Products containing IR3535</w:t>
      </w:r>
      <w:r>
        <w:rPr>
          <w:vertAlign w:val="superscript"/>
        </w:rPr>
        <w:t>®</w:t>
      </w:r>
      <w:r>
        <w:t xml:space="preserve"> will be used indoors and outdoors.  However the main emission pathway to the environment is assumed to be indirect due to bathing and showering of treated people.  Based on the </w:t>
      </w:r>
      <w:proofErr w:type="spellStart"/>
      <w:r>
        <w:t>physico</w:t>
      </w:r>
      <w:proofErr w:type="spellEnd"/>
      <w:r>
        <w:t xml:space="preserve">-chemical properties it is expected that the emissions primarily will affect the aquatic compartment.  </w:t>
      </w:r>
    </w:p>
    <w:p w14:paraId="00FE1CD6" w14:textId="77777777" w:rsidR="00C47639" w:rsidRDefault="00C47639" w:rsidP="00C47639"/>
    <w:p w14:paraId="2FA4F856" w14:textId="77777777" w:rsidR="00C47639" w:rsidRDefault="00C47639" w:rsidP="00C47639">
      <w:r>
        <w:t>IR3535</w:t>
      </w:r>
      <w:r>
        <w:rPr>
          <w:vertAlign w:val="superscript"/>
        </w:rPr>
        <w:t>®</w:t>
      </w:r>
      <w:r>
        <w:t xml:space="preserve"> is not ready biodegradable according to two screening tests, but in a Sewage Treatment Plant (STP) simulation test 99 % elimination was measured. In an aerobic water/sediment degradation study, IR3535</w:t>
      </w:r>
      <w:r>
        <w:rPr>
          <w:vertAlign w:val="superscript"/>
        </w:rPr>
        <w:sym w:font="Symbol" w:char="F0D2"/>
      </w:r>
      <w:r>
        <w:t xml:space="preserve"> was shown to remain mainly in the water phase. There it was first rapidly degraded to its free acid, after which this metabolite ultimately degraded after a lag phase. </w:t>
      </w:r>
    </w:p>
    <w:p w14:paraId="66D7D6BB" w14:textId="77777777" w:rsidR="00C47639" w:rsidRDefault="00C47639" w:rsidP="00C47639"/>
    <w:p w14:paraId="0155A0F6" w14:textId="77777777" w:rsidR="00C47639" w:rsidRDefault="00C47639" w:rsidP="00C47639">
      <w:r>
        <w:t>No photolysis was observed in water and hydrolysis only occurred slowly under alkaline conditions (DT</w:t>
      </w:r>
      <w:r>
        <w:rPr>
          <w:vertAlign w:val="subscript"/>
        </w:rPr>
        <w:t>50</w:t>
      </w:r>
      <w:r>
        <w:t xml:space="preserve"> = 176.5 h at 25 °C and pH 9 or 866.13 h at 12 °C).  Under acidic and neutral conditions IR3535</w:t>
      </w:r>
      <w:r>
        <w:rPr>
          <w:vertAlign w:val="superscript"/>
        </w:rPr>
        <w:t>®</w:t>
      </w:r>
      <w:r>
        <w:t xml:space="preserve"> is hydrolytically stable.</w:t>
      </w:r>
    </w:p>
    <w:p w14:paraId="4D0CB111" w14:textId="77777777" w:rsidR="00C47639" w:rsidRDefault="00C47639" w:rsidP="00C47639"/>
    <w:p w14:paraId="7AF1BFC0" w14:textId="77777777" w:rsidR="00C47639" w:rsidRDefault="00C47639" w:rsidP="00C47639">
      <w:r>
        <w:t xml:space="preserve">The </w:t>
      </w:r>
      <w:proofErr w:type="spellStart"/>
      <w:r>
        <w:t>vapour</w:t>
      </w:r>
      <w:proofErr w:type="spellEnd"/>
      <w:r>
        <w:t xml:space="preserve"> pressure of IR3535</w:t>
      </w:r>
      <w:r>
        <w:rPr>
          <w:vertAlign w:val="superscript"/>
        </w:rPr>
        <w:t>®</w:t>
      </w:r>
      <w:r>
        <w:t xml:space="preserve"> is low (0.15 Pa at 20 °C) which results in low exposure to the atmosphere. The half-life of IR3535</w:t>
      </w:r>
      <w:r>
        <w:rPr>
          <w:vertAlign w:val="superscript"/>
        </w:rPr>
        <w:t>®</w:t>
      </w:r>
      <w:r>
        <w:t xml:space="preserve"> in air was calculated to be about 0.5482 days or 13.16 hours due to reaction with OH-radicals (24-hr day).  Thus, accumulation of IR3535</w:t>
      </w:r>
      <w:r>
        <w:rPr>
          <w:vertAlign w:val="superscript"/>
        </w:rPr>
        <w:t>®</w:t>
      </w:r>
      <w:r>
        <w:t xml:space="preserve"> in air and long range transport is unlikely. </w:t>
      </w:r>
    </w:p>
    <w:p w14:paraId="2756279B" w14:textId="77777777" w:rsidR="00C47639" w:rsidRDefault="00C47639" w:rsidP="00C47639">
      <w:r>
        <w:t xml:space="preserve"> </w:t>
      </w:r>
    </w:p>
    <w:p w14:paraId="2F3A2CB7" w14:textId="77777777" w:rsidR="00C47639" w:rsidRDefault="00C47639" w:rsidP="00C47639">
      <w:r>
        <w:lastRenderedPageBreak/>
        <w:t>IR3535</w:t>
      </w:r>
      <w:r>
        <w:rPr>
          <w:vertAlign w:val="superscript"/>
        </w:rPr>
        <w:t>®</w:t>
      </w:r>
      <w:r>
        <w:t xml:space="preserve"> is a liquid at room temperature and the solubility in water is 70 g/L (at 20 °C).  The log </w:t>
      </w:r>
      <w:proofErr w:type="gramStart"/>
      <w:r>
        <w:t>P</w:t>
      </w:r>
      <w:r>
        <w:rPr>
          <w:vertAlign w:val="subscript"/>
        </w:rPr>
        <w:t>ow</w:t>
      </w:r>
      <w:proofErr w:type="gramEnd"/>
      <w:r>
        <w:t xml:space="preserve"> is 1.7 (at 23-24 °C) indicating that IR3535</w:t>
      </w:r>
      <w:r>
        <w:rPr>
          <w:vertAlign w:val="superscript"/>
        </w:rPr>
        <w:t>®</w:t>
      </w:r>
      <w:r>
        <w:t xml:space="preserve"> has a low potential for bioaccumulation. </w:t>
      </w:r>
    </w:p>
    <w:p w14:paraId="65D2464A" w14:textId="77777777" w:rsidR="00C47639" w:rsidRDefault="00C47639" w:rsidP="00C47639"/>
    <w:p w14:paraId="4EDF6E9B" w14:textId="77777777" w:rsidR="00C47639" w:rsidRDefault="00C47639" w:rsidP="00C47639">
      <w:r>
        <w:t xml:space="preserve">Based on the adsorption/desorption test a mean (arithmetic) </w:t>
      </w:r>
      <w:proofErr w:type="spellStart"/>
      <w:r>
        <w:t>K</w:t>
      </w:r>
      <w:r>
        <w:rPr>
          <w:vertAlign w:val="subscript"/>
        </w:rPr>
        <w:t>oc</w:t>
      </w:r>
      <w:proofErr w:type="spellEnd"/>
      <w:r>
        <w:t xml:space="preserve"> form 475.25 L/kg was registered.</w:t>
      </w:r>
    </w:p>
    <w:p w14:paraId="6CA31576" w14:textId="77777777" w:rsidR="00C47639" w:rsidRPr="006A680F" w:rsidRDefault="00C47639" w:rsidP="00C47639"/>
    <w:p w14:paraId="477B31F3" w14:textId="77777777" w:rsidR="00C47639" w:rsidRPr="008A3D8E" w:rsidRDefault="00C47639" w:rsidP="00C47639">
      <w:pPr>
        <w:pStyle w:val="Titre5"/>
        <w:numPr>
          <w:ilvl w:val="0"/>
          <w:numId w:val="0"/>
        </w:numPr>
        <w:rPr>
          <w:color w:val="538135" w:themeColor="accent6" w:themeShade="BF"/>
        </w:rPr>
      </w:pPr>
      <w:bookmarkStart w:id="252" w:name="_Toc532391119"/>
      <w:bookmarkStart w:id="253" w:name="_Toc8296533"/>
      <w:r w:rsidRPr="008A3D8E">
        <w:rPr>
          <w:color w:val="538135" w:themeColor="accent6" w:themeShade="BF"/>
        </w:rPr>
        <w:t>Effect assessment of the active substance</w:t>
      </w:r>
      <w:bookmarkEnd w:id="252"/>
      <w:bookmarkEnd w:id="253"/>
    </w:p>
    <w:p w14:paraId="5C380846" w14:textId="77777777" w:rsidR="00C47639" w:rsidRDefault="00C47639" w:rsidP="00C47639">
      <w:r>
        <w:t>No toxic effects where observed during the acute toxicity studies on fish (</w:t>
      </w:r>
      <w:proofErr w:type="spellStart"/>
      <w:r>
        <w:rPr>
          <w:i/>
        </w:rPr>
        <w:t>Brachydanio</w:t>
      </w:r>
      <w:proofErr w:type="spellEnd"/>
      <w:r>
        <w:rPr>
          <w:i/>
        </w:rPr>
        <w:t xml:space="preserve"> </w:t>
      </w:r>
      <w:proofErr w:type="spellStart"/>
      <w:r>
        <w:rPr>
          <w:i/>
        </w:rPr>
        <w:t>rerio</w:t>
      </w:r>
      <w:proofErr w:type="spellEnd"/>
      <w:r>
        <w:t xml:space="preserve">), </w:t>
      </w:r>
      <w:r>
        <w:rPr>
          <w:i/>
        </w:rPr>
        <w:t>Daphnia magna</w:t>
      </w:r>
      <w:r>
        <w:t xml:space="preserve"> and algae (</w:t>
      </w:r>
      <w:proofErr w:type="spellStart"/>
      <w:r>
        <w:rPr>
          <w:i/>
        </w:rPr>
        <w:t>Desmodesmus</w:t>
      </w:r>
      <w:proofErr w:type="spellEnd"/>
      <w:r>
        <w:rPr>
          <w:i/>
        </w:rPr>
        <w:t xml:space="preserve"> </w:t>
      </w:r>
      <w:proofErr w:type="spellStart"/>
      <w:r>
        <w:rPr>
          <w:i/>
        </w:rPr>
        <w:t>subspicatus</w:t>
      </w:r>
      <w:proofErr w:type="spellEnd"/>
      <w:r>
        <w:t>) (LC</w:t>
      </w:r>
      <w:r>
        <w:rPr>
          <w:vertAlign w:val="subscript"/>
        </w:rPr>
        <w:t>50</w:t>
      </w:r>
      <w:r>
        <w:t xml:space="preserve"> &gt;100 mg/L).  Therefore IR3535</w:t>
      </w:r>
      <w:r>
        <w:rPr>
          <w:vertAlign w:val="superscript"/>
        </w:rPr>
        <w:t>®</w:t>
      </w:r>
      <w:r>
        <w:t xml:space="preserve"> is considered as not toxic for the aquatic environment. </w:t>
      </w:r>
    </w:p>
    <w:p w14:paraId="6CA24CD4" w14:textId="77777777" w:rsidR="00C47639" w:rsidRDefault="00C47639" w:rsidP="00C47639"/>
    <w:p w14:paraId="296A5455" w14:textId="77777777" w:rsidR="00C47639" w:rsidRDefault="00C47639" w:rsidP="00C47639">
      <w:r>
        <w:t>The effect on aerobic biological sewage treatment processes was assessed by determining inhibition of respiration of the micro-organisms present in activated sludge following 3 hours contact.  No inhibitory effect on aquatic microbial activity was registered for IR3535</w:t>
      </w:r>
      <w:r>
        <w:rPr>
          <w:vertAlign w:val="superscript"/>
        </w:rPr>
        <w:t>®</w:t>
      </w:r>
      <w:r>
        <w:t xml:space="preserve"> (EC</w:t>
      </w:r>
      <w:r>
        <w:rPr>
          <w:vertAlign w:val="subscript"/>
        </w:rPr>
        <w:t>50</w:t>
      </w:r>
      <w:r>
        <w:t xml:space="preserve"> &gt; 1000 mg/L).</w:t>
      </w:r>
    </w:p>
    <w:p w14:paraId="6F320955" w14:textId="77777777" w:rsidR="00C47639" w:rsidRDefault="00C47639" w:rsidP="00C47639"/>
    <w:p w14:paraId="6D9CF484" w14:textId="77777777" w:rsidR="00C47639" w:rsidRDefault="00C47639" w:rsidP="00C47639">
      <w:r>
        <w:t xml:space="preserve">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  </w:t>
      </w:r>
    </w:p>
    <w:p w14:paraId="395D68DC" w14:textId="77777777" w:rsidR="00C47639" w:rsidRDefault="00C47639" w:rsidP="00C47639"/>
    <w:p w14:paraId="4F8C91F8" w14:textId="77777777" w:rsidR="00C47639" w:rsidRDefault="00C47639" w:rsidP="00C47639">
      <w:r>
        <w:t xml:space="preserve">No marine species were tested based on the presence of studies performed on freshwater species, all suggesting low toxicity and because no major emissions to the marine environment are expected.  </w:t>
      </w:r>
    </w:p>
    <w:p w14:paraId="5EC8ACF6" w14:textId="77777777" w:rsidR="00C47639" w:rsidRDefault="00C47639" w:rsidP="00C47639"/>
    <w:p w14:paraId="53A03959" w14:textId="77777777" w:rsidR="00C47639" w:rsidRDefault="00C47639" w:rsidP="00C47639">
      <w:r>
        <w:t xml:space="preserve">In the absence of any long-term toxicity endpoints and marine data, the TGD on Risk Assessment prescribes an assessment factor of 1000 for the freshwater environment and 10000 for the marine environment.  </w:t>
      </w:r>
    </w:p>
    <w:p w14:paraId="44C4FF52" w14:textId="77777777" w:rsidR="00C47639" w:rsidRDefault="00C47639" w:rsidP="00C47639"/>
    <w:p w14:paraId="5483CD85" w14:textId="77777777" w:rsidR="00C47639" w:rsidRDefault="00C47639" w:rsidP="00C47639">
      <w:r>
        <w:t xml:space="preserve">For the sediment compartment, there are also no toxicity data available.  The </w:t>
      </w:r>
      <w:proofErr w:type="spellStart"/>
      <w:r>
        <w:t>PNEC</w:t>
      </w:r>
      <w:r>
        <w:rPr>
          <w:vertAlign w:val="subscript"/>
        </w:rPr>
        <w:t>sediment</w:t>
      </w:r>
      <w:proofErr w:type="spellEnd"/>
      <w:r>
        <w:t xml:space="preserve"> was calculated based on equilibrium partitioning method and </w:t>
      </w:r>
      <w:proofErr w:type="spellStart"/>
      <w:r>
        <w:t>PNEC</w:t>
      </w:r>
      <w:r>
        <w:rPr>
          <w:vertAlign w:val="subscript"/>
        </w:rPr>
        <w:t>water</w:t>
      </w:r>
      <w:proofErr w:type="spellEnd"/>
      <w:r>
        <w:t xml:space="preserve">.  </w:t>
      </w:r>
    </w:p>
    <w:p w14:paraId="5F705443" w14:textId="77777777" w:rsidR="00C47639" w:rsidRDefault="00C47639" w:rsidP="00C47639"/>
    <w:p w14:paraId="735D6C39" w14:textId="77777777" w:rsidR="00C47639" w:rsidRDefault="00C47639" w:rsidP="00C47639">
      <w:r>
        <w:t>No terrestrial toxicity tests were performed for IR3535</w:t>
      </w:r>
      <w:r>
        <w:rPr>
          <w:vertAlign w:val="superscript"/>
        </w:rPr>
        <w:t>®</w:t>
      </w:r>
      <w:r>
        <w:t>.  Due to the method of application directly on the skin only limited and very local emissions to the soil are expected.  IR3535</w:t>
      </w:r>
      <w:r>
        <w:rPr>
          <w:vertAlign w:val="superscript"/>
        </w:rPr>
        <w:t>®</w:t>
      </w:r>
      <w:r>
        <w:t xml:space="preserve"> is not likely to become accumulated in the soil in large amounts.  </w:t>
      </w:r>
      <w:proofErr w:type="spellStart"/>
      <w:r>
        <w:t>PNEC</w:t>
      </w:r>
      <w:r>
        <w:rPr>
          <w:vertAlign w:val="subscript"/>
        </w:rPr>
        <w:t>soil</w:t>
      </w:r>
      <w:proofErr w:type="spellEnd"/>
      <w:r>
        <w:t xml:space="preserve"> has been calculated based on the equilibrium partitioning method.  </w:t>
      </w:r>
    </w:p>
    <w:p w14:paraId="620DB766" w14:textId="77777777" w:rsidR="00C47639" w:rsidRDefault="00C47639" w:rsidP="00C47639"/>
    <w:p w14:paraId="4341A516" w14:textId="77777777" w:rsidR="00C47639" w:rsidRDefault="00C47639" w:rsidP="00C47639">
      <w:r>
        <w:t>The physicochemical properties of IR3535</w:t>
      </w:r>
      <w:r>
        <w:rPr>
          <w:vertAlign w:val="superscript"/>
        </w:rPr>
        <w:t>®</w:t>
      </w:r>
      <w:r>
        <w:t xml:space="preserve"> do not suggest that this substance will pose a risk to the atmospheric environment.  Therefore no PNECs where calculated for this compartment. </w:t>
      </w:r>
    </w:p>
    <w:p w14:paraId="48671F73" w14:textId="77777777" w:rsidR="00C47639" w:rsidRDefault="00C47639" w:rsidP="00C47639"/>
    <w:p w14:paraId="372E4C2E" w14:textId="77777777" w:rsidR="00C47639" w:rsidRDefault="00C47639" w:rsidP="00C47639">
      <w:r>
        <w:t>The low BCF values suggest that IR3535</w:t>
      </w:r>
      <w:r>
        <w:rPr>
          <w:vertAlign w:val="superscript"/>
        </w:rPr>
        <w:t>®</w:t>
      </w:r>
      <w:r>
        <w:t xml:space="preserve"> has a low bioaccumulation potential. Therefore the risk of secondary poisoning via ingestion of contaminated food (</w:t>
      </w:r>
      <w:proofErr w:type="spellStart"/>
      <w:r>
        <w:t>eg</w:t>
      </w:r>
      <w:proofErr w:type="spellEnd"/>
      <w:r>
        <w:t>. earthworms or fish) by birds or mammals is also low and no avian dietary tests were required.</w:t>
      </w:r>
    </w:p>
    <w:p w14:paraId="062D4C8B" w14:textId="77777777" w:rsidR="00C47639" w:rsidRDefault="00C47639" w:rsidP="00C47639"/>
    <w:tbl>
      <w:tblPr>
        <w:tblW w:w="0" w:type="auto"/>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790"/>
        <w:gridCol w:w="4540"/>
      </w:tblGrid>
      <w:tr w:rsidR="00C47639" w:rsidRPr="004947C2" w14:paraId="6E0E6506" w14:textId="77777777" w:rsidTr="00C47639">
        <w:tc>
          <w:tcPr>
            <w:tcW w:w="9330" w:type="dxa"/>
            <w:gridSpan w:val="2"/>
            <w:tcBorders>
              <w:top w:val="single" w:sz="4" w:space="0" w:color="auto"/>
              <w:left w:val="single" w:sz="4" w:space="0" w:color="auto"/>
              <w:bottom w:val="single" w:sz="4" w:space="0" w:color="auto"/>
              <w:right w:val="single" w:sz="6" w:space="0" w:color="auto"/>
            </w:tcBorders>
            <w:shd w:val="clear" w:color="auto" w:fill="FFFFCC"/>
            <w:hideMark/>
          </w:tcPr>
          <w:p w14:paraId="12DE1D15" w14:textId="77777777" w:rsidR="00C47639" w:rsidRPr="004947C2" w:rsidRDefault="00C47639" w:rsidP="00C47639">
            <w:pPr>
              <w:pStyle w:val="Standaard-Tabellen"/>
              <w:rPr>
                <w:b/>
              </w:rPr>
            </w:pPr>
            <w:r w:rsidRPr="004947C2">
              <w:rPr>
                <w:b/>
              </w:rPr>
              <w:t>Summary of PNEC values for the active substance</w:t>
            </w:r>
          </w:p>
        </w:tc>
      </w:tr>
      <w:tr w:rsidR="00C47639" w:rsidRPr="004947C2" w14:paraId="59FE55E8" w14:textId="77777777" w:rsidTr="00C47639">
        <w:tc>
          <w:tcPr>
            <w:tcW w:w="4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469270" w14:textId="77777777" w:rsidR="00C47639" w:rsidRPr="004947C2" w:rsidRDefault="00C47639" w:rsidP="00C47639">
            <w:pPr>
              <w:pStyle w:val="Standaard-Tabellen"/>
              <w:rPr>
                <w:b/>
                <w:lang w:eastAsia="en-US"/>
              </w:rPr>
            </w:pPr>
            <w:r w:rsidRPr="004947C2">
              <w:rPr>
                <w:b/>
                <w:lang w:eastAsia="en-US"/>
              </w:rPr>
              <w:t>Compartment</w:t>
            </w:r>
          </w:p>
        </w:tc>
        <w:tc>
          <w:tcPr>
            <w:tcW w:w="4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6CA4E2" w14:textId="77777777" w:rsidR="00C47639" w:rsidRPr="004947C2" w:rsidRDefault="00C47639" w:rsidP="00C47639">
            <w:pPr>
              <w:pStyle w:val="Standaard-Tabellen"/>
              <w:rPr>
                <w:b/>
                <w:lang w:eastAsia="en-US"/>
              </w:rPr>
            </w:pPr>
            <w:r w:rsidRPr="004947C2">
              <w:rPr>
                <w:b/>
                <w:lang w:eastAsia="en-US"/>
              </w:rPr>
              <w:t>PNEC value</w:t>
            </w:r>
          </w:p>
        </w:tc>
      </w:tr>
      <w:tr w:rsidR="00C47639" w14:paraId="5DC1AA46"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0D327D07" w14:textId="77777777" w:rsidR="00C47639" w:rsidRDefault="00C47639" w:rsidP="00C47639">
            <w:pPr>
              <w:pStyle w:val="Standaard-Tabellen"/>
              <w:rPr>
                <w:lang w:eastAsia="en-US"/>
              </w:rPr>
            </w:pPr>
            <w:proofErr w:type="spellStart"/>
            <w:r>
              <w:t>PNEC</w:t>
            </w:r>
            <w:r>
              <w:rPr>
                <w:vertAlign w:val="subscript"/>
              </w:rPr>
              <w:t>aquatic</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64F31D8E" w14:textId="77777777" w:rsidR="00C47639" w:rsidRDefault="00C47639" w:rsidP="00C47639">
            <w:pPr>
              <w:pStyle w:val="Standaard-Tabellen"/>
              <w:rPr>
                <w:lang w:eastAsia="en-US"/>
              </w:rPr>
            </w:pPr>
            <w:r>
              <w:t>&gt; 0.1 mg/l</w:t>
            </w:r>
          </w:p>
        </w:tc>
      </w:tr>
      <w:tr w:rsidR="00C47639" w14:paraId="05591754"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69AE2987" w14:textId="77777777" w:rsidR="00C47639" w:rsidRDefault="00C47639" w:rsidP="00C47639">
            <w:pPr>
              <w:pStyle w:val="Standaard-Tabellen"/>
              <w:rPr>
                <w:lang w:eastAsia="en-US"/>
              </w:rPr>
            </w:pPr>
            <w:proofErr w:type="spellStart"/>
            <w:r>
              <w:t>PNEC</w:t>
            </w:r>
            <w:r>
              <w:rPr>
                <w:vertAlign w:val="subscript"/>
              </w:rPr>
              <w:t>sediment</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597C01AC" w14:textId="77777777" w:rsidR="00C47639" w:rsidRDefault="00C47639" w:rsidP="00C47639">
            <w:pPr>
              <w:pStyle w:val="Standaard-Tabellen"/>
              <w:rPr>
                <w:lang w:eastAsia="en-US"/>
              </w:rPr>
            </w:pPr>
            <w:r>
              <w:t xml:space="preserve">&gt; 1.11 mg/kg </w:t>
            </w:r>
            <w:proofErr w:type="spellStart"/>
            <w:r>
              <w:t>wwt</w:t>
            </w:r>
            <w:proofErr w:type="spellEnd"/>
          </w:p>
        </w:tc>
      </w:tr>
      <w:tr w:rsidR="00C47639" w14:paraId="1EACBC95"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45E09DF3" w14:textId="77777777" w:rsidR="00C47639" w:rsidRDefault="00C47639" w:rsidP="00C47639">
            <w:pPr>
              <w:pStyle w:val="Standaard-Tabellen"/>
              <w:rPr>
                <w:lang w:eastAsia="en-US"/>
              </w:rPr>
            </w:pPr>
            <w:proofErr w:type="spellStart"/>
            <w:r>
              <w:t>PNEC</w:t>
            </w:r>
            <w:r>
              <w:rPr>
                <w:vertAlign w:val="subscript"/>
              </w:rPr>
              <w:t>micro</w:t>
            </w:r>
            <w:proofErr w:type="spellEnd"/>
            <w:r>
              <w:rPr>
                <w:vertAlign w:val="subscript"/>
              </w:rPr>
              <w:t>-organisms (STP)</w:t>
            </w:r>
          </w:p>
        </w:tc>
        <w:tc>
          <w:tcPr>
            <w:tcW w:w="4540" w:type="dxa"/>
            <w:tcBorders>
              <w:top w:val="single" w:sz="4" w:space="0" w:color="auto"/>
              <w:left w:val="single" w:sz="4" w:space="0" w:color="auto"/>
              <w:bottom w:val="single" w:sz="4" w:space="0" w:color="auto"/>
              <w:right w:val="single" w:sz="4" w:space="0" w:color="auto"/>
            </w:tcBorders>
            <w:vAlign w:val="center"/>
            <w:hideMark/>
          </w:tcPr>
          <w:p w14:paraId="5518421A" w14:textId="77777777" w:rsidR="00C47639" w:rsidRDefault="00C47639" w:rsidP="00C47639">
            <w:pPr>
              <w:pStyle w:val="Standaard-Tabellen"/>
              <w:rPr>
                <w:lang w:eastAsia="en-US"/>
              </w:rPr>
            </w:pPr>
            <w:r>
              <w:t>100 mg/l</w:t>
            </w:r>
          </w:p>
        </w:tc>
      </w:tr>
      <w:tr w:rsidR="00C47639" w14:paraId="1496AAF3"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63CB7180" w14:textId="77777777" w:rsidR="00C47639" w:rsidRDefault="00C47639" w:rsidP="00C47639">
            <w:pPr>
              <w:pStyle w:val="Standaard-Tabellen"/>
              <w:rPr>
                <w:lang w:eastAsia="en-US"/>
              </w:rPr>
            </w:pPr>
            <w:proofErr w:type="spellStart"/>
            <w:r>
              <w:t>PNEC</w:t>
            </w:r>
            <w:r>
              <w:rPr>
                <w:vertAlign w:val="subscript"/>
              </w:rPr>
              <w:t>soil</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0ECE1F62" w14:textId="77777777" w:rsidR="00C47639" w:rsidRDefault="00C47639" w:rsidP="00C47639">
            <w:pPr>
              <w:pStyle w:val="Standaard-Tabellen"/>
              <w:rPr>
                <w:lang w:eastAsia="en-US"/>
              </w:rPr>
            </w:pPr>
            <w:r>
              <w:t xml:space="preserve">&gt; 0.85 mg/kg </w:t>
            </w:r>
            <w:proofErr w:type="spellStart"/>
            <w:r>
              <w:t>wwt</w:t>
            </w:r>
            <w:proofErr w:type="spellEnd"/>
          </w:p>
        </w:tc>
      </w:tr>
      <w:tr w:rsidR="00C47639" w14:paraId="17BA7753"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7328F687" w14:textId="77777777" w:rsidR="00C47639" w:rsidRDefault="00C47639" w:rsidP="00C47639">
            <w:pPr>
              <w:pStyle w:val="Standaard-Tabellen"/>
              <w:rPr>
                <w:vertAlign w:val="subscript"/>
                <w:lang w:eastAsia="en-US"/>
              </w:rPr>
            </w:pPr>
            <w:proofErr w:type="spellStart"/>
            <w:r>
              <w:lastRenderedPageBreak/>
              <w:t>PNEC</w:t>
            </w:r>
            <w:r>
              <w:rPr>
                <w:vertAlign w:val="subscript"/>
              </w:rPr>
              <w:t>saltwater</w:t>
            </w:r>
            <w:proofErr w:type="spellEnd"/>
          </w:p>
        </w:tc>
        <w:tc>
          <w:tcPr>
            <w:tcW w:w="4540" w:type="dxa"/>
            <w:tcBorders>
              <w:top w:val="single" w:sz="4" w:space="0" w:color="auto"/>
              <w:left w:val="single" w:sz="4" w:space="0" w:color="auto"/>
              <w:bottom w:val="single" w:sz="4" w:space="0" w:color="auto"/>
              <w:right w:val="single" w:sz="4" w:space="0" w:color="auto"/>
            </w:tcBorders>
            <w:vAlign w:val="center"/>
            <w:hideMark/>
          </w:tcPr>
          <w:p w14:paraId="05869979" w14:textId="77777777" w:rsidR="00C47639" w:rsidRDefault="00C47639" w:rsidP="00C47639">
            <w:pPr>
              <w:pStyle w:val="Standaard-Tabellen"/>
              <w:rPr>
                <w:lang w:eastAsia="en-US"/>
              </w:rPr>
            </w:pPr>
            <w:r>
              <w:t>&gt; 0.01 mg/l</w:t>
            </w:r>
          </w:p>
        </w:tc>
      </w:tr>
      <w:tr w:rsidR="00C47639" w14:paraId="14BAEAA6" w14:textId="77777777" w:rsidTr="00C47639">
        <w:tc>
          <w:tcPr>
            <w:tcW w:w="4790" w:type="dxa"/>
            <w:tcBorders>
              <w:top w:val="single" w:sz="4" w:space="0" w:color="auto"/>
              <w:left w:val="single" w:sz="4" w:space="0" w:color="auto"/>
              <w:bottom w:val="single" w:sz="4" w:space="0" w:color="auto"/>
              <w:right w:val="single" w:sz="4" w:space="0" w:color="auto"/>
            </w:tcBorders>
            <w:vAlign w:val="center"/>
            <w:hideMark/>
          </w:tcPr>
          <w:p w14:paraId="67805FC0" w14:textId="77777777" w:rsidR="00C47639" w:rsidRDefault="00C47639" w:rsidP="00C47639">
            <w:pPr>
              <w:pStyle w:val="Standaard-Tabellen"/>
              <w:rPr>
                <w:lang w:eastAsia="en-US"/>
              </w:rPr>
            </w:pPr>
            <w:proofErr w:type="spellStart"/>
            <w:r>
              <w:t>PNEC</w:t>
            </w:r>
            <w:r>
              <w:rPr>
                <w:vertAlign w:val="subscript"/>
              </w:rPr>
              <w:t>marine</w:t>
            </w:r>
            <w:proofErr w:type="spellEnd"/>
            <w:r>
              <w:rPr>
                <w:vertAlign w:val="subscript"/>
              </w:rPr>
              <w:t>-sediment</w:t>
            </w:r>
          </w:p>
        </w:tc>
        <w:tc>
          <w:tcPr>
            <w:tcW w:w="4540" w:type="dxa"/>
            <w:tcBorders>
              <w:top w:val="single" w:sz="4" w:space="0" w:color="auto"/>
              <w:left w:val="single" w:sz="4" w:space="0" w:color="auto"/>
              <w:bottom w:val="single" w:sz="4" w:space="0" w:color="auto"/>
              <w:right w:val="single" w:sz="4" w:space="0" w:color="auto"/>
            </w:tcBorders>
            <w:vAlign w:val="center"/>
            <w:hideMark/>
          </w:tcPr>
          <w:p w14:paraId="42E63638" w14:textId="77777777" w:rsidR="00C47639" w:rsidRDefault="00C47639" w:rsidP="00C47639">
            <w:pPr>
              <w:pStyle w:val="Standaard-Tabellen"/>
              <w:rPr>
                <w:lang w:eastAsia="en-US"/>
              </w:rPr>
            </w:pPr>
            <w:r>
              <w:t xml:space="preserve">&gt; 0.111 mg/kg </w:t>
            </w:r>
            <w:proofErr w:type="spellStart"/>
            <w:r>
              <w:t>wwt</w:t>
            </w:r>
            <w:proofErr w:type="spellEnd"/>
          </w:p>
        </w:tc>
      </w:tr>
    </w:tbl>
    <w:p w14:paraId="61C88FC9" w14:textId="77777777" w:rsidR="00C47639" w:rsidRDefault="00C47639" w:rsidP="00C47639">
      <w:bookmarkStart w:id="254" w:name="_Toc389729099"/>
      <w:bookmarkStart w:id="255" w:name="_Toc403472784"/>
    </w:p>
    <w:p w14:paraId="6640F5AC" w14:textId="77777777" w:rsidR="00C47639" w:rsidRPr="00FD2055" w:rsidRDefault="00C47639" w:rsidP="00C47639">
      <w:pPr>
        <w:pStyle w:val="Titre5"/>
        <w:numPr>
          <w:ilvl w:val="0"/>
          <w:numId w:val="33"/>
        </w:numPr>
      </w:pPr>
      <w:bookmarkStart w:id="256" w:name="_Toc532391120"/>
      <w:bookmarkStart w:id="257" w:name="_Toc8296534"/>
      <w:r w:rsidRPr="00FD2055">
        <w:t xml:space="preserve">Information relating to the </w:t>
      </w:r>
      <w:proofErr w:type="spellStart"/>
      <w:r w:rsidRPr="00FD2055">
        <w:t>ecotoxicity</w:t>
      </w:r>
      <w:proofErr w:type="spellEnd"/>
      <w:r w:rsidRPr="00FD2055">
        <w:t xml:space="preserve"> of the biocidal product which is sufficient to enable a decision to be made concerning the classification of the product is required</w:t>
      </w:r>
      <w:bookmarkEnd w:id="254"/>
      <w:bookmarkEnd w:id="255"/>
      <w:bookmarkEnd w:id="256"/>
      <w:bookmarkEnd w:id="257"/>
    </w:p>
    <w:p w14:paraId="651DB7A6" w14:textId="77777777" w:rsidR="00C47639" w:rsidRDefault="00C47639" w:rsidP="00C47639">
      <w:r>
        <w:t>The product does not contain any substance at such a concentration that it has an effect on the environmental classification of the product. No additional information on the biocidal product is required.</w:t>
      </w:r>
    </w:p>
    <w:p w14:paraId="401B5849" w14:textId="77777777" w:rsidR="00C47639" w:rsidRDefault="00C47639" w:rsidP="00C47639"/>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99"/>
      </w:tblGrid>
      <w:tr w:rsidR="00C47639" w:rsidRPr="00BD2EF1" w14:paraId="280896A6" w14:textId="77777777" w:rsidTr="00C47639">
        <w:tc>
          <w:tcPr>
            <w:tcW w:w="5000" w:type="pct"/>
            <w:tcBorders>
              <w:top w:val="single" w:sz="4" w:space="0" w:color="auto"/>
              <w:left w:val="single" w:sz="4" w:space="0" w:color="auto"/>
              <w:bottom w:val="single" w:sz="6" w:space="0" w:color="auto"/>
              <w:right w:val="single" w:sz="6" w:space="0" w:color="auto"/>
            </w:tcBorders>
            <w:shd w:val="clear" w:color="auto" w:fill="CCFFCC"/>
          </w:tcPr>
          <w:p w14:paraId="7416C175" w14:textId="77777777" w:rsidR="00C47639" w:rsidRPr="00DA0346" w:rsidRDefault="00C47639" w:rsidP="00C47639">
            <w:pPr>
              <w:rPr>
                <w:b/>
              </w:rPr>
            </w:pPr>
            <w:r w:rsidRPr="00DA0346">
              <w:rPr>
                <w:b/>
              </w:rPr>
              <w:t xml:space="preserve">Conclusion on the </w:t>
            </w:r>
            <w:r>
              <w:rPr>
                <w:b/>
              </w:rPr>
              <w:t>environmental classification and labelling</w:t>
            </w:r>
            <w:r w:rsidRPr="00DA0346">
              <w:rPr>
                <w:b/>
              </w:rPr>
              <w:t xml:space="preserve"> of the product</w:t>
            </w:r>
          </w:p>
        </w:tc>
      </w:tr>
      <w:tr w:rsidR="00C47639" w:rsidRPr="00BD2EF1" w14:paraId="3CBCE4B5" w14:textId="77777777" w:rsidTr="00C476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C881C91" w14:textId="77777777" w:rsidR="00C47639" w:rsidRPr="00BD2EF1" w:rsidRDefault="00C47639" w:rsidP="00C47639">
            <w:r>
              <w:t>Insect Repellent Pump Spray IR3535</w:t>
            </w:r>
            <w:r w:rsidRPr="0004367B">
              <w:rPr>
                <w:vertAlign w:val="superscript"/>
              </w:rPr>
              <w:t>®</w:t>
            </w:r>
            <w:r>
              <w:t xml:space="preserve"> 20% does not require any environmental classification or labelling. </w:t>
            </w:r>
          </w:p>
        </w:tc>
      </w:tr>
    </w:tbl>
    <w:p w14:paraId="359EBB50" w14:textId="77777777" w:rsidR="00C47639" w:rsidRPr="00FD2055" w:rsidRDefault="00C47639" w:rsidP="00C47639">
      <w:pPr>
        <w:pStyle w:val="Titre5"/>
      </w:pPr>
      <w:bookmarkStart w:id="258" w:name="_Toc389729100"/>
      <w:bookmarkStart w:id="259" w:name="_Toc403472785"/>
      <w:bookmarkStart w:id="260" w:name="_Toc532391121"/>
      <w:bookmarkStart w:id="261" w:name="_Toc8296535"/>
      <w:r w:rsidRPr="00FD2055">
        <w:t xml:space="preserve">Further </w:t>
      </w:r>
      <w:proofErr w:type="spellStart"/>
      <w:r w:rsidRPr="00FD2055">
        <w:t>Ecotoxicological</w:t>
      </w:r>
      <w:proofErr w:type="spellEnd"/>
      <w:r w:rsidRPr="00FD2055">
        <w:t xml:space="preserve"> studies</w:t>
      </w:r>
      <w:bookmarkEnd w:id="258"/>
      <w:bookmarkEnd w:id="259"/>
      <w:bookmarkEnd w:id="260"/>
      <w:bookmarkEnd w:id="261"/>
    </w:p>
    <w:p w14:paraId="2584B173" w14:textId="77777777" w:rsidR="00C47639" w:rsidRDefault="00C47639" w:rsidP="00C47639">
      <w:r>
        <w:t xml:space="preserve">The assessment of the active substance in the CAR showed that there is no concern for the aquatic and terrestrial environment and thus no further </w:t>
      </w:r>
      <w:proofErr w:type="spellStart"/>
      <w:r>
        <w:t>ecotoxicological</w:t>
      </w:r>
      <w:proofErr w:type="spellEnd"/>
      <w:r>
        <w:t xml:space="preserve"> studies are required according to the CAR.</w:t>
      </w:r>
    </w:p>
    <w:p w14:paraId="6E9843E5" w14:textId="77777777" w:rsidR="00C47639" w:rsidRDefault="00C47639" w:rsidP="00C47639"/>
    <w:p w14:paraId="62718E18" w14:textId="77777777" w:rsidR="00C47639" w:rsidRDefault="00C47639" w:rsidP="00C47639">
      <w:r>
        <w:t xml:space="preserve">For this particular product, there is no direct exposure to the environment and the product does not contain </w:t>
      </w:r>
      <w:proofErr w:type="spellStart"/>
      <w:r>
        <w:t>formulants</w:t>
      </w:r>
      <w:proofErr w:type="spellEnd"/>
      <w:r>
        <w:t xml:space="preserve"> other than the active substance that could be of </w:t>
      </w:r>
      <w:proofErr w:type="spellStart"/>
      <w:r>
        <w:t>ecotoxicological</w:t>
      </w:r>
      <w:proofErr w:type="spellEnd"/>
      <w:r>
        <w:t xml:space="preserve"> concern, thus the data on the active substance are sufficient for the evaluation of the </w:t>
      </w:r>
      <w:proofErr w:type="spellStart"/>
      <w:r>
        <w:t>ecotoxicological</w:t>
      </w:r>
      <w:proofErr w:type="spellEnd"/>
      <w:r>
        <w:t xml:space="preserve"> effects of the biocidal product.</w:t>
      </w:r>
    </w:p>
    <w:p w14:paraId="396509C2" w14:textId="77777777" w:rsidR="00C47639" w:rsidRPr="001F67A8" w:rsidRDefault="00C47639" w:rsidP="00C47639">
      <w:pPr>
        <w:pStyle w:val="Titre5"/>
        <w:rPr>
          <w:color w:val="595959" w:themeColor="text1" w:themeTint="A6"/>
        </w:rPr>
      </w:pPr>
      <w:bookmarkStart w:id="262" w:name="_Toc389729101"/>
      <w:bookmarkStart w:id="263" w:name="_Toc403472786"/>
      <w:bookmarkStart w:id="264" w:name="_Toc532391122"/>
      <w:bookmarkStart w:id="265" w:name="_Toc8296536"/>
      <w:r w:rsidRPr="001F67A8">
        <w:rPr>
          <w:color w:val="595959" w:themeColor="text1" w:themeTint="A6"/>
        </w:rPr>
        <w:t>Effects on any other specific, non-target organisms (flora and fauna) believed to be at risk (ADS)</w:t>
      </w:r>
      <w:bookmarkEnd w:id="262"/>
      <w:bookmarkEnd w:id="263"/>
      <w:bookmarkEnd w:id="264"/>
      <w:bookmarkEnd w:id="265"/>
    </w:p>
    <w:p w14:paraId="7434258D" w14:textId="77777777" w:rsidR="00C47639" w:rsidRPr="00FD2055" w:rsidRDefault="00C47639" w:rsidP="00C47639">
      <w:r>
        <w:t>No further data is available.</w:t>
      </w:r>
    </w:p>
    <w:p w14:paraId="0F917668" w14:textId="77777777" w:rsidR="00C47639" w:rsidRPr="00FD2055" w:rsidRDefault="00C47639" w:rsidP="00C47639">
      <w:pPr>
        <w:pStyle w:val="Titre5"/>
      </w:pPr>
      <w:bookmarkStart w:id="266" w:name="_Toc389729102"/>
      <w:bookmarkStart w:id="267" w:name="_Toc403472787"/>
      <w:bookmarkStart w:id="268" w:name="_Toc532391123"/>
      <w:bookmarkStart w:id="269" w:name="_Toc8296537"/>
      <w:r w:rsidRPr="00FD2055">
        <w:t>Supervised trials to assess risks to non-target organisms under field conditions</w:t>
      </w:r>
      <w:bookmarkEnd w:id="266"/>
      <w:bookmarkEnd w:id="267"/>
      <w:bookmarkEnd w:id="268"/>
      <w:bookmarkEnd w:id="269"/>
    </w:p>
    <w:p w14:paraId="5A7821B6" w14:textId="77777777" w:rsidR="00C47639" w:rsidRDefault="00C47639" w:rsidP="00C47639">
      <w:bookmarkStart w:id="270" w:name="_Toc389729103"/>
      <w:bookmarkStart w:id="271" w:name="_Toc403472788"/>
      <w:r>
        <w:t>The product is not in the form of bait or granules, so nonesuch data is required.</w:t>
      </w:r>
    </w:p>
    <w:p w14:paraId="4DB22A38" w14:textId="77777777" w:rsidR="00C47639" w:rsidRPr="00FD2055" w:rsidRDefault="00C47639" w:rsidP="00C47639">
      <w:pPr>
        <w:pStyle w:val="Titre5"/>
      </w:pPr>
      <w:bookmarkStart w:id="272" w:name="_Toc532391124"/>
      <w:bookmarkStart w:id="273" w:name="_Toc8296538"/>
      <w:r w:rsidRPr="00FD2055">
        <w:t>Studies on acceptance by ingestion of the biocidal product by any non-target organisms thought to be at risk</w:t>
      </w:r>
      <w:bookmarkEnd w:id="270"/>
      <w:bookmarkEnd w:id="271"/>
      <w:bookmarkEnd w:id="272"/>
      <w:bookmarkEnd w:id="273"/>
    </w:p>
    <w:p w14:paraId="470A7DC9" w14:textId="77777777" w:rsidR="00C47639" w:rsidRDefault="00C47639" w:rsidP="00C47639">
      <w:bookmarkStart w:id="274" w:name="_Toc389729104"/>
      <w:bookmarkStart w:id="275" w:name="_Toc403472789"/>
      <w:r>
        <w:t>The product is not in the form of bait or granules, so nonesuch data is required.</w:t>
      </w:r>
    </w:p>
    <w:p w14:paraId="788860E2" w14:textId="77777777" w:rsidR="00C47639" w:rsidRPr="0074364C" w:rsidRDefault="00C47639" w:rsidP="00C47639">
      <w:pPr>
        <w:pStyle w:val="Titre5"/>
        <w:rPr>
          <w:color w:val="595959" w:themeColor="text1" w:themeTint="A6"/>
        </w:rPr>
      </w:pPr>
      <w:bookmarkStart w:id="276" w:name="_Toc532391125"/>
      <w:bookmarkStart w:id="277" w:name="_Toc8296539"/>
      <w:r w:rsidRPr="0074364C">
        <w:rPr>
          <w:color w:val="595959" w:themeColor="text1" w:themeTint="A6"/>
        </w:rPr>
        <w:t>Secondary ecological effect e.g. when a large proportion of a specific habitat type is treated (ADS)</w:t>
      </w:r>
      <w:bookmarkEnd w:id="274"/>
      <w:bookmarkEnd w:id="275"/>
      <w:bookmarkEnd w:id="276"/>
      <w:bookmarkEnd w:id="277"/>
    </w:p>
    <w:p w14:paraId="22F9A847" w14:textId="77777777" w:rsidR="00C47639" w:rsidRPr="00FD2055" w:rsidRDefault="00C47639" w:rsidP="00C47639">
      <w:r>
        <w:t>Not relevant.</w:t>
      </w:r>
    </w:p>
    <w:p w14:paraId="5EB96E1A" w14:textId="77777777" w:rsidR="00C47639" w:rsidRPr="00FD2055" w:rsidRDefault="00C47639" w:rsidP="00C47639">
      <w:pPr>
        <w:pStyle w:val="Titre5"/>
      </w:pPr>
      <w:bookmarkStart w:id="278" w:name="_Toc389729105"/>
      <w:bookmarkStart w:id="279" w:name="_Toc403472790"/>
      <w:bookmarkStart w:id="280" w:name="_Toc532391126"/>
      <w:bookmarkStart w:id="281" w:name="_Toc8296540"/>
      <w:r w:rsidRPr="00FD2055">
        <w:t>Foreseeable routes of entry into the environment on the basis of the use envisaged</w:t>
      </w:r>
      <w:bookmarkEnd w:id="278"/>
      <w:bookmarkEnd w:id="279"/>
      <w:bookmarkEnd w:id="280"/>
      <w:bookmarkEnd w:id="281"/>
    </w:p>
    <w:p w14:paraId="0AC1D223" w14:textId="77777777" w:rsidR="00C47639" w:rsidRDefault="00C47639" w:rsidP="00C47639">
      <w:bookmarkStart w:id="282" w:name="_Toc389729106"/>
      <w:bookmarkStart w:id="283" w:name="_Toc403472791"/>
      <w:r>
        <w:t>The foreseeable routes of entry into the environment have been described in the CAR for the active substance and are also valid for this product.</w:t>
      </w:r>
    </w:p>
    <w:p w14:paraId="48A73167" w14:textId="77777777" w:rsidR="00C47639" w:rsidRDefault="00C47639" w:rsidP="00C47639">
      <w:r>
        <w:t xml:space="preserve">Direct release to soil is not considered relevant, whereas direct release to surface water (swimming </w:t>
      </w:r>
      <w:proofErr w:type="gramStart"/>
      <w:r>
        <w:t>lake scenario</w:t>
      </w:r>
      <w:proofErr w:type="gramEnd"/>
      <w:r>
        <w:t xml:space="preserve">) is considered relevant, but was not yet assessed in the CAR due to the lack of an endorsed scenario. </w:t>
      </w:r>
    </w:p>
    <w:p w14:paraId="511F0818" w14:textId="77777777" w:rsidR="00C47639" w:rsidRDefault="00C47639" w:rsidP="00C47639">
      <w:r>
        <w:lastRenderedPageBreak/>
        <w:t>Secondary release via wastewater and STP through showering and bathing is also a relevant route of emission.</w:t>
      </w:r>
    </w:p>
    <w:p w14:paraId="2E866C18" w14:textId="77777777" w:rsidR="00C47639" w:rsidRPr="0074364C" w:rsidRDefault="00C47639" w:rsidP="00C47639">
      <w:pPr>
        <w:pStyle w:val="Titre5"/>
        <w:rPr>
          <w:color w:val="595959" w:themeColor="text1" w:themeTint="A6"/>
        </w:rPr>
      </w:pPr>
      <w:bookmarkStart w:id="284" w:name="_Toc532391127"/>
      <w:bookmarkStart w:id="285" w:name="_Toc8296541"/>
      <w:r w:rsidRPr="0074364C">
        <w:rPr>
          <w:color w:val="595959" w:themeColor="text1" w:themeTint="A6"/>
        </w:rPr>
        <w:t xml:space="preserve">Further studies on fate and </w:t>
      </w:r>
      <w:proofErr w:type="spellStart"/>
      <w:r w:rsidRPr="0074364C">
        <w:rPr>
          <w:color w:val="595959" w:themeColor="text1" w:themeTint="A6"/>
        </w:rPr>
        <w:t>behaviour</w:t>
      </w:r>
      <w:proofErr w:type="spellEnd"/>
      <w:r w:rsidRPr="0074364C">
        <w:rPr>
          <w:color w:val="595959" w:themeColor="text1" w:themeTint="A6"/>
        </w:rPr>
        <w:t xml:space="preserve"> in the environment (ADS)</w:t>
      </w:r>
      <w:bookmarkEnd w:id="282"/>
      <w:bookmarkEnd w:id="283"/>
      <w:bookmarkEnd w:id="284"/>
      <w:bookmarkEnd w:id="285"/>
    </w:p>
    <w:p w14:paraId="75ED935B" w14:textId="77777777" w:rsidR="00C47639" w:rsidRDefault="00C47639" w:rsidP="00C47639">
      <w:bookmarkStart w:id="286" w:name="_Toc388285334"/>
      <w:bookmarkStart w:id="287" w:name="_Toc388374383"/>
      <w:bookmarkStart w:id="288" w:name="_Toc388285335"/>
      <w:bookmarkStart w:id="289" w:name="_Toc388374384"/>
      <w:bookmarkStart w:id="290" w:name="_Toc389729107"/>
      <w:bookmarkStart w:id="291" w:name="_Toc403472792"/>
      <w:bookmarkEnd w:id="286"/>
      <w:bookmarkEnd w:id="287"/>
      <w:bookmarkEnd w:id="288"/>
      <w:bookmarkEnd w:id="289"/>
      <w:r>
        <w:t>No new data was submitted or is required. Information on the active substance suffices for the environmental risk assessment of the product. Moreover, the product does not contain any other substances relevant for the environment apart from the active substance.</w:t>
      </w:r>
    </w:p>
    <w:p w14:paraId="363B0491" w14:textId="77777777" w:rsidR="00C47639" w:rsidRPr="0074364C" w:rsidRDefault="00C47639" w:rsidP="00C47639">
      <w:pPr>
        <w:pStyle w:val="Titre5"/>
        <w:rPr>
          <w:color w:val="595959" w:themeColor="text1" w:themeTint="A6"/>
        </w:rPr>
      </w:pPr>
      <w:bookmarkStart w:id="292" w:name="_Toc532391128"/>
      <w:bookmarkStart w:id="293" w:name="_Toc8296542"/>
      <w:r w:rsidRPr="0074364C">
        <w:rPr>
          <w:color w:val="595959" w:themeColor="text1" w:themeTint="A6"/>
        </w:rPr>
        <w:t xml:space="preserve">Leaching </w:t>
      </w:r>
      <w:proofErr w:type="spellStart"/>
      <w:r w:rsidRPr="0074364C">
        <w:rPr>
          <w:color w:val="595959" w:themeColor="text1" w:themeTint="A6"/>
        </w:rPr>
        <w:t>behaviour</w:t>
      </w:r>
      <w:proofErr w:type="spellEnd"/>
      <w:r w:rsidRPr="0074364C">
        <w:rPr>
          <w:color w:val="595959" w:themeColor="text1" w:themeTint="A6"/>
        </w:rPr>
        <w:t xml:space="preserve"> (ADS)</w:t>
      </w:r>
      <w:bookmarkEnd w:id="290"/>
      <w:bookmarkEnd w:id="291"/>
      <w:bookmarkEnd w:id="292"/>
      <w:bookmarkEnd w:id="293"/>
    </w:p>
    <w:p w14:paraId="112B07EB" w14:textId="77777777" w:rsidR="00C47639" w:rsidRDefault="00C47639" w:rsidP="00C47639">
      <w:bookmarkStart w:id="294" w:name="_Toc389729108"/>
      <w:bookmarkStart w:id="295" w:name="_Toc403472793"/>
      <w:r>
        <w:t>Not relevant.</w:t>
      </w:r>
    </w:p>
    <w:p w14:paraId="3ADB82A9" w14:textId="77777777" w:rsidR="00C47639" w:rsidRPr="0074364C" w:rsidRDefault="00C47639" w:rsidP="00C47639">
      <w:pPr>
        <w:pStyle w:val="Titre5"/>
        <w:rPr>
          <w:color w:val="595959" w:themeColor="text1" w:themeTint="A6"/>
        </w:rPr>
      </w:pPr>
      <w:bookmarkStart w:id="296" w:name="_Toc532391129"/>
      <w:bookmarkStart w:id="297" w:name="_Toc8296543"/>
      <w:r w:rsidRPr="0074364C">
        <w:rPr>
          <w:color w:val="595959" w:themeColor="text1" w:themeTint="A6"/>
        </w:rPr>
        <w:t>Testing for distribution and dissipation in soil (ADS)</w:t>
      </w:r>
      <w:bookmarkEnd w:id="294"/>
      <w:bookmarkEnd w:id="295"/>
      <w:bookmarkEnd w:id="296"/>
      <w:bookmarkEnd w:id="297"/>
    </w:p>
    <w:p w14:paraId="12306164" w14:textId="77777777" w:rsidR="00C47639" w:rsidRDefault="00C47639" w:rsidP="00C47639">
      <w:bookmarkStart w:id="298" w:name="_Toc389729109"/>
      <w:bookmarkStart w:id="299" w:name="_Toc403472794"/>
      <w:r>
        <w:t>Since there is no direct release to soil and the soil compartment is not envisioned as a compartment of interest in the evaluation of this product, none such additional data is submitted or required.</w:t>
      </w:r>
    </w:p>
    <w:p w14:paraId="6515048E" w14:textId="77777777" w:rsidR="00C47639" w:rsidRPr="0074364C" w:rsidRDefault="00C47639" w:rsidP="00C47639">
      <w:pPr>
        <w:pStyle w:val="Titre5"/>
        <w:rPr>
          <w:color w:val="595959" w:themeColor="text1" w:themeTint="A6"/>
        </w:rPr>
      </w:pPr>
      <w:bookmarkStart w:id="300" w:name="_Toc532391130"/>
      <w:bookmarkStart w:id="301" w:name="_Toc8296544"/>
      <w:r w:rsidRPr="0074364C">
        <w:rPr>
          <w:color w:val="595959" w:themeColor="text1" w:themeTint="A6"/>
        </w:rPr>
        <w:t>Testing for distribution and dissipation in water and sediment (ADS)</w:t>
      </w:r>
      <w:bookmarkEnd w:id="298"/>
      <w:bookmarkEnd w:id="299"/>
      <w:bookmarkEnd w:id="300"/>
      <w:bookmarkEnd w:id="301"/>
    </w:p>
    <w:p w14:paraId="725CA382" w14:textId="77777777" w:rsidR="00C47639" w:rsidRDefault="00C47639" w:rsidP="00C47639">
      <w:r>
        <w:t>No new data was submitted or is required.</w:t>
      </w:r>
      <w:bookmarkStart w:id="302" w:name="_Toc389729110"/>
      <w:bookmarkStart w:id="303" w:name="_Toc403472795"/>
    </w:p>
    <w:p w14:paraId="66F9AFF4" w14:textId="77777777" w:rsidR="00C47639" w:rsidRPr="007747FA" w:rsidRDefault="00C47639" w:rsidP="00C47639">
      <w:pPr>
        <w:pStyle w:val="Titre5"/>
        <w:ind w:left="284" w:hanging="284"/>
        <w:rPr>
          <w:color w:val="595959" w:themeColor="text1" w:themeTint="A6"/>
        </w:rPr>
      </w:pPr>
      <w:r w:rsidRPr="007747FA">
        <w:rPr>
          <w:color w:val="595959" w:themeColor="text1" w:themeTint="A6"/>
        </w:rPr>
        <w:t xml:space="preserve"> </w:t>
      </w:r>
      <w:bookmarkStart w:id="304" w:name="_Toc532391131"/>
      <w:bookmarkStart w:id="305" w:name="_Toc8296545"/>
      <w:r w:rsidRPr="007747FA">
        <w:rPr>
          <w:color w:val="595959" w:themeColor="text1" w:themeTint="A6"/>
        </w:rPr>
        <w:t>Testing for distribution and dissipation in air (ADS)</w:t>
      </w:r>
      <w:bookmarkEnd w:id="302"/>
      <w:bookmarkEnd w:id="303"/>
      <w:bookmarkEnd w:id="304"/>
      <w:bookmarkEnd w:id="305"/>
    </w:p>
    <w:p w14:paraId="13E01C0E" w14:textId="77777777" w:rsidR="00C47639" w:rsidRDefault="00C47639" w:rsidP="00C47639">
      <w:r>
        <w:t>No new data was submitted or is required.</w:t>
      </w:r>
    </w:p>
    <w:p w14:paraId="17A0F498" w14:textId="77777777" w:rsidR="00C47639" w:rsidRPr="007747FA" w:rsidRDefault="00C47639" w:rsidP="00C47639">
      <w:pPr>
        <w:pStyle w:val="Titre5"/>
        <w:rPr>
          <w:color w:val="595959" w:themeColor="text1" w:themeTint="A6"/>
        </w:rPr>
      </w:pPr>
      <w:bookmarkStart w:id="306" w:name="_Toc387250869"/>
      <w:bookmarkStart w:id="307" w:name="_Toc388374389"/>
      <w:bookmarkStart w:id="308" w:name="_Toc388610091"/>
      <w:bookmarkStart w:id="309" w:name="_Toc388625125"/>
      <w:bookmarkStart w:id="310" w:name="_Toc388625379"/>
      <w:bookmarkStart w:id="311" w:name="_Toc388633780"/>
      <w:bookmarkStart w:id="312" w:name="_Toc389725272"/>
      <w:bookmarkStart w:id="313" w:name="_Toc532391132"/>
      <w:bookmarkStart w:id="314" w:name="_Toc8296546"/>
      <w:bookmarkEnd w:id="306"/>
      <w:bookmarkEnd w:id="307"/>
      <w:bookmarkEnd w:id="308"/>
      <w:bookmarkEnd w:id="309"/>
      <w:bookmarkEnd w:id="310"/>
      <w:bookmarkEnd w:id="311"/>
      <w:bookmarkEnd w:id="312"/>
      <w:r w:rsidRPr="007747FA">
        <w:rPr>
          <w:color w:val="595959" w:themeColor="text1" w:themeTint="A6"/>
        </w:rPr>
        <w:t>If the biocidal product is to be sprayed near to surface waters then an overspray study may be required to assess risks to aquatic organisms or plants under field conditions (ADS)</w:t>
      </w:r>
      <w:bookmarkEnd w:id="313"/>
      <w:bookmarkEnd w:id="314"/>
    </w:p>
    <w:p w14:paraId="14D424D7" w14:textId="77777777" w:rsidR="00C47639" w:rsidRDefault="00C47639" w:rsidP="00C47639">
      <w:r>
        <w:t>No new data was submitted or is required.</w:t>
      </w:r>
    </w:p>
    <w:p w14:paraId="299619BC" w14:textId="77777777" w:rsidR="00C47639" w:rsidRPr="005178F2" w:rsidRDefault="00C47639" w:rsidP="00C47639">
      <w:pPr>
        <w:pStyle w:val="Titre5"/>
        <w:rPr>
          <w:color w:val="595959" w:themeColor="text1" w:themeTint="A6"/>
        </w:rPr>
      </w:pPr>
      <w:bookmarkStart w:id="315" w:name="_Toc388285341"/>
      <w:bookmarkStart w:id="316" w:name="_Toc388374391"/>
      <w:bookmarkStart w:id="317" w:name="_Toc388285342"/>
      <w:bookmarkStart w:id="318" w:name="_Toc388374392"/>
      <w:bookmarkStart w:id="319" w:name="_Toc389729112"/>
      <w:bookmarkStart w:id="320" w:name="_Toc403472797"/>
      <w:bookmarkStart w:id="321" w:name="_Toc532391133"/>
      <w:bookmarkStart w:id="322" w:name="_Toc8296547"/>
      <w:bookmarkEnd w:id="315"/>
      <w:bookmarkEnd w:id="316"/>
      <w:bookmarkEnd w:id="317"/>
      <w:bookmarkEnd w:id="318"/>
      <w:r w:rsidRPr="005178F2">
        <w:rPr>
          <w:color w:val="595959" w:themeColor="text1" w:themeTint="A6"/>
        </w:rPr>
        <w:t xml:space="preserve">If the biocidal product is to be sprayed outside or if potential for large scale formation of dust is given then data on overspray </w:t>
      </w:r>
      <w:proofErr w:type="spellStart"/>
      <w:r w:rsidRPr="005178F2">
        <w:rPr>
          <w:color w:val="595959" w:themeColor="text1" w:themeTint="A6"/>
        </w:rPr>
        <w:t>behaviour</w:t>
      </w:r>
      <w:proofErr w:type="spellEnd"/>
      <w:r w:rsidRPr="005178F2">
        <w:rPr>
          <w:color w:val="595959" w:themeColor="text1" w:themeTint="A6"/>
        </w:rPr>
        <w:t xml:space="preserve"> may be required to assess risks to bees and non-target arthropods under field conditions (ADS)</w:t>
      </w:r>
      <w:bookmarkEnd w:id="319"/>
      <w:bookmarkEnd w:id="320"/>
      <w:bookmarkEnd w:id="321"/>
      <w:bookmarkEnd w:id="322"/>
    </w:p>
    <w:p w14:paraId="7E65FBAA" w14:textId="77777777" w:rsidR="00C47639" w:rsidRDefault="00C47639" w:rsidP="00C47639">
      <w:bookmarkStart w:id="323" w:name="_Toc388374394"/>
      <w:bookmarkEnd w:id="323"/>
      <w:r>
        <w:t>No new data was submitted or is required.</w:t>
      </w:r>
    </w:p>
    <w:p w14:paraId="297495B5" w14:textId="77777777" w:rsidR="00C47639" w:rsidRDefault="00C47639" w:rsidP="00C47639"/>
    <w:p w14:paraId="789FF86C" w14:textId="77777777" w:rsidR="00C47639" w:rsidRDefault="00C47639" w:rsidP="00C47639">
      <w:pPr>
        <w:spacing w:before="0" w:after="160" w:line="259" w:lineRule="auto"/>
      </w:pPr>
      <w:r>
        <w:br w:type="page"/>
      </w:r>
    </w:p>
    <w:p w14:paraId="2C0A45DD" w14:textId="77777777" w:rsidR="00C47639" w:rsidRDefault="00C47639" w:rsidP="00C47639">
      <w:pPr>
        <w:pStyle w:val="Titre4"/>
      </w:pPr>
      <w:bookmarkStart w:id="324" w:name="_Toc532391134"/>
      <w:bookmarkStart w:id="325" w:name="_Toc8296548"/>
      <w:r>
        <w:lastRenderedPageBreak/>
        <w:t>Exposure assessment</w:t>
      </w:r>
      <w:bookmarkEnd w:id="324"/>
      <w:bookmarkEnd w:id="325"/>
    </w:p>
    <w:p w14:paraId="2127083A" w14:textId="77777777" w:rsidR="00C47639" w:rsidRDefault="00C47639" w:rsidP="00C47639">
      <w:r>
        <w:t>Insect Repellent Pump Spray IR3535</w:t>
      </w:r>
      <w:r w:rsidRPr="00AC0EA0">
        <w:rPr>
          <w:vertAlign w:val="superscript"/>
        </w:rPr>
        <w:t>®</w:t>
      </w:r>
      <w:r>
        <w:t xml:space="preserve"> 20% is not exactly the same product as the representative product in the CAR, however for all intends and purposes of an environmental exposure assessment it can be seen as the same. This is because the proposed use of the product and the amount of active substance in the product is identical to that presented the environmental exposure assessment of the CAR and the only component of the product possibly affecting the risk to the environment is the active substance itself.</w:t>
      </w:r>
    </w:p>
    <w:p w14:paraId="717363D9" w14:textId="77777777" w:rsidR="00C47639" w:rsidRDefault="00C47639" w:rsidP="00C47639"/>
    <w:p w14:paraId="72CA604F" w14:textId="77777777" w:rsidR="00C47639" w:rsidRDefault="00C47639" w:rsidP="00C47639">
      <w:r>
        <w:t xml:space="preserve">However, since the </w:t>
      </w:r>
      <w:proofErr w:type="spellStart"/>
      <w:r>
        <w:t>finalisation</w:t>
      </w:r>
      <w:proofErr w:type="spellEnd"/>
      <w:r>
        <w:t xml:space="preserve"> of the CAR for IR3535</w:t>
      </w:r>
      <w:r w:rsidRPr="0004367B">
        <w:rPr>
          <w:vertAlign w:val="superscript"/>
          <w:lang w:eastAsia="fr-FR"/>
        </w:rPr>
        <w:t>®</w:t>
      </w:r>
      <w:r>
        <w:t xml:space="preserve"> a new ESD for PT19 biocides has been endorsed and published, which contains scenarios which were not yet assessed during the evaluation of the active substance, such as direct emissions to surface water by swimmers, which is named as an element to be taken into account at product </w:t>
      </w:r>
      <w:proofErr w:type="spellStart"/>
      <w:r>
        <w:t>authorisation</w:t>
      </w:r>
      <w:proofErr w:type="spellEnd"/>
      <w:r>
        <w:t xml:space="preserve"> stage in the assessment report of the active substance. </w:t>
      </w:r>
    </w:p>
    <w:p w14:paraId="58DDA6DE" w14:textId="77777777" w:rsidR="00C47639" w:rsidRDefault="00C47639" w:rsidP="00C47639">
      <w:r>
        <w:t>Therefore the evaluation presented below will be based on this new ESD.</w:t>
      </w:r>
    </w:p>
    <w:p w14:paraId="4A576957" w14:textId="77777777" w:rsidR="00C47639" w:rsidRPr="00FD2055" w:rsidRDefault="00C47639" w:rsidP="00C47639">
      <w:pPr>
        <w:pStyle w:val="Titre5"/>
        <w:numPr>
          <w:ilvl w:val="0"/>
          <w:numId w:val="32"/>
        </w:numPr>
      </w:pPr>
      <w:bookmarkStart w:id="326" w:name="_Toc532391135"/>
      <w:bookmarkStart w:id="327" w:name="_Toc8296549"/>
      <w:r w:rsidRPr="00FD2055">
        <w:t>General information</w:t>
      </w:r>
      <w:bookmarkEnd w:id="326"/>
      <w:bookmarkEnd w:id="32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C47639" w14:paraId="5325D986"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16710E84" w14:textId="77777777" w:rsidR="00C47639" w:rsidRDefault="00C47639" w:rsidP="00C47639">
            <w:r>
              <w:t>Assessed PT</w:t>
            </w:r>
          </w:p>
        </w:tc>
        <w:tc>
          <w:tcPr>
            <w:tcW w:w="6413" w:type="dxa"/>
            <w:tcBorders>
              <w:top w:val="single" w:sz="4" w:space="0" w:color="auto"/>
              <w:left w:val="single" w:sz="4" w:space="0" w:color="auto"/>
              <w:bottom w:val="single" w:sz="4" w:space="0" w:color="auto"/>
              <w:right w:val="single" w:sz="4" w:space="0" w:color="auto"/>
            </w:tcBorders>
            <w:hideMark/>
          </w:tcPr>
          <w:p w14:paraId="0A46A49D" w14:textId="77777777" w:rsidR="00C47639" w:rsidRDefault="00C47639" w:rsidP="00C47639">
            <w:r>
              <w:t>PT 19</w:t>
            </w:r>
          </w:p>
        </w:tc>
      </w:tr>
      <w:tr w:rsidR="00C47639" w:rsidRPr="00425EF7" w14:paraId="608447F6"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6E16D640" w14:textId="77777777" w:rsidR="00C47639" w:rsidRDefault="00C47639" w:rsidP="00C47639">
            <w:r>
              <w:t>Assessed scenarios</w:t>
            </w:r>
          </w:p>
        </w:tc>
        <w:tc>
          <w:tcPr>
            <w:tcW w:w="6413" w:type="dxa"/>
            <w:tcBorders>
              <w:top w:val="single" w:sz="4" w:space="0" w:color="auto"/>
              <w:left w:val="single" w:sz="4" w:space="0" w:color="auto"/>
              <w:bottom w:val="single" w:sz="4" w:space="0" w:color="auto"/>
              <w:right w:val="single" w:sz="4" w:space="0" w:color="auto"/>
            </w:tcBorders>
            <w:hideMark/>
          </w:tcPr>
          <w:p w14:paraId="7D2636A7" w14:textId="77777777" w:rsidR="00C47639" w:rsidRDefault="00C47639" w:rsidP="00C47639">
            <w:r>
              <w:t>Scenario 1:</w:t>
            </w:r>
            <w:r>
              <w:tab/>
              <w:t xml:space="preserve">Removal via showering and bathing of </w:t>
            </w:r>
            <w:r>
              <w:tab/>
            </w:r>
            <w:r>
              <w:tab/>
            </w:r>
            <w:r>
              <w:tab/>
              <w:t xml:space="preserve">humans </w:t>
            </w:r>
            <w:r>
              <w:rPr>
                <w:sz w:val="16"/>
              </w:rPr>
              <w:t>(ESD PT19, May 2015, §3.1.4.1)</w:t>
            </w:r>
          </w:p>
          <w:p w14:paraId="3E0BA9F7" w14:textId="77777777" w:rsidR="00C47639" w:rsidRDefault="00C47639" w:rsidP="00C47639">
            <w:r>
              <w:t>Scenario 2:</w:t>
            </w:r>
            <w:r>
              <w:tab/>
              <w:t xml:space="preserve">Release to surface water bodies via </w:t>
            </w:r>
            <w:r>
              <w:tab/>
            </w:r>
            <w:r>
              <w:tab/>
            </w:r>
            <w:r>
              <w:tab/>
              <w:t xml:space="preserve">swimming </w:t>
            </w:r>
            <w:r>
              <w:rPr>
                <w:sz w:val="16"/>
              </w:rPr>
              <w:t>(ESD PT19, May 2015, §3.1.4.2)</w:t>
            </w:r>
          </w:p>
        </w:tc>
      </w:tr>
      <w:tr w:rsidR="00C47639" w:rsidRPr="00425EF7" w14:paraId="3091270D"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4DC9A366" w14:textId="77777777" w:rsidR="00C47639" w:rsidRDefault="00C47639" w:rsidP="00C47639">
            <w:r>
              <w:t>ESD(s) used</w:t>
            </w:r>
          </w:p>
        </w:tc>
        <w:tc>
          <w:tcPr>
            <w:tcW w:w="6413" w:type="dxa"/>
            <w:tcBorders>
              <w:top w:val="single" w:sz="4" w:space="0" w:color="auto"/>
              <w:left w:val="single" w:sz="4" w:space="0" w:color="auto"/>
              <w:bottom w:val="single" w:sz="4" w:space="0" w:color="auto"/>
              <w:right w:val="single" w:sz="4" w:space="0" w:color="auto"/>
            </w:tcBorders>
            <w:hideMark/>
          </w:tcPr>
          <w:p w14:paraId="4B8E63A2" w14:textId="77777777" w:rsidR="00C47639" w:rsidRDefault="00C47639" w:rsidP="00C47639">
            <w:r>
              <w:t>Emission Scenario Document for Product Type 19: Repellents and attractants, May 2015 (ECHA-15-B-10-EN)</w:t>
            </w:r>
          </w:p>
        </w:tc>
      </w:tr>
      <w:tr w:rsidR="00C47639" w14:paraId="1A8433A0"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4B93F876" w14:textId="77777777" w:rsidR="00C47639" w:rsidRDefault="00C47639" w:rsidP="00C47639">
            <w:r>
              <w:t>Approach</w:t>
            </w:r>
          </w:p>
        </w:tc>
        <w:tc>
          <w:tcPr>
            <w:tcW w:w="6413" w:type="dxa"/>
            <w:tcBorders>
              <w:top w:val="single" w:sz="4" w:space="0" w:color="auto"/>
              <w:left w:val="single" w:sz="4" w:space="0" w:color="auto"/>
              <w:bottom w:val="single" w:sz="4" w:space="0" w:color="auto"/>
              <w:right w:val="single" w:sz="4" w:space="0" w:color="auto"/>
            </w:tcBorders>
            <w:hideMark/>
          </w:tcPr>
          <w:p w14:paraId="06AF9F70" w14:textId="77777777" w:rsidR="00C47639" w:rsidRDefault="00C47639" w:rsidP="00C47639">
            <w:pPr>
              <w:rPr>
                <w:b/>
              </w:rPr>
            </w:pPr>
            <w:r>
              <w:t>Scenario 1:</w:t>
            </w:r>
            <w:r>
              <w:tab/>
              <w:t>Average consumption</w:t>
            </w:r>
            <w:r>
              <w:br/>
              <w:t>Scenario 2:</w:t>
            </w:r>
            <w:r>
              <w:tab/>
              <w:t>Average consumption</w:t>
            </w:r>
          </w:p>
        </w:tc>
      </w:tr>
      <w:tr w:rsidR="00C47639" w14:paraId="37D10832"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5CBD53D8" w14:textId="77777777" w:rsidR="00C47639" w:rsidRDefault="00C47639" w:rsidP="00C47639">
            <w:r>
              <w:t>Distribution in the environment</w:t>
            </w:r>
          </w:p>
        </w:tc>
        <w:tc>
          <w:tcPr>
            <w:tcW w:w="6413" w:type="dxa"/>
            <w:tcBorders>
              <w:top w:val="single" w:sz="4" w:space="0" w:color="auto"/>
              <w:left w:val="single" w:sz="4" w:space="0" w:color="auto"/>
              <w:bottom w:val="single" w:sz="4" w:space="0" w:color="auto"/>
              <w:right w:val="single" w:sz="4" w:space="0" w:color="auto"/>
            </w:tcBorders>
            <w:hideMark/>
          </w:tcPr>
          <w:p w14:paraId="664673B0" w14:textId="77777777" w:rsidR="00C47639" w:rsidRDefault="00C47639" w:rsidP="00C47639">
            <w:r>
              <w:t xml:space="preserve">Calculated based on TGD 2003 </w:t>
            </w:r>
          </w:p>
        </w:tc>
      </w:tr>
      <w:tr w:rsidR="00C47639" w14:paraId="7465BB8F"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69343729" w14:textId="77777777" w:rsidR="00C47639" w:rsidRDefault="00C47639" w:rsidP="00C47639">
            <w:r>
              <w:t>Groundwater simulation</w:t>
            </w:r>
          </w:p>
        </w:tc>
        <w:tc>
          <w:tcPr>
            <w:tcW w:w="6413" w:type="dxa"/>
            <w:tcBorders>
              <w:top w:val="single" w:sz="4" w:space="0" w:color="auto"/>
              <w:left w:val="single" w:sz="4" w:space="0" w:color="auto"/>
              <w:bottom w:val="single" w:sz="4" w:space="0" w:color="auto"/>
              <w:right w:val="single" w:sz="4" w:space="0" w:color="auto"/>
            </w:tcBorders>
            <w:hideMark/>
          </w:tcPr>
          <w:p w14:paraId="1335074C" w14:textId="77777777" w:rsidR="00C47639" w:rsidRDefault="00C47639" w:rsidP="00C47639">
            <w:pPr>
              <w:rPr>
                <w:color w:val="000000"/>
              </w:rPr>
            </w:pPr>
            <w:r>
              <w:t>Not applicable</w:t>
            </w:r>
          </w:p>
        </w:tc>
      </w:tr>
      <w:tr w:rsidR="00C47639" w14:paraId="044CDACA"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7DD94BB1" w14:textId="77777777" w:rsidR="00C47639" w:rsidRDefault="00C47639" w:rsidP="00C47639">
            <w:r>
              <w:t>Confidential Annexes</w:t>
            </w:r>
          </w:p>
        </w:tc>
        <w:tc>
          <w:tcPr>
            <w:tcW w:w="6413" w:type="dxa"/>
            <w:tcBorders>
              <w:top w:val="single" w:sz="4" w:space="0" w:color="auto"/>
              <w:left w:val="single" w:sz="4" w:space="0" w:color="auto"/>
              <w:bottom w:val="single" w:sz="4" w:space="0" w:color="auto"/>
              <w:right w:val="single" w:sz="4" w:space="0" w:color="auto"/>
            </w:tcBorders>
            <w:hideMark/>
          </w:tcPr>
          <w:p w14:paraId="1439B120" w14:textId="77777777" w:rsidR="00C47639" w:rsidRDefault="00C47639" w:rsidP="00C47639">
            <w:pPr>
              <w:rPr>
                <w:b/>
              </w:rPr>
            </w:pPr>
            <w:r>
              <w:t>None</w:t>
            </w:r>
          </w:p>
        </w:tc>
      </w:tr>
      <w:tr w:rsidR="00C47639" w14:paraId="4353F600"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137239C6" w14:textId="77777777" w:rsidR="00C47639" w:rsidRDefault="00C47639" w:rsidP="00C47639">
            <w:r>
              <w:t>Life cycle steps assessed</w:t>
            </w:r>
          </w:p>
        </w:tc>
        <w:tc>
          <w:tcPr>
            <w:tcW w:w="6413" w:type="dxa"/>
            <w:tcBorders>
              <w:top w:val="single" w:sz="4" w:space="0" w:color="auto"/>
              <w:left w:val="single" w:sz="4" w:space="0" w:color="auto"/>
              <w:bottom w:val="single" w:sz="4" w:space="0" w:color="auto"/>
              <w:right w:val="single" w:sz="4" w:space="0" w:color="auto"/>
            </w:tcBorders>
            <w:hideMark/>
          </w:tcPr>
          <w:p w14:paraId="201F11DC" w14:textId="77777777" w:rsidR="00C47639" w:rsidRDefault="00C47639" w:rsidP="00C47639">
            <w:r>
              <w:t>Scenario 1: Showering &amp; bathing</w:t>
            </w:r>
          </w:p>
          <w:p w14:paraId="62FCEFD9" w14:textId="77777777" w:rsidR="00C47639" w:rsidRPr="00425EF7" w:rsidRDefault="00C47639" w:rsidP="00C47639">
            <w:pPr>
              <w:pStyle w:val="Paragraphedeliste"/>
              <w:numPr>
                <w:ilvl w:val="0"/>
                <w:numId w:val="14"/>
              </w:numPr>
            </w:pPr>
            <w:r w:rsidRPr="00425EF7">
              <w:t>Production: No</w:t>
            </w:r>
          </w:p>
          <w:p w14:paraId="1C8A4A40" w14:textId="77777777" w:rsidR="00C47639" w:rsidRPr="00425EF7" w:rsidRDefault="00C47639" w:rsidP="00C47639">
            <w:pPr>
              <w:pStyle w:val="Paragraphedeliste"/>
              <w:numPr>
                <w:ilvl w:val="0"/>
                <w:numId w:val="14"/>
              </w:numPr>
            </w:pPr>
            <w:r w:rsidRPr="00425EF7">
              <w:t>Formulation: No</w:t>
            </w:r>
          </w:p>
          <w:p w14:paraId="004F3ABE" w14:textId="77777777" w:rsidR="00C47639" w:rsidRPr="00425EF7" w:rsidRDefault="00C47639" w:rsidP="00C47639">
            <w:pPr>
              <w:pStyle w:val="Paragraphedeliste"/>
              <w:numPr>
                <w:ilvl w:val="0"/>
                <w:numId w:val="14"/>
              </w:numPr>
            </w:pPr>
            <w:r w:rsidRPr="00425EF7">
              <w:t>Use: Yes</w:t>
            </w:r>
          </w:p>
          <w:p w14:paraId="7A8D350E" w14:textId="77777777" w:rsidR="00C47639" w:rsidRPr="00425EF7" w:rsidRDefault="00C47639" w:rsidP="00C47639">
            <w:pPr>
              <w:pStyle w:val="Paragraphedeliste"/>
              <w:numPr>
                <w:ilvl w:val="0"/>
                <w:numId w:val="14"/>
              </w:numPr>
            </w:pPr>
            <w:r w:rsidRPr="00425EF7">
              <w:t>Service life: No</w:t>
            </w:r>
          </w:p>
          <w:p w14:paraId="16395679" w14:textId="77777777" w:rsidR="00C47639" w:rsidRDefault="00C47639" w:rsidP="00C47639">
            <w:r>
              <w:t>Scenario 2: Swimming</w:t>
            </w:r>
          </w:p>
          <w:p w14:paraId="30B70F8A" w14:textId="77777777" w:rsidR="00C47639" w:rsidRPr="00425EF7" w:rsidRDefault="00C47639" w:rsidP="00C47639">
            <w:pPr>
              <w:pStyle w:val="Paragraphedeliste"/>
              <w:numPr>
                <w:ilvl w:val="0"/>
                <w:numId w:val="15"/>
              </w:numPr>
            </w:pPr>
            <w:r w:rsidRPr="00425EF7">
              <w:t>Production: No</w:t>
            </w:r>
          </w:p>
          <w:p w14:paraId="79DBE1B8" w14:textId="77777777" w:rsidR="00C47639" w:rsidRPr="00425EF7" w:rsidRDefault="00C47639" w:rsidP="00C47639">
            <w:pPr>
              <w:pStyle w:val="Paragraphedeliste"/>
              <w:numPr>
                <w:ilvl w:val="0"/>
                <w:numId w:val="15"/>
              </w:numPr>
            </w:pPr>
            <w:r w:rsidRPr="00425EF7">
              <w:t>Formulation: No</w:t>
            </w:r>
          </w:p>
          <w:p w14:paraId="036F3FB7" w14:textId="77777777" w:rsidR="00C47639" w:rsidRPr="00425EF7" w:rsidRDefault="00C47639" w:rsidP="00C47639">
            <w:pPr>
              <w:pStyle w:val="Paragraphedeliste"/>
              <w:numPr>
                <w:ilvl w:val="0"/>
                <w:numId w:val="15"/>
              </w:numPr>
            </w:pPr>
            <w:r w:rsidRPr="00425EF7">
              <w:t>Use: Yes</w:t>
            </w:r>
          </w:p>
          <w:p w14:paraId="5DEC0A4C" w14:textId="77777777" w:rsidR="00C47639" w:rsidRPr="00425EF7" w:rsidRDefault="00C47639" w:rsidP="00C47639">
            <w:pPr>
              <w:pStyle w:val="Paragraphedeliste"/>
              <w:numPr>
                <w:ilvl w:val="0"/>
                <w:numId w:val="15"/>
              </w:numPr>
            </w:pPr>
            <w:r w:rsidRPr="00425EF7">
              <w:t>Service life: No</w:t>
            </w:r>
          </w:p>
        </w:tc>
      </w:tr>
      <w:tr w:rsidR="00C47639" w14:paraId="1DE5BDE2" w14:textId="77777777" w:rsidTr="00C47639">
        <w:tc>
          <w:tcPr>
            <w:tcW w:w="2943" w:type="dxa"/>
            <w:tcBorders>
              <w:top w:val="single" w:sz="4" w:space="0" w:color="auto"/>
              <w:left w:val="single" w:sz="4" w:space="0" w:color="auto"/>
              <w:bottom w:val="single" w:sz="4" w:space="0" w:color="auto"/>
              <w:right w:val="single" w:sz="4" w:space="0" w:color="auto"/>
            </w:tcBorders>
            <w:shd w:val="clear" w:color="auto" w:fill="FFFFCC"/>
            <w:hideMark/>
          </w:tcPr>
          <w:p w14:paraId="07114987" w14:textId="77777777" w:rsidR="00C47639" w:rsidRDefault="00C47639" w:rsidP="00C47639">
            <w:r>
              <w:t>Remarks</w:t>
            </w:r>
          </w:p>
        </w:tc>
        <w:tc>
          <w:tcPr>
            <w:tcW w:w="6413" w:type="dxa"/>
            <w:tcBorders>
              <w:top w:val="single" w:sz="4" w:space="0" w:color="auto"/>
              <w:left w:val="single" w:sz="4" w:space="0" w:color="auto"/>
              <w:bottom w:val="single" w:sz="4" w:space="0" w:color="auto"/>
              <w:right w:val="single" w:sz="4" w:space="0" w:color="auto"/>
            </w:tcBorders>
          </w:tcPr>
          <w:p w14:paraId="3D3E6642" w14:textId="77777777" w:rsidR="00C47639" w:rsidRDefault="00C47639" w:rsidP="00C47639">
            <w:pPr>
              <w:rPr>
                <w:color w:val="000000"/>
              </w:rPr>
            </w:pPr>
            <w:r>
              <w:rPr>
                <w:color w:val="000000"/>
              </w:rPr>
              <w:t>/</w:t>
            </w:r>
          </w:p>
        </w:tc>
      </w:tr>
    </w:tbl>
    <w:p w14:paraId="11B23AA8" w14:textId="77777777" w:rsidR="00C47639" w:rsidRDefault="00C47639" w:rsidP="00C47639"/>
    <w:p w14:paraId="7D80F14E" w14:textId="77777777" w:rsidR="00C47639" w:rsidRDefault="00C47639" w:rsidP="00C47639">
      <w:pPr>
        <w:spacing w:before="0" w:after="160" w:line="259" w:lineRule="auto"/>
      </w:pPr>
      <w:r>
        <w:br w:type="page"/>
      </w:r>
    </w:p>
    <w:p w14:paraId="596F82F3" w14:textId="77777777" w:rsidR="00591C41" w:rsidRDefault="00591C41" w:rsidP="00496A65">
      <w:pPr>
        <w:pStyle w:val="Titre5"/>
      </w:pPr>
      <w:bookmarkStart w:id="328" w:name="_Toc8296550"/>
      <w:r>
        <w:lastRenderedPageBreak/>
        <w:t>Emission estimation</w:t>
      </w:r>
      <w:bookmarkEnd w:id="328"/>
    </w:p>
    <w:p w14:paraId="25FF8563" w14:textId="77777777" w:rsidR="00591C41" w:rsidRPr="00496A65" w:rsidRDefault="00591C41" w:rsidP="00496A65">
      <w:pPr>
        <w:pStyle w:val="Titre6"/>
        <w:rPr>
          <w:lang w:val="en-US"/>
        </w:rPr>
      </w:pPr>
      <w:r w:rsidRPr="00496A65">
        <w:rPr>
          <w:lang w:val="en-US"/>
        </w:rPr>
        <w:t>Scenario 1: Removal via showering and bathing</w:t>
      </w:r>
    </w:p>
    <w:p w14:paraId="56ACEA06" w14:textId="77777777" w:rsidR="00591C41" w:rsidRPr="00496A65" w:rsidRDefault="00591C41" w:rsidP="00496A65">
      <w:pPr>
        <w:pStyle w:val="Titre7"/>
        <w:rPr>
          <w:lang w:val="en-US"/>
        </w:rPr>
      </w:pPr>
      <w:r w:rsidRPr="00496A65">
        <w:rPr>
          <w:lang w:val="en-US"/>
        </w:rPr>
        <w:t>Consumption based scenario</w:t>
      </w:r>
    </w:p>
    <w:p w14:paraId="429AD7D3" w14:textId="77777777" w:rsidR="00591C41" w:rsidRDefault="00591C41" w:rsidP="00496A65">
      <w:r>
        <w:t>For estimating the emission for products applied on human skin following showering or bathing one could either use a tonnage based scenario or a consumption based scenario.</w:t>
      </w:r>
    </w:p>
    <w:p w14:paraId="495685DB" w14:textId="77777777" w:rsidR="00591C41" w:rsidRDefault="00591C41" w:rsidP="00496A65">
      <w:r>
        <w:t xml:space="preserve">Tonnage based approaches are mostly only appropriate for assessing an active substance for approval and not so much for the </w:t>
      </w:r>
      <w:proofErr w:type="spellStart"/>
      <w:r>
        <w:t>authorisation</w:t>
      </w:r>
      <w:proofErr w:type="spellEnd"/>
      <w:r>
        <w:t xml:space="preserve"> of biocidal products. Therefore only the consumption based approach is assessed here.</w:t>
      </w:r>
    </w:p>
    <w:p w14:paraId="1759F1FC" w14:textId="35C9864F" w:rsidR="00591C41" w:rsidRDefault="00591C41" w:rsidP="00496A65">
      <w:r>
        <w:t>However, the tonnage based approach was calculated in the IR3535</w:t>
      </w:r>
      <w:r w:rsidR="0004367B" w:rsidRPr="0004367B">
        <w:rPr>
          <w:vertAlign w:val="superscript"/>
          <w:lang w:eastAsia="fr-FR"/>
        </w:rPr>
        <w:t>®</w:t>
      </w:r>
      <w:r>
        <w:t xml:space="preserve"> CAR and can be consulted in the confidential annex of said CAR. Anyway when considering the break-even tonnage, the consumption based scenario is deemed to be the most appropriate scenario.</w:t>
      </w:r>
    </w:p>
    <w:p w14:paraId="70A518B3" w14:textId="77777777" w:rsidR="00591C41" w:rsidRPr="00496A65" w:rsidRDefault="00591C41" w:rsidP="00496A65">
      <w:pPr>
        <w:pStyle w:val="Titre7"/>
        <w:rPr>
          <w:lang w:val="en-US"/>
        </w:rPr>
      </w:pPr>
      <w:r w:rsidRPr="00496A65">
        <w:rPr>
          <w:lang w:val="en-US"/>
        </w:rPr>
        <w:t>Amount of product per application (</w:t>
      </w:r>
      <w:proofErr w:type="spellStart"/>
      <w:r w:rsidRPr="00496A65">
        <w:rPr>
          <w:lang w:val="en-US"/>
        </w:rPr>
        <w:t>Qform</w:t>
      </w:r>
      <w:r w:rsidRPr="00496A65">
        <w:rPr>
          <w:vertAlign w:val="subscript"/>
          <w:lang w:val="en-US"/>
        </w:rPr>
        <w:t>appl</w:t>
      </w:r>
      <w:proofErr w:type="spellEnd"/>
      <w:r w:rsidRPr="00496A65">
        <w:rPr>
          <w:lang w:val="en-US"/>
        </w:rPr>
        <w:t>)</w:t>
      </w:r>
    </w:p>
    <w:p w14:paraId="1DC14D8F" w14:textId="364A0AD8" w:rsidR="00591C41" w:rsidRDefault="00591C41" w:rsidP="00496A65">
      <w:r>
        <w:t>The most important input parameter for the consumption based scenario is the amount of product that will be used per application (</w:t>
      </w:r>
      <w:proofErr w:type="spellStart"/>
      <w:r>
        <w:t>Qform</w:t>
      </w:r>
      <w:r>
        <w:rPr>
          <w:vertAlign w:val="subscript"/>
        </w:rPr>
        <w:t>appl</w:t>
      </w:r>
      <w:proofErr w:type="spellEnd"/>
      <w:r>
        <w:t>).</w:t>
      </w:r>
      <w:r w:rsidR="001B72E3">
        <w:t xml:space="preserve"> </w:t>
      </w:r>
      <w:r>
        <w:t xml:space="preserve">As a default value in the ESD </w:t>
      </w:r>
      <w:r w:rsidRPr="001B72E3">
        <w:t>0.6 mg product/cm² skin</w:t>
      </w:r>
      <w:r>
        <w:t xml:space="preserve"> is proposed. </w:t>
      </w:r>
    </w:p>
    <w:p w14:paraId="4957F4A6" w14:textId="77777777" w:rsidR="001B72E3" w:rsidRDefault="001B72E3" w:rsidP="00496A65">
      <w:r>
        <w:t xml:space="preserve">However, the ESD also mentions that the value for </w:t>
      </w:r>
      <w:proofErr w:type="spellStart"/>
      <w:r>
        <w:t>Qform</w:t>
      </w:r>
      <w:r>
        <w:rPr>
          <w:vertAlign w:val="subscript"/>
        </w:rPr>
        <w:t>appl</w:t>
      </w:r>
      <w:proofErr w:type="spellEnd"/>
      <w:r>
        <w:t xml:space="preserve"> must coincide with the efficacy of the product and must be adapted accordingly. </w:t>
      </w:r>
    </w:p>
    <w:p w14:paraId="4E516616" w14:textId="354E6DE3" w:rsidR="001B72E3" w:rsidRDefault="001B72E3" w:rsidP="00496A65">
      <w:r>
        <w:t xml:space="preserve">The validated efficacious dose for the product ‘Insect Repellent </w:t>
      </w:r>
      <w:r w:rsidR="00A962C9">
        <w:t>Pump Spray IR3535 2</w:t>
      </w:r>
      <w:r>
        <w:t xml:space="preserve">0%’ is </w:t>
      </w:r>
      <w:r w:rsidR="00A962C9">
        <w:t>0.67</w:t>
      </w:r>
      <w:r>
        <w:t> mg product per cm² of skin. This value will be considered in the environmental risk assessment instead of the default value from the ESD.</w:t>
      </w:r>
    </w:p>
    <w:p w14:paraId="0FFB67F6" w14:textId="28A8214A" w:rsidR="00591C41" w:rsidRPr="00C47639" w:rsidRDefault="00591C41" w:rsidP="00C47639">
      <w:pPr>
        <w:jc w:val="center"/>
        <w:rPr>
          <w:b/>
          <w:lang w:val="en-GB"/>
        </w:rPr>
      </w:pPr>
      <w:proofErr w:type="spellStart"/>
      <w:r w:rsidRPr="00C47639">
        <w:rPr>
          <w:b/>
          <w:lang w:val="en-GB"/>
        </w:rPr>
        <w:t>Qform</w:t>
      </w:r>
      <w:r w:rsidRPr="00C47639">
        <w:rPr>
          <w:b/>
          <w:vertAlign w:val="subscript"/>
          <w:lang w:val="en-GB"/>
        </w:rPr>
        <w:t>appl</w:t>
      </w:r>
      <w:proofErr w:type="spellEnd"/>
      <w:r w:rsidRPr="00C47639">
        <w:rPr>
          <w:b/>
          <w:lang w:val="en-GB"/>
        </w:rPr>
        <w:t xml:space="preserve"> = 0.6</w:t>
      </w:r>
      <w:r w:rsidR="004F2FC4" w:rsidRPr="00C47639">
        <w:rPr>
          <w:b/>
          <w:lang w:val="en-GB"/>
        </w:rPr>
        <w:t>7</w:t>
      </w:r>
      <w:r w:rsidRPr="00C47639">
        <w:rPr>
          <w:b/>
          <w:lang w:val="en-GB"/>
        </w:rPr>
        <w:t> mg product/cm² skin</w:t>
      </w:r>
    </w:p>
    <w:p w14:paraId="3AD00309" w14:textId="77777777" w:rsidR="00591C41" w:rsidRPr="00AE09AD" w:rsidRDefault="00591C41" w:rsidP="00496A65"/>
    <w:p w14:paraId="591152B9" w14:textId="77777777" w:rsidR="00591C41" w:rsidRPr="00496A65" w:rsidRDefault="00591C41" w:rsidP="00496A65">
      <w:pPr>
        <w:pStyle w:val="Titre7"/>
        <w:rPr>
          <w:lang w:val="en-US"/>
        </w:rPr>
      </w:pPr>
      <w:r w:rsidRPr="00496A65">
        <w:rPr>
          <w:lang w:val="en-US"/>
        </w:rPr>
        <w:t>Number of applications per day (</w:t>
      </w:r>
      <w:proofErr w:type="spellStart"/>
      <w:r w:rsidRPr="00496A65">
        <w:rPr>
          <w:lang w:val="en-US"/>
        </w:rPr>
        <w:t>N</w:t>
      </w:r>
      <w:r w:rsidRPr="00496A65">
        <w:rPr>
          <w:vertAlign w:val="subscript"/>
          <w:lang w:val="en-US"/>
        </w:rPr>
        <w:t>appl</w:t>
      </w:r>
      <w:proofErr w:type="spellEnd"/>
      <w:r w:rsidRPr="00496A65">
        <w:rPr>
          <w:lang w:val="en-US"/>
        </w:rPr>
        <w:t>)</w:t>
      </w:r>
    </w:p>
    <w:p w14:paraId="089F76FA" w14:textId="77777777" w:rsidR="00591C41" w:rsidRDefault="00591C41" w:rsidP="00496A65">
      <w:r>
        <w:t>Another important parameter is the number of applications per day (</w:t>
      </w:r>
      <w:proofErr w:type="spellStart"/>
      <w:r>
        <w:t>N</w:t>
      </w:r>
      <w:r>
        <w:rPr>
          <w:vertAlign w:val="subscript"/>
        </w:rPr>
        <w:t>appl</w:t>
      </w:r>
      <w:proofErr w:type="spellEnd"/>
      <w:r>
        <w:t xml:space="preserve">), which the ESD also links to the efficacy of the product. </w:t>
      </w:r>
    </w:p>
    <w:p w14:paraId="221298CE" w14:textId="3C4191A9" w:rsidR="004F2FC4" w:rsidRDefault="004F2FC4" w:rsidP="00496A65">
      <w:r>
        <w:t>T</w:t>
      </w:r>
      <w:r w:rsidRPr="00CF393B">
        <w:t xml:space="preserve">he </w:t>
      </w:r>
      <w:r>
        <w:t xml:space="preserve">conclusion for </w:t>
      </w:r>
      <w:r w:rsidRPr="00CF393B">
        <w:t xml:space="preserve">efficacy </w:t>
      </w:r>
      <w:r>
        <w:t xml:space="preserve">of ‘Insect Repellent Pump Spray IR3535 20%’ is that the product will remain </w:t>
      </w:r>
      <w:r w:rsidRPr="00CF393B">
        <w:t xml:space="preserve">efficacious </w:t>
      </w:r>
      <w:r>
        <w:t xml:space="preserve">for 8 hours against mosquitoes, </w:t>
      </w:r>
      <w:r w:rsidRPr="00CF393B">
        <w:t xml:space="preserve">when </w:t>
      </w:r>
      <w:r>
        <w:t>used</w:t>
      </w:r>
      <w:r w:rsidRPr="00CF393B">
        <w:t xml:space="preserve"> at the application rate of </w:t>
      </w:r>
      <w:r>
        <w:t>0.67</w:t>
      </w:r>
      <w:r w:rsidRPr="00CF393B">
        <w:t xml:space="preserve"> mg/cm². </w:t>
      </w:r>
      <w:r>
        <w:t>Following the ESD Table 3-2, 2 applications per day will be used in the further assessment.</w:t>
      </w:r>
    </w:p>
    <w:p w14:paraId="3803D2FE" w14:textId="07F38F71" w:rsidR="00591C41" w:rsidRPr="00C47639" w:rsidRDefault="00591C41" w:rsidP="00C47639">
      <w:pPr>
        <w:jc w:val="center"/>
        <w:rPr>
          <w:b/>
          <w:lang w:val="en-GB"/>
        </w:rPr>
      </w:pPr>
      <w:proofErr w:type="spellStart"/>
      <w:r w:rsidRPr="00C47639">
        <w:rPr>
          <w:b/>
          <w:lang w:val="en-GB"/>
        </w:rPr>
        <w:t>N</w:t>
      </w:r>
      <w:r w:rsidRPr="00C47639">
        <w:rPr>
          <w:b/>
          <w:vertAlign w:val="subscript"/>
          <w:lang w:val="en-GB"/>
        </w:rPr>
        <w:t>appl</w:t>
      </w:r>
      <w:proofErr w:type="spellEnd"/>
      <w:r w:rsidRPr="00C47639">
        <w:rPr>
          <w:b/>
          <w:lang w:val="en-GB"/>
        </w:rPr>
        <w:t xml:space="preserve"> = </w:t>
      </w:r>
      <w:r w:rsidR="004F2FC4" w:rsidRPr="00C47639">
        <w:rPr>
          <w:b/>
          <w:lang w:val="en-GB"/>
        </w:rPr>
        <w:t>2</w:t>
      </w:r>
      <w:r w:rsidRPr="00C47639">
        <w:rPr>
          <w:b/>
          <w:lang w:val="en-GB"/>
        </w:rPr>
        <w:t> d</w:t>
      </w:r>
      <w:r w:rsidRPr="00C47639">
        <w:rPr>
          <w:b/>
          <w:vertAlign w:val="superscript"/>
          <w:lang w:val="en-GB"/>
        </w:rPr>
        <w:t>-1</w:t>
      </w:r>
    </w:p>
    <w:p w14:paraId="05C22F52" w14:textId="77777777" w:rsidR="00591C41" w:rsidRDefault="00591C41" w:rsidP="00496A65"/>
    <w:p w14:paraId="059E167D" w14:textId="77777777" w:rsidR="00591C41" w:rsidRPr="00496A65" w:rsidRDefault="00591C41" w:rsidP="00496A65">
      <w:pPr>
        <w:pStyle w:val="Titre7"/>
        <w:rPr>
          <w:lang w:val="en-US"/>
        </w:rPr>
      </w:pPr>
      <w:r w:rsidRPr="00496A65">
        <w:rPr>
          <w:lang w:val="en-US"/>
        </w:rPr>
        <w:t>Treated area of human skin (</w:t>
      </w:r>
      <w:proofErr w:type="spellStart"/>
      <w:r w:rsidRPr="00496A65">
        <w:rPr>
          <w:lang w:val="en-US"/>
        </w:rPr>
        <w:t>AREA</w:t>
      </w:r>
      <w:r w:rsidRPr="00496A65">
        <w:rPr>
          <w:vertAlign w:val="subscript"/>
          <w:lang w:val="en-US"/>
        </w:rPr>
        <w:t>skin</w:t>
      </w:r>
      <w:proofErr w:type="spellEnd"/>
      <w:r w:rsidRPr="00496A65">
        <w:rPr>
          <w:lang w:val="en-US"/>
        </w:rPr>
        <w:t>)</w:t>
      </w:r>
    </w:p>
    <w:p w14:paraId="6027436B" w14:textId="77777777" w:rsidR="000949F7" w:rsidRDefault="000949F7" w:rsidP="00496A65">
      <w:r>
        <w:t xml:space="preserve">Following the agreement of the ENV WG-V-2018 to </w:t>
      </w:r>
      <w:proofErr w:type="spellStart"/>
      <w:r>
        <w:t>harmonise</w:t>
      </w:r>
      <w:proofErr w:type="spellEnd"/>
      <w:r>
        <w:t xml:space="preserve"> the value for the treated skin area with that of the Human Health assessment, a value of 55% of the total body surface area will be applied. </w:t>
      </w:r>
    </w:p>
    <w:p w14:paraId="2881DB31" w14:textId="36DE8865" w:rsidR="00591C41" w:rsidRPr="00C47639" w:rsidRDefault="000949F7" w:rsidP="00C47639">
      <w:pPr>
        <w:jc w:val="center"/>
        <w:rPr>
          <w:b/>
          <w:lang w:val="en-GB"/>
        </w:rPr>
      </w:pPr>
      <w:proofErr w:type="spellStart"/>
      <w:r w:rsidRPr="00C47639">
        <w:rPr>
          <w:b/>
          <w:lang w:val="en-GB"/>
        </w:rPr>
        <w:t>AREA</w:t>
      </w:r>
      <w:r w:rsidRPr="00C47639">
        <w:rPr>
          <w:b/>
          <w:vertAlign w:val="subscript"/>
          <w:lang w:val="en-GB"/>
        </w:rPr>
        <w:t>skin</w:t>
      </w:r>
      <w:proofErr w:type="spellEnd"/>
      <w:r w:rsidRPr="00C47639">
        <w:rPr>
          <w:b/>
          <w:lang w:val="en-GB"/>
        </w:rPr>
        <w:t> = 9130 cm²</w:t>
      </w:r>
    </w:p>
    <w:p w14:paraId="1036F95F" w14:textId="77777777" w:rsidR="00A6239B" w:rsidRDefault="00A6239B"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1649"/>
        <w:gridCol w:w="2503"/>
        <w:gridCol w:w="952"/>
        <w:gridCol w:w="1105"/>
      </w:tblGrid>
      <w:tr w:rsidR="00591C41" w:rsidRPr="00351A9A" w14:paraId="7002A531" w14:textId="77777777" w:rsidTr="00A34679">
        <w:trPr>
          <w:trHeight w:val="346"/>
        </w:trPr>
        <w:tc>
          <w:tcPr>
            <w:tcW w:w="5000" w:type="pct"/>
            <w:gridSpan w:val="5"/>
            <w:shd w:val="clear" w:color="auto" w:fill="FFFFCC"/>
            <w:vAlign w:val="center"/>
          </w:tcPr>
          <w:p w14:paraId="7F90C5D6" w14:textId="77777777" w:rsidR="00591C41" w:rsidRPr="00351A9A" w:rsidRDefault="00591C41" w:rsidP="00351A9A">
            <w:pPr>
              <w:pStyle w:val="Standaard-Tabellen"/>
              <w:rPr>
                <w:b/>
              </w:rPr>
            </w:pPr>
            <w:r w:rsidRPr="00351A9A">
              <w:rPr>
                <w:b/>
              </w:rPr>
              <w:t>Input parameters for calculating the local emission</w:t>
            </w:r>
          </w:p>
        </w:tc>
      </w:tr>
      <w:tr w:rsidR="00591C41" w:rsidRPr="00351A9A" w14:paraId="7BA930C9" w14:textId="77777777" w:rsidTr="00A34679">
        <w:trPr>
          <w:trHeight w:val="75"/>
        </w:trPr>
        <w:tc>
          <w:tcPr>
            <w:tcW w:w="1717" w:type="pct"/>
            <w:shd w:val="clear" w:color="auto" w:fill="BFBFBF" w:themeFill="background1" w:themeFillShade="BF"/>
            <w:vAlign w:val="center"/>
          </w:tcPr>
          <w:p w14:paraId="30882BC8" w14:textId="77777777" w:rsidR="00591C41" w:rsidRPr="00351A9A" w:rsidRDefault="00591C41" w:rsidP="00496A65">
            <w:pPr>
              <w:pStyle w:val="Standaard-Tabellen"/>
              <w:rPr>
                <w:b/>
              </w:rPr>
            </w:pPr>
            <w:r w:rsidRPr="00351A9A">
              <w:rPr>
                <w:b/>
              </w:rPr>
              <w:t xml:space="preserve">Input </w:t>
            </w:r>
          </w:p>
        </w:tc>
        <w:tc>
          <w:tcPr>
            <w:tcW w:w="896" w:type="pct"/>
            <w:shd w:val="clear" w:color="auto" w:fill="BFBFBF" w:themeFill="background1" w:themeFillShade="BF"/>
            <w:vAlign w:val="center"/>
          </w:tcPr>
          <w:p w14:paraId="73046F8B" w14:textId="77777777" w:rsidR="00591C41" w:rsidRPr="00351A9A" w:rsidRDefault="00591C41" w:rsidP="00496A65">
            <w:pPr>
              <w:pStyle w:val="Standaard-Tabellen"/>
              <w:rPr>
                <w:b/>
              </w:rPr>
            </w:pPr>
            <w:r w:rsidRPr="00351A9A">
              <w:rPr>
                <w:b/>
              </w:rPr>
              <w:t>Nomenclature</w:t>
            </w:r>
          </w:p>
        </w:tc>
        <w:tc>
          <w:tcPr>
            <w:tcW w:w="1350" w:type="pct"/>
            <w:shd w:val="clear" w:color="auto" w:fill="BFBFBF" w:themeFill="background1" w:themeFillShade="BF"/>
            <w:vAlign w:val="center"/>
          </w:tcPr>
          <w:p w14:paraId="0C382A2D" w14:textId="77777777" w:rsidR="00591C41" w:rsidRPr="00351A9A" w:rsidRDefault="00591C41" w:rsidP="00496A65">
            <w:pPr>
              <w:pStyle w:val="Standaard-Tabellen"/>
              <w:rPr>
                <w:b/>
              </w:rPr>
            </w:pPr>
            <w:r w:rsidRPr="00351A9A">
              <w:rPr>
                <w:b/>
              </w:rPr>
              <w:t>Value</w:t>
            </w:r>
          </w:p>
        </w:tc>
        <w:tc>
          <w:tcPr>
            <w:tcW w:w="506" w:type="pct"/>
            <w:shd w:val="clear" w:color="auto" w:fill="BFBFBF" w:themeFill="background1" w:themeFillShade="BF"/>
            <w:vAlign w:val="center"/>
          </w:tcPr>
          <w:p w14:paraId="61B6AB6E" w14:textId="77777777" w:rsidR="00591C41" w:rsidRPr="00351A9A" w:rsidRDefault="00591C41" w:rsidP="00496A65">
            <w:pPr>
              <w:pStyle w:val="Standaard-Tabellen"/>
              <w:rPr>
                <w:b/>
              </w:rPr>
            </w:pPr>
            <w:r w:rsidRPr="00351A9A">
              <w:rPr>
                <w:b/>
              </w:rPr>
              <w:t>Unit</w:t>
            </w:r>
          </w:p>
        </w:tc>
        <w:tc>
          <w:tcPr>
            <w:tcW w:w="531" w:type="pct"/>
            <w:shd w:val="clear" w:color="auto" w:fill="BFBFBF" w:themeFill="background1" w:themeFillShade="BF"/>
          </w:tcPr>
          <w:p w14:paraId="37DB85CF" w14:textId="77777777" w:rsidR="00591C41" w:rsidRPr="00351A9A" w:rsidRDefault="00591C41" w:rsidP="00496A65">
            <w:pPr>
              <w:pStyle w:val="Standaard-Tabellen"/>
              <w:rPr>
                <w:b/>
              </w:rPr>
            </w:pPr>
            <w:r w:rsidRPr="00351A9A">
              <w:rPr>
                <w:b/>
              </w:rPr>
              <w:t>Remarks</w:t>
            </w:r>
          </w:p>
        </w:tc>
      </w:tr>
      <w:tr w:rsidR="00591C41" w:rsidRPr="00351A9A" w14:paraId="2E58C9A2" w14:textId="77777777" w:rsidTr="00A34679">
        <w:trPr>
          <w:trHeight w:val="75"/>
        </w:trPr>
        <w:tc>
          <w:tcPr>
            <w:tcW w:w="5000" w:type="pct"/>
            <w:gridSpan w:val="5"/>
            <w:shd w:val="clear" w:color="auto" w:fill="E2EFD9" w:themeFill="accent6" w:themeFillTint="33"/>
            <w:vAlign w:val="center"/>
          </w:tcPr>
          <w:p w14:paraId="24C18003" w14:textId="77777777" w:rsidR="00591C41" w:rsidRPr="00351A9A" w:rsidRDefault="00591C41" w:rsidP="00496A65">
            <w:pPr>
              <w:pStyle w:val="Standaard-Tabellen"/>
              <w:rPr>
                <w:i/>
                <w:color w:val="000000"/>
                <w:szCs w:val="18"/>
              </w:rPr>
            </w:pPr>
            <w:r w:rsidRPr="00351A9A">
              <w:rPr>
                <w:i/>
                <w:color w:val="000000"/>
                <w:szCs w:val="18"/>
              </w:rPr>
              <w:t>Scenario</w:t>
            </w:r>
            <w:r w:rsidRPr="00351A9A">
              <w:rPr>
                <w:i/>
              </w:rPr>
              <w:t>: Release of repellents used on human skin based on the average consumption</w:t>
            </w:r>
          </w:p>
        </w:tc>
      </w:tr>
      <w:tr w:rsidR="00591C41" w:rsidRPr="00FD2055" w14:paraId="511564D7" w14:textId="77777777" w:rsidTr="00A34679">
        <w:trPr>
          <w:trHeight w:val="75"/>
        </w:trPr>
        <w:tc>
          <w:tcPr>
            <w:tcW w:w="1717" w:type="pct"/>
            <w:shd w:val="clear" w:color="auto" w:fill="auto"/>
            <w:vAlign w:val="center"/>
          </w:tcPr>
          <w:p w14:paraId="1F3C1DD3" w14:textId="77777777" w:rsidR="00591C41" w:rsidRPr="003D5898" w:rsidRDefault="00591C41" w:rsidP="00496A65">
            <w:pPr>
              <w:pStyle w:val="Standaard-Tabellen"/>
            </w:pPr>
            <w:r w:rsidRPr="003D5898">
              <w:t>Number of inhabitants feeding one STP</w:t>
            </w:r>
          </w:p>
        </w:tc>
        <w:tc>
          <w:tcPr>
            <w:tcW w:w="896" w:type="pct"/>
            <w:shd w:val="clear" w:color="auto" w:fill="auto"/>
            <w:vAlign w:val="center"/>
          </w:tcPr>
          <w:p w14:paraId="6050F68D" w14:textId="77777777" w:rsidR="00591C41" w:rsidRPr="003D5898" w:rsidRDefault="00591C41" w:rsidP="00496A65">
            <w:pPr>
              <w:pStyle w:val="Standaard-Tabellen"/>
            </w:pPr>
            <w:proofErr w:type="spellStart"/>
            <w:r w:rsidRPr="003D5898">
              <w:t>Nlocal</w:t>
            </w:r>
            <w:proofErr w:type="spellEnd"/>
          </w:p>
        </w:tc>
        <w:tc>
          <w:tcPr>
            <w:tcW w:w="1350" w:type="pct"/>
            <w:shd w:val="clear" w:color="auto" w:fill="auto"/>
            <w:vAlign w:val="center"/>
          </w:tcPr>
          <w:p w14:paraId="1D0F6354" w14:textId="77777777" w:rsidR="00591C41" w:rsidRPr="003D5898" w:rsidRDefault="00591C41" w:rsidP="00496A65">
            <w:pPr>
              <w:pStyle w:val="Standaard-Tabellen"/>
            </w:pPr>
            <w:r w:rsidRPr="003D5898">
              <w:t>10 000</w:t>
            </w:r>
          </w:p>
        </w:tc>
        <w:tc>
          <w:tcPr>
            <w:tcW w:w="506" w:type="pct"/>
            <w:shd w:val="clear" w:color="auto" w:fill="auto"/>
            <w:vAlign w:val="center"/>
          </w:tcPr>
          <w:p w14:paraId="72625AC4" w14:textId="77777777" w:rsidR="00591C41" w:rsidRPr="003D5898" w:rsidRDefault="00591C41" w:rsidP="00496A65">
            <w:pPr>
              <w:pStyle w:val="Standaard-Tabellen"/>
            </w:pPr>
            <w:r w:rsidRPr="003D5898">
              <w:t>cap</w:t>
            </w:r>
          </w:p>
        </w:tc>
        <w:tc>
          <w:tcPr>
            <w:tcW w:w="531" w:type="pct"/>
          </w:tcPr>
          <w:p w14:paraId="4240F575" w14:textId="77777777" w:rsidR="00591C41" w:rsidRPr="003D5898" w:rsidRDefault="00591C41" w:rsidP="00496A65">
            <w:pPr>
              <w:pStyle w:val="Standaard-Tabellen"/>
            </w:pPr>
            <w:r>
              <w:t>D</w:t>
            </w:r>
          </w:p>
        </w:tc>
      </w:tr>
      <w:tr w:rsidR="00591C41" w:rsidRPr="00FD2055" w14:paraId="51F83EED" w14:textId="77777777" w:rsidTr="00A34679">
        <w:trPr>
          <w:trHeight w:val="93"/>
        </w:trPr>
        <w:tc>
          <w:tcPr>
            <w:tcW w:w="1717" w:type="pct"/>
            <w:shd w:val="clear" w:color="auto" w:fill="auto"/>
            <w:vAlign w:val="center"/>
          </w:tcPr>
          <w:p w14:paraId="3CCA760E" w14:textId="77777777" w:rsidR="00591C41" w:rsidRPr="003D5898" w:rsidRDefault="00591C41" w:rsidP="00496A65">
            <w:pPr>
              <w:pStyle w:val="Standaard-Tabellen"/>
            </w:pPr>
            <w:r w:rsidRPr="003D5898">
              <w:t>Active substance in product</w:t>
            </w:r>
          </w:p>
        </w:tc>
        <w:tc>
          <w:tcPr>
            <w:tcW w:w="896" w:type="pct"/>
            <w:shd w:val="clear" w:color="auto" w:fill="auto"/>
            <w:vAlign w:val="center"/>
          </w:tcPr>
          <w:p w14:paraId="3E1FCAC8" w14:textId="77777777" w:rsidR="00591C41" w:rsidRPr="003D5898" w:rsidRDefault="00591C41" w:rsidP="00496A65">
            <w:pPr>
              <w:pStyle w:val="Standaard-Tabellen"/>
            </w:pPr>
            <w:r w:rsidRPr="003D5898">
              <w:t xml:space="preserve">(B) </w:t>
            </w:r>
            <w:proofErr w:type="spellStart"/>
            <w:r w:rsidRPr="003D5898">
              <w:t>Cformweight</w:t>
            </w:r>
            <w:proofErr w:type="spellEnd"/>
          </w:p>
        </w:tc>
        <w:tc>
          <w:tcPr>
            <w:tcW w:w="1350" w:type="pct"/>
            <w:shd w:val="clear" w:color="auto" w:fill="auto"/>
            <w:vAlign w:val="center"/>
          </w:tcPr>
          <w:p w14:paraId="64B3305F" w14:textId="77777777" w:rsidR="00591C41" w:rsidRPr="003D5898" w:rsidRDefault="00591C41" w:rsidP="00496A65">
            <w:pPr>
              <w:pStyle w:val="Standaard-Tabellen"/>
            </w:pPr>
            <w:r w:rsidRPr="003D5898">
              <w:t>200</w:t>
            </w:r>
          </w:p>
        </w:tc>
        <w:tc>
          <w:tcPr>
            <w:tcW w:w="506" w:type="pct"/>
            <w:shd w:val="clear" w:color="auto" w:fill="auto"/>
            <w:vAlign w:val="center"/>
          </w:tcPr>
          <w:p w14:paraId="4953A4EC" w14:textId="77777777" w:rsidR="00591C41" w:rsidRPr="003D5898" w:rsidRDefault="00591C41" w:rsidP="00496A65">
            <w:pPr>
              <w:pStyle w:val="Standaard-Tabellen"/>
            </w:pPr>
            <w:r w:rsidRPr="003D5898">
              <w:t>g/kg</w:t>
            </w:r>
          </w:p>
        </w:tc>
        <w:tc>
          <w:tcPr>
            <w:tcW w:w="531" w:type="pct"/>
          </w:tcPr>
          <w:p w14:paraId="28EAC79B" w14:textId="77777777" w:rsidR="00591C41" w:rsidRPr="003D5898" w:rsidRDefault="00591C41" w:rsidP="00496A65">
            <w:pPr>
              <w:pStyle w:val="Standaard-Tabellen"/>
            </w:pPr>
            <w:r>
              <w:t>(20 %)</w:t>
            </w:r>
          </w:p>
        </w:tc>
      </w:tr>
      <w:tr w:rsidR="00591C41" w:rsidRPr="00FD2055" w14:paraId="74467089" w14:textId="77777777" w:rsidTr="00A34679">
        <w:trPr>
          <w:trHeight w:val="93"/>
        </w:trPr>
        <w:tc>
          <w:tcPr>
            <w:tcW w:w="1717" w:type="pct"/>
            <w:shd w:val="clear" w:color="auto" w:fill="auto"/>
          </w:tcPr>
          <w:p w14:paraId="3B92FE16" w14:textId="77777777" w:rsidR="00591C41" w:rsidRPr="003D5898" w:rsidRDefault="00591C41" w:rsidP="00496A65">
            <w:pPr>
              <w:pStyle w:val="Standaard-Tabellen"/>
            </w:pPr>
            <w:r w:rsidRPr="003D5898">
              <w:t>Consumption per application</w:t>
            </w:r>
          </w:p>
        </w:tc>
        <w:tc>
          <w:tcPr>
            <w:tcW w:w="896" w:type="pct"/>
            <w:shd w:val="clear" w:color="auto" w:fill="auto"/>
          </w:tcPr>
          <w:p w14:paraId="112A72BA" w14:textId="77777777" w:rsidR="00591C41" w:rsidRPr="003D5898" w:rsidRDefault="00591C41" w:rsidP="00496A65">
            <w:pPr>
              <w:pStyle w:val="Standaard-Tabellen"/>
            </w:pPr>
            <w:r w:rsidRPr="003D5898">
              <w:t xml:space="preserve">(D2) </w:t>
            </w:r>
            <w:proofErr w:type="spellStart"/>
            <w:r w:rsidRPr="003D5898">
              <w:t>Qformappl</w:t>
            </w:r>
            <w:proofErr w:type="spellEnd"/>
          </w:p>
        </w:tc>
        <w:tc>
          <w:tcPr>
            <w:tcW w:w="1350" w:type="pct"/>
            <w:shd w:val="clear" w:color="auto" w:fill="auto"/>
          </w:tcPr>
          <w:p w14:paraId="24801028" w14:textId="12234B0F" w:rsidR="00591C41" w:rsidRPr="00366A63" w:rsidRDefault="00591C41" w:rsidP="00496A65">
            <w:pPr>
              <w:pStyle w:val="Standaard-Tabellen"/>
            </w:pPr>
            <w:r w:rsidRPr="00366A63">
              <w:t>0</w:t>
            </w:r>
            <w:r w:rsidR="00E00756" w:rsidRPr="00366A63">
              <w:t>.</w:t>
            </w:r>
            <w:r w:rsidRPr="00366A63">
              <w:t>6</w:t>
            </w:r>
            <w:r w:rsidR="000949F7">
              <w:t>7</w:t>
            </w:r>
          </w:p>
        </w:tc>
        <w:tc>
          <w:tcPr>
            <w:tcW w:w="506" w:type="pct"/>
            <w:shd w:val="clear" w:color="auto" w:fill="auto"/>
          </w:tcPr>
          <w:p w14:paraId="5FF8860D" w14:textId="77777777" w:rsidR="00591C41" w:rsidRPr="003D5898" w:rsidRDefault="00591C41" w:rsidP="00496A65">
            <w:pPr>
              <w:pStyle w:val="Standaard-Tabellen"/>
            </w:pPr>
            <w:r w:rsidRPr="003D5898">
              <w:t>mg/cm²</w:t>
            </w:r>
          </w:p>
        </w:tc>
        <w:tc>
          <w:tcPr>
            <w:tcW w:w="531" w:type="pct"/>
          </w:tcPr>
          <w:p w14:paraId="5C3B916A" w14:textId="77777777" w:rsidR="00591C41" w:rsidRPr="003D5898" w:rsidRDefault="00591C41" w:rsidP="00496A65">
            <w:pPr>
              <w:pStyle w:val="Standaard-Tabellen"/>
            </w:pPr>
            <w:r>
              <w:t>(see above)</w:t>
            </w:r>
          </w:p>
        </w:tc>
      </w:tr>
      <w:tr w:rsidR="00591C41" w:rsidRPr="00FD2055" w14:paraId="18925F81" w14:textId="77777777" w:rsidTr="00A34679">
        <w:trPr>
          <w:trHeight w:val="93"/>
        </w:trPr>
        <w:tc>
          <w:tcPr>
            <w:tcW w:w="1717" w:type="pct"/>
            <w:shd w:val="clear" w:color="auto" w:fill="auto"/>
            <w:vAlign w:val="center"/>
          </w:tcPr>
          <w:p w14:paraId="4D584097" w14:textId="77777777" w:rsidR="00591C41" w:rsidRPr="003D5898" w:rsidRDefault="00591C41" w:rsidP="00496A65">
            <w:pPr>
              <w:pStyle w:val="Standaard-Tabellen"/>
            </w:pPr>
            <w:r w:rsidRPr="003D5898">
              <w:t>Number of applications per day</w:t>
            </w:r>
          </w:p>
        </w:tc>
        <w:tc>
          <w:tcPr>
            <w:tcW w:w="896" w:type="pct"/>
            <w:shd w:val="clear" w:color="auto" w:fill="auto"/>
            <w:vAlign w:val="center"/>
          </w:tcPr>
          <w:p w14:paraId="4DB2AE68" w14:textId="77777777" w:rsidR="00591C41" w:rsidRPr="003D5898" w:rsidRDefault="00591C41" w:rsidP="00496A65">
            <w:pPr>
              <w:pStyle w:val="Standaard-Tabellen"/>
            </w:pPr>
            <w:proofErr w:type="spellStart"/>
            <w:r w:rsidRPr="003D5898">
              <w:t>Nappl</w:t>
            </w:r>
            <w:proofErr w:type="spellEnd"/>
          </w:p>
        </w:tc>
        <w:tc>
          <w:tcPr>
            <w:tcW w:w="1350" w:type="pct"/>
            <w:shd w:val="clear" w:color="auto" w:fill="auto"/>
            <w:vAlign w:val="center"/>
          </w:tcPr>
          <w:p w14:paraId="5AD9A58B" w14:textId="68CA40D4" w:rsidR="00591C41" w:rsidRPr="00366A63" w:rsidRDefault="000949F7" w:rsidP="00496A65">
            <w:pPr>
              <w:pStyle w:val="Standaard-Tabellen"/>
            </w:pPr>
            <w:r>
              <w:t>2</w:t>
            </w:r>
          </w:p>
        </w:tc>
        <w:tc>
          <w:tcPr>
            <w:tcW w:w="506" w:type="pct"/>
            <w:shd w:val="clear" w:color="auto" w:fill="auto"/>
            <w:vAlign w:val="center"/>
          </w:tcPr>
          <w:p w14:paraId="6AB0B690" w14:textId="77777777" w:rsidR="00591C41" w:rsidRPr="003D5898" w:rsidRDefault="00591C41" w:rsidP="00496A65">
            <w:pPr>
              <w:pStyle w:val="Standaard-Tabellen"/>
            </w:pPr>
            <w:r w:rsidRPr="003D5898">
              <w:t>d</w:t>
            </w:r>
            <w:r w:rsidRPr="00366A63">
              <w:rPr>
                <w:vertAlign w:val="superscript"/>
              </w:rPr>
              <w:t>-1</w:t>
            </w:r>
          </w:p>
        </w:tc>
        <w:tc>
          <w:tcPr>
            <w:tcW w:w="531" w:type="pct"/>
          </w:tcPr>
          <w:p w14:paraId="18588FD3" w14:textId="77777777" w:rsidR="00591C41" w:rsidRPr="003D5898" w:rsidRDefault="00591C41" w:rsidP="00496A65">
            <w:pPr>
              <w:pStyle w:val="Standaard-Tabellen"/>
            </w:pPr>
            <w:r>
              <w:t>(see above)</w:t>
            </w:r>
          </w:p>
        </w:tc>
      </w:tr>
      <w:tr w:rsidR="00591C41" w:rsidRPr="00FD2055" w14:paraId="5CF3CEFC" w14:textId="77777777" w:rsidTr="00A34679">
        <w:trPr>
          <w:trHeight w:val="93"/>
        </w:trPr>
        <w:tc>
          <w:tcPr>
            <w:tcW w:w="1717" w:type="pct"/>
            <w:shd w:val="clear" w:color="auto" w:fill="auto"/>
          </w:tcPr>
          <w:p w14:paraId="4266A723" w14:textId="77777777" w:rsidR="00591C41" w:rsidRPr="003D5898" w:rsidRDefault="00591C41" w:rsidP="00496A65">
            <w:pPr>
              <w:pStyle w:val="Standaard-Tabellen"/>
            </w:pPr>
            <w:r w:rsidRPr="003D5898">
              <w:t>Treated area of human skin</w:t>
            </w:r>
          </w:p>
        </w:tc>
        <w:tc>
          <w:tcPr>
            <w:tcW w:w="896" w:type="pct"/>
            <w:shd w:val="clear" w:color="auto" w:fill="auto"/>
          </w:tcPr>
          <w:p w14:paraId="7726CA4B" w14:textId="77777777" w:rsidR="00591C41" w:rsidRPr="003D5898" w:rsidRDefault="00591C41" w:rsidP="00496A65">
            <w:pPr>
              <w:pStyle w:val="Standaard-Tabellen"/>
            </w:pPr>
            <w:proofErr w:type="spellStart"/>
            <w:r w:rsidRPr="003D5898">
              <w:t>AREA</w:t>
            </w:r>
            <w:r w:rsidRPr="002952A0">
              <w:rPr>
                <w:vertAlign w:val="subscript"/>
              </w:rPr>
              <w:t>skin</w:t>
            </w:r>
            <w:proofErr w:type="spellEnd"/>
          </w:p>
        </w:tc>
        <w:tc>
          <w:tcPr>
            <w:tcW w:w="1350" w:type="pct"/>
            <w:shd w:val="clear" w:color="auto" w:fill="auto"/>
          </w:tcPr>
          <w:p w14:paraId="262BA49F" w14:textId="7410F023" w:rsidR="00591C41" w:rsidRPr="00366A63" w:rsidRDefault="000949F7" w:rsidP="00496A65">
            <w:pPr>
              <w:pStyle w:val="Standaard-Tabellen"/>
            </w:pPr>
            <w:r>
              <w:t>9130</w:t>
            </w:r>
          </w:p>
        </w:tc>
        <w:tc>
          <w:tcPr>
            <w:tcW w:w="506" w:type="pct"/>
            <w:shd w:val="clear" w:color="auto" w:fill="auto"/>
          </w:tcPr>
          <w:p w14:paraId="73572786" w14:textId="77777777" w:rsidR="00591C41" w:rsidRPr="003D5898" w:rsidRDefault="00591C41" w:rsidP="00496A65">
            <w:pPr>
              <w:pStyle w:val="Standaard-Tabellen"/>
            </w:pPr>
            <w:r w:rsidRPr="003D5898">
              <w:t>cm²</w:t>
            </w:r>
          </w:p>
        </w:tc>
        <w:tc>
          <w:tcPr>
            <w:tcW w:w="531" w:type="pct"/>
          </w:tcPr>
          <w:p w14:paraId="71942F9F" w14:textId="77777777" w:rsidR="00591C41" w:rsidRPr="003D5898" w:rsidRDefault="00591C41" w:rsidP="00496A65">
            <w:pPr>
              <w:pStyle w:val="Standaard-Tabellen"/>
            </w:pPr>
            <w:r>
              <w:t>(see above)</w:t>
            </w:r>
          </w:p>
        </w:tc>
      </w:tr>
      <w:tr w:rsidR="00591C41" w:rsidRPr="00FD2055" w14:paraId="2C1657D9" w14:textId="77777777" w:rsidTr="00A34679">
        <w:trPr>
          <w:trHeight w:val="93"/>
        </w:trPr>
        <w:tc>
          <w:tcPr>
            <w:tcW w:w="1717" w:type="pct"/>
            <w:shd w:val="clear" w:color="auto" w:fill="auto"/>
          </w:tcPr>
          <w:p w14:paraId="10588CDD" w14:textId="77777777" w:rsidR="00591C41" w:rsidRPr="003D5898" w:rsidRDefault="00591C41" w:rsidP="00496A65">
            <w:pPr>
              <w:pStyle w:val="Standaard-Tabellen"/>
            </w:pPr>
            <w:r w:rsidRPr="003D5898">
              <w:t xml:space="preserve">Fraction </w:t>
            </w:r>
            <w:proofErr w:type="spellStart"/>
            <w:r w:rsidRPr="003D5898">
              <w:t>realeased</w:t>
            </w:r>
            <w:proofErr w:type="spellEnd"/>
            <w:r w:rsidRPr="003D5898">
              <w:t xml:space="preserve"> to air</w:t>
            </w:r>
          </w:p>
        </w:tc>
        <w:tc>
          <w:tcPr>
            <w:tcW w:w="896" w:type="pct"/>
            <w:shd w:val="clear" w:color="auto" w:fill="auto"/>
          </w:tcPr>
          <w:p w14:paraId="3020C2AB" w14:textId="77777777" w:rsidR="00591C41" w:rsidRPr="003D5898" w:rsidRDefault="00591C41" w:rsidP="00496A65">
            <w:pPr>
              <w:pStyle w:val="Standaard-Tabellen"/>
            </w:pPr>
            <w:r w:rsidRPr="003D5898">
              <w:t>Fair</w:t>
            </w:r>
          </w:p>
        </w:tc>
        <w:tc>
          <w:tcPr>
            <w:tcW w:w="1350" w:type="pct"/>
            <w:shd w:val="clear" w:color="auto" w:fill="auto"/>
          </w:tcPr>
          <w:p w14:paraId="73D8DF6D" w14:textId="77777777" w:rsidR="00591C41" w:rsidRPr="003D5898" w:rsidRDefault="00591C41" w:rsidP="00496A65">
            <w:pPr>
              <w:pStyle w:val="Standaard-Tabellen"/>
            </w:pPr>
            <w:r w:rsidRPr="003D5898">
              <w:t>0</w:t>
            </w:r>
          </w:p>
        </w:tc>
        <w:tc>
          <w:tcPr>
            <w:tcW w:w="506" w:type="pct"/>
            <w:shd w:val="clear" w:color="auto" w:fill="auto"/>
          </w:tcPr>
          <w:p w14:paraId="62005979" w14:textId="77777777" w:rsidR="00591C41" w:rsidRPr="003D5898" w:rsidRDefault="00591C41" w:rsidP="00496A65">
            <w:pPr>
              <w:pStyle w:val="Standaard-Tabellen"/>
            </w:pPr>
            <w:r w:rsidRPr="003D5898">
              <w:t>[-]</w:t>
            </w:r>
          </w:p>
        </w:tc>
        <w:tc>
          <w:tcPr>
            <w:tcW w:w="531" w:type="pct"/>
          </w:tcPr>
          <w:p w14:paraId="427560FB" w14:textId="77777777" w:rsidR="00591C41" w:rsidRPr="003D5898" w:rsidRDefault="00591C41" w:rsidP="00496A65">
            <w:pPr>
              <w:pStyle w:val="Standaard-Tabellen"/>
            </w:pPr>
            <w:r>
              <w:t>D</w:t>
            </w:r>
          </w:p>
        </w:tc>
      </w:tr>
      <w:tr w:rsidR="00591C41" w:rsidRPr="00FD2055" w14:paraId="68B8A987" w14:textId="77777777" w:rsidTr="00A34679">
        <w:trPr>
          <w:trHeight w:val="93"/>
        </w:trPr>
        <w:tc>
          <w:tcPr>
            <w:tcW w:w="1717" w:type="pct"/>
            <w:shd w:val="clear" w:color="auto" w:fill="auto"/>
          </w:tcPr>
          <w:p w14:paraId="7034F16D" w14:textId="77777777" w:rsidR="00591C41" w:rsidRPr="003D5898" w:rsidRDefault="00591C41" w:rsidP="00496A65">
            <w:pPr>
              <w:pStyle w:val="Standaard-Tabellen"/>
            </w:pPr>
            <w:r w:rsidRPr="003D5898">
              <w:t>Fraction dermally absorbed</w:t>
            </w:r>
          </w:p>
        </w:tc>
        <w:tc>
          <w:tcPr>
            <w:tcW w:w="896" w:type="pct"/>
            <w:shd w:val="clear" w:color="auto" w:fill="auto"/>
          </w:tcPr>
          <w:p w14:paraId="3A1EDB62" w14:textId="77777777" w:rsidR="00591C41" w:rsidRPr="003D5898" w:rsidRDefault="00591C41" w:rsidP="00496A65">
            <w:pPr>
              <w:pStyle w:val="Standaard-Tabellen"/>
            </w:pPr>
            <w:proofErr w:type="spellStart"/>
            <w:r w:rsidRPr="003D5898">
              <w:t>Fskin</w:t>
            </w:r>
            <w:proofErr w:type="spellEnd"/>
          </w:p>
        </w:tc>
        <w:tc>
          <w:tcPr>
            <w:tcW w:w="1350" w:type="pct"/>
            <w:shd w:val="clear" w:color="auto" w:fill="auto"/>
          </w:tcPr>
          <w:p w14:paraId="4CD310F3" w14:textId="77777777" w:rsidR="00591C41" w:rsidRPr="003D5898" w:rsidRDefault="00591C41" w:rsidP="00496A65">
            <w:pPr>
              <w:pStyle w:val="Standaard-Tabellen"/>
            </w:pPr>
            <w:r w:rsidRPr="003D5898">
              <w:t>0</w:t>
            </w:r>
          </w:p>
        </w:tc>
        <w:tc>
          <w:tcPr>
            <w:tcW w:w="506" w:type="pct"/>
            <w:shd w:val="clear" w:color="auto" w:fill="auto"/>
          </w:tcPr>
          <w:p w14:paraId="583E05A7" w14:textId="77777777" w:rsidR="00591C41" w:rsidRPr="003D5898" w:rsidRDefault="00591C41" w:rsidP="00496A65">
            <w:pPr>
              <w:pStyle w:val="Standaard-Tabellen"/>
            </w:pPr>
            <w:r w:rsidRPr="003D5898">
              <w:t>[-]</w:t>
            </w:r>
          </w:p>
        </w:tc>
        <w:tc>
          <w:tcPr>
            <w:tcW w:w="531" w:type="pct"/>
          </w:tcPr>
          <w:p w14:paraId="5E6BCD87" w14:textId="77777777" w:rsidR="00591C41" w:rsidRPr="003D5898" w:rsidRDefault="00591C41" w:rsidP="00496A65">
            <w:pPr>
              <w:pStyle w:val="Standaard-Tabellen"/>
            </w:pPr>
            <w:r>
              <w:t>D</w:t>
            </w:r>
          </w:p>
        </w:tc>
      </w:tr>
      <w:tr w:rsidR="00591C41" w:rsidRPr="00FD2055" w14:paraId="10737C50" w14:textId="77777777" w:rsidTr="00A34679">
        <w:trPr>
          <w:trHeight w:val="93"/>
        </w:trPr>
        <w:tc>
          <w:tcPr>
            <w:tcW w:w="1717" w:type="pct"/>
            <w:shd w:val="clear" w:color="auto" w:fill="auto"/>
          </w:tcPr>
          <w:p w14:paraId="0F4C990E" w14:textId="77777777" w:rsidR="00591C41" w:rsidRPr="003D5898" w:rsidRDefault="00591C41" w:rsidP="00496A65">
            <w:pPr>
              <w:pStyle w:val="Standaard-Tabellen"/>
            </w:pPr>
            <w:r w:rsidRPr="003D5898">
              <w:lastRenderedPageBreak/>
              <w:t>Fraction released to wastewater</w:t>
            </w:r>
          </w:p>
        </w:tc>
        <w:tc>
          <w:tcPr>
            <w:tcW w:w="896" w:type="pct"/>
            <w:shd w:val="clear" w:color="auto" w:fill="auto"/>
          </w:tcPr>
          <w:p w14:paraId="08986EFA" w14:textId="77777777" w:rsidR="00591C41" w:rsidRPr="003D5898" w:rsidRDefault="00591C41" w:rsidP="00496A65">
            <w:pPr>
              <w:pStyle w:val="Standaard-Tabellen"/>
            </w:pPr>
            <w:proofErr w:type="spellStart"/>
            <w:r w:rsidRPr="003D5898">
              <w:t>Fwater</w:t>
            </w:r>
            <w:proofErr w:type="spellEnd"/>
          </w:p>
        </w:tc>
        <w:tc>
          <w:tcPr>
            <w:tcW w:w="1350" w:type="pct"/>
            <w:shd w:val="clear" w:color="auto" w:fill="auto"/>
          </w:tcPr>
          <w:p w14:paraId="5AE62BD5" w14:textId="77777777" w:rsidR="00591C41" w:rsidRPr="003D5898" w:rsidRDefault="00591C41" w:rsidP="00496A65">
            <w:pPr>
              <w:pStyle w:val="Standaard-Tabellen"/>
            </w:pPr>
            <w:r w:rsidRPr="003D5898">
              <w:t>1</w:t>
            </w:r>
          </w:p>
        </w:tc>
        <w:tc>
          <w:tcPr>
            <w:tcW w:w="506" w:type="pct"/>
            <w:shd w:val="clear" w:color="auto" w:fill="auto"/>
          </w:tcPr>
          <w:p w14:paraId="4B2C815D" w14:textId="77777777" w:rsidR="00591C41" w:rsidRPr="003D5898" w:rsidRDefault="00591C41" w:rsidP="00496A65">
            <w:pPr>
              <w:pStyle w:val="Standaard-Tabellen"/>
            </w:pPr>
            <w:r w:rsidRPr="003D5898">
              <w:t>[-]</w:t>
            </w:r>
          </w:p>
        </w:tc>
        <w:tc>
          <w:tcPr>
            <w:tcW w:w="531" w:type="pct"/>
          </w:tcPr>
          <w:p w14:paraId="056BB7B6" w14:textId="77777777" w:rsidR="00591C41" w:rsidRPr="003D5898" w:rsidRDefault="00591C41" w:rsidP="00496A65">
            <w:pPr>
              <w:pStyle w:val="Standaard-Tabellen"/>
            </w:pPr>
            <w:r>
              <w:t>D</w:t>
            </w:r>
          </w:p>
        </w:tc>
      </w:tr>
      <w:tr w:rsidR="00591C41" w:rsidRPr="00FD2055" w14:paraId="4E263AFF" w14:textId="77777777" w:rsidTr="00A34679">
        <w:trPr>
          <w:trHeight w:val="93"/>
        </w:trPr>
        <w:tc>
          <w:tcPr>
            <w:tcW w:w="1717" w:type="pct"/>
            <w:shd w:val="clear" w:color="auto" w:fill="auto"/>
          </w:tcPr>
          <w:p w14:paraId="3974CF92" w14:textId="77777777" w:rsidR="00591C41" w:rsidRPr="003D5898" w:rsidRDefault="00591C41" w:rsidP="00496A65">
            <w:pPr>
              <w:pStyle w:val="Standaard-Tabellen"/>
            </w:pPr>
            <w:r w:rsidRPr="003D5898">
              <w:t>Fraction of inhabitants using a repellent product</w:t>
            </w:r>
          </w:p>
        </w:tc>
        <w:tc>
          <w:tcPr>
            <w:tcW w:w="896" w:type="pct"/>
            <w:shd w:val="clear" w:color="auto" w:fill="auto"/>
          </w:tcPr>
          <w:p w14:paraId="514BEAF5" w14:textId="77777777" w:rsidR="00591C41" w:rsidRPr="003D5898" w:rsidRDefault="00591C41" w:rsidP="00496A65">
            <w:pPr>
              <w:pStyle w:val="Standaard-Tabellen"/>
            </w:pPr>
            <w:proofErr w:type="spellStart"/>
            <w:r w:rsidRPr="003D5898">
              <w:t>Finh</w:t>
            </w:r>
            <w:proofErr w:type="spellEnd"/>
          </w:p>
        </w:tc>
        <w:tc>
          <w:tcPr>
            <w:tcW w:w="1350" w:type="pct"/>
            <w:shd w:val="clear" w:color="auto" w:fill="auto"/>
          </w:tcPr>
          <w:p w14:paraId="68818774" w14:textId="77777777" w:rsidR="00591C41" w:rsidRPr="003D5898" w:rsidRDefault="00591C41" w:rsidP="00496A65">
            <w:pPr>
              <w:pStyle w:val="Standaard-Tabellen"/>
            </w:pPr>
            <w:r w:rsidRPr="003D5898">
              <w:t>0.2</w:t>
            </w:r>
          </w:p>
        </w:tc>
        <w:tc>
          <w:tcPr>
            <w:tcW w:w="506" w:type="pct"/>
            <w:shd w:val="clear" w:color="auto" w:fill="auto"/>
          </w:tcPr>
          <w:p w14:paraId="4C364DCC" w14:textId="77777777" w:rsidR="00591C41" w:rsidRPr="003D5898" w:rsidRDefault="00591C41" w:rsidP="00496A65">
            <w:pPr>
              <w:pStyle w:val="Standaard-Tabellen"/>
            </w:pPr>
            <w:r w:rsidRPr="003D5898">
              <w:t>[-]</w:t>
            </w:r>
          </w:p>
        </w:tc>
        <w:tc>
          <w:tcPr>
            <w:tcW w:w="531" w:type="pct"/>
          </w:tcPr>
          <w:p w14:paraId="5A537116" w14:textId="77777777" w:rsidR="00591C41" w:rsidRPr="003D5898" w:rsidRDefault="00591C41" w:rsidP="00496A65">
            <w:pPr>
              <w:pStyle w:val="Standaard-Tabellen"/>
            </w:pPr>
            <w:r>
              <w:t>D</w:t>
            </w:r>
          </w:p>
        </w:tc>
      </w:tr>
      <w:tr w:rsidR="00591C41" w:rsidRPr="00FD2055" w14:paraId="51A329A5" w14:textId="77777777" w:rsidTr="00A34679">
        <w:trPr>
          <w:trHeight w:val="93"/>
        </w:trPr>
        <w:tc>
          <w:tcPr>
            <w:tcW w:w="1717" w:type="pct"/>
            <w:shd w:val="clear" w:color="auto" w:fill="auto"/>
          </w:tcPr>
          <w:p w14:paraId="2BB238F5" w14:textId="77777777" w:rsidR="00591C41" w:rsidRPr="003D5898" w:rsidRDefault="00591C41" w:rsidP="00496A65">
            <w:pPr>
              <w:pStyle w:val="Standaard-Tabellen"/>
            </w:pPr>
            <w:r w:rsidRPr="003D5898">
              <w:t>Market share of repellent</w:t>
            </w:r>
          </w:p>
        </w:tc>
        <w:tc>
          <w:tcPr>
            <w:tcW w:w="896" w:type="pct"/>
            <w:shd w:val="clear" w:color="auto" w:fill="auto"/>
          </w:tcPr>
          <w:p w14:paraId="6F3FCD31" w14:textId="77777777" w:rsidR="00591C41" w:rsidRPr="003D5898" w:rsidRDefault="00591C41" w:rsidP="00496A65">
            <w:pPr>
              <w:pStyle w:val="Standaard-Tabellen"/>
            </w:pPr>
            <w:proofErr w:type="spellStart"/>
            <w:r w:rsidRPr="003D5898">
              <w:t>Fpenetr</w:t>
            </w:r>
            <w:proofErr w:type="spellEnd"/>
          </w:p>
        </w:tc>
        <w:tc>
          <w:tcPr>
            <w:tcW w:w="1350" w:type="pct"/>
            <w:shd w:val="clear" w:color="auto" w:fill="auto"/>
          </w:tcPr>
          <w:p w14:paraId="7DAFC7DC" w14:textId="77777777" w:rsidR="00591C41" w:rsidRPr="003D5898" w:rsidRDefault="00591C41" w:rsidP="00496A65">
            <w:pPr>
              <w:pStyle w:val="Standaard-Tabellen"/>
            </w:pPr>
            <w:r w:rsidRPr="003D5898">
              <w:t>0.5</w:t>
            </w:r>
          </w:p>
        </w:tc>
        <w:tc>
          <w:tcPr>
            <w:tcW w:w="506" w:type="pct"/>
            <w:shd w:val="clear" w:color="auto" w:fill="auto"/>
          </w:tcPr>
          <w:p w14:paraId="5B9334E3" w14:textId="77777777" w:rsidR="00591C41" w:rsidRPr="003D5898" w:rsidRDefault="00591C41" w:rsidP="00496A65">
            <w:pPr>
              <w:pStyle w:val="Standaard-Tabellen"/>
            </w:pPr>
            <w:r w:rsidRPr="003D5898">
              <w:t>[-]</w:t>
            </w:r>
          </w:p>
        </w:tc>
        <w:tc>
          <w:tcPr>
            <w:tcW w:w="531" w:type="pct"/>
          </w:tcPr>
          <w:p w14:paraId="3960CCF2" w14:textId="77777777" w:rsidR="00591C41" w:rsidRPr="003D5898" w:rsidRDefault="00591C41" w:rsidP="00496A65">
            <w:pPr>
              <w:pStyle w:val="Standaard-Tabellen"/>
            </w:pPr>
            <w:r>
              <w:t>D</w:t>
            </w:r>
          </w:p>
        </w:tc>
      </w:tr>
      <w:tr w:rsidR="00591C41" w:rsidRPr="00FD2055" w14:paraId="3920BB4B" w14:textId="77777777" w:rsidTr="00A34679">
        <w:trPr>
          <w:trHeight w:val="93"/>
        </w:trPr>
        <w:tc>
          <w:tcPr>
            <w:tcW w:w="1717" w:type="pct"/>
            <w:shd w:val="clear" w:color="auto" w:fill="auto"/>
          </w:tcPr>
          <w:p w14:paraId="7B816E96" w14:textId="77777777" w:rsidR="00591C41" w:rsidRPr="003D5898" w:rsidRDefault="00591C41" w:rsidP="00496A65">
            <w:pPr>
              <w:pStyle w:val="Standaard-Tabellen"/>
            </w:pPr>
            <w:r w:rsidRPr="003D5898">
              <w:t>Specific density of the product</w:t>
            </w:r>
          </w:p>
        </w:tc>
        <w:tc>
          <w:tcPr>
            <w:tcW w:w="896" w:type="pct"/>
            <w:shd w:val="clear" w:color="auto" w:fill="auto"/>
          </w:tcPr>
          <w:p w14:paraId="2F7C73EB" w14:textId="77777777" w:rsidR="00591C41" w:rsidRPr="003D5898" w:rsidRDefault="00591C41" w:rsidP="00496A65">
            <w:pPr>
              <w:pStyle w:val="Standaard-Tabellen"/>
            </w:pPr>
            <w:proofErr w:type="spellStart"/>
            <w:r w:rsidRPr="003D5898">
              <w:t>RHOform</w:t>
            </w:r>
            <w:proofErr w:type="spellEnd"/>
          </w:p>
        </w:tc>
        <w:tc>
          <w:tcPr>
            <w:tcW w:w="1350" w:type="pct"/>
            <w:shd w:val="clear" w:color="auto" w:fill="auto"/>
          </w:tcPr>
          <w:p w14:paraId="5477C8EC" w14:textId="77777777" w:rsidR="00591C41" w:rsidRPr="003D5898" w:rsidRDefault="00591C41" w:rsidP="00496A65">
            <w:pPr>
              <w:pStyle w:val="Standaard-Tabellen"/>
            </w:pPr>
            <w:r w:rsidRPr="003D5898">
              <w:t>1000</w:t>
            </w:r>
          </w:p>
        </w:tc>
        <w:tc>
          <w:tcPr>
            <w:tcW w:w="506" w:type="pct"/>
            <w:shd w:val="clear" w:color="auto" w:fill="auto"/>
          </w:tcPr>
          <w:p w14:paraId="1263FBAD" w14:textId="77777777" w:rsidR="00591C41" w:rsidRPr="003D5898" w:rsidRDefault="00591C41" w:rsidP="00496A65">
            <w:pPr>
              <w:pStyle w:val="Standaard-Tabellen"/>
            </w:pPr>
            <w:r w:rsidRPr="003D5898">
              <w:t>kg/m³</w:t>
            </w:r>
          </w:p>
        </w:tc>
        <w:tc>
          <w:tcPr>
            <w:tcW w:w="531" w:type="pct"/>
          </w:tcPr>
          <w:p w14:paraId="20BACB94" w14:textId="77777777" w:rsidR="00591C41" w:rsidRPr="003D5898" w:rsidRDefault="00591C41" w:rsidP="00496A65">
            <w:pPr>
              <w:pStyle w:val="Standaard-Tabellen"/>
            </w:pPr>
            <w:r>
              <w:t>D</w:t>
            </w:r>
          </w:p>
        </w:tc>
      </w:tr>
    </w:tbl>
    <w:p w14:paraId="37BDED82" w14:textId="77777777" w:rsidR="00591C41" w:rsidRPr="00FD2055" w:rsidRDefault="00591C41" w:rsidP="00496A65"/>
    <w:p w14:paraId="0C4D7616" w14:textId="77777777" w:rsidR="00591C41" w:rsidRDefault="00591C41" w:rsidP="00496A65">
      <w:pPr>
        <w:pStyle w:val="Titre7"/>
      </w:pPr>
      <w:proofErr w:type="spellStart"/>
      <w:r w:rsidRPr="00A14D85">
        <w:t>Calculations</w:t>
      </w:r>
      <w:proofErr w:type="spellEnd"/>
      <w:r w:rsidRPr="00A14D85">
        <w:t xml:space="preserve"> </w:t>
      </w:r>
      <w:proofErr w:type="spellStart"/>
      <w:r w:rsidRPr="00A14D85">
        <w:t>for</w:t>
      </w:r>
      <w:proofErr w:type="spellEnd"/>
      <w:r w:rsidRPr="00A14D85">
        <w:t xml:space="preserve"> Scenario </w:t>
      </w:r>
      <w:r>
        <w:t>1</w:t>
      </w:r>
    </w:p>
    <w:p w14:paraId="12B7E603" w14:textId="77777777" w:rsidR="00591C41" w:rsidRDefault="00591C41" w:rsidP="00496A65">
      <w:r w:rsidRPr="003D5898">
        <w:sym w:font="Wingdings" w:char="F0E0"/>
      </w:r>
      <w:r>
        <w:t xml:space="preserve"> B and D2</w:t>
      </w:r>
    </w:p>
    <w:p w14:paraId="33FFC786" w14:textId="77777777" w:rsidR="00591C41" w:rsidRPr="003D5898" w:rsidRDefault="00F26AF2" w:rsidP="00351A9A">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rPr>
              </m:ctrlPr>
            </m:sSubPr>
            <m:e>
              <m:r>
                <w:rPr>
                  <w:rFonts w:ascii="Cambria Math" w:hAnsi="Cambria Math"/>
                </w:rPr>
                <m:t>Elocal</m:t>
              </m:r>
            </m:e>
            <m:sub>
              <m:r>
                <w:rPr>
                  <w:rFonts w:ascii="Cambria Math" w:hAnsi="Cambria Math"/>
                </w:rPr>
                <m:t>wastewater</m:t>
              </m:r>
            </m:sub>
          </m:sSub>
          <m:r>
            <m:rPr>
              <m:sty m:val="p"/>
            </m:rPr>
            <w:rPr>
              <w:rFonts w:ascii="Cambria Math" w:hAnsi="Cambria Math"/>
            </w:rPr>
            <m:t>=</m:t>
          </m:r>
          <m:r>
            <w:rPr>
              <w:rFonts w:ascii="Cambria Math" w:hAnsi="Cambria Math"/>
            </w:rPr>
            <m:t>Nlocal</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appl</m:t>
              </m:r>
            </m:sub>
          </m:sSub>
          <m:r>
            <m:rPr>
              <m:sty m:val="p"/>
            </m:rPr>
            <w:rPr>
              <w:rFonts w:ascii="Cambria Math" w:hAnsi="Cambria Math"/>
            </w:rPr>
            <m:t>×</m:t>
          </m:r>
          <m:sSub>
            <m:sSubPr>
              <m:ctrlPr>
                <w:rPr>
                  <w:rFonts w:ascii="Cambria Math" w:hAnsi="Cambria Math"/>
                </w:rPr>
              </m:ctrlPr>
            </m:sSubPr>
            <m:e>
              <m:r>
                <w:rPr>
                  <w:rFonts w:ascii="Cambria Math" w:hAnsi="Cambria Math"/>
                </w:rPr>
                <m:t>Qform</m:t>
              </m:r>
            </m:e>
            <m:sub>
              <m:r>
                <w:rPr>
                  <w:rFonts w:ascii="Cambria Math" w:hAnsi="Cambria Math"/>
                </w:rPr>
                <m:t>appl</m:t>
              </m:r>
            </m:sub>
          </m:sSub>
          <m:r>
            <m:rPr>
              <m:sty m:val="p"/>
            </m:rPr>
            <w:rPr>
              <w:rFonts w:ascii="Cambria Math" w:hAnsi="Cambria Math"/>
            </w:rPr>
            <m:t>×</m:t>
          </m:r>
          <m:sSub>
            <m:sSubPr>
              <m:ctrlPr>
                <w:rPr>
                  <w:rFonts w:ascii="Cambria Math" w:hAnsi="Cambria Math"/>
                </w:rPr>
              </m:ctrlPr>
            </m:sSubPr>
            <m:e>
              <m:r>
                <w:rPr>
                  <w:rFonts w:ascii="Cambria Math" w:hAnsi="Cambria Math"/>
                </w:rPr>
                <m:t>AREA</m:t>
              </m:r>
            </m:e>
            <m:sub>
              <m:r>
                <w:rPr>
                  <w:rFonts w:ascii="Cambria Math" w:hAnsi="Cambria Math"/>
                </w:rPr>
                <m:t>skin</m:t>
              </m:r>
            </m:sub>
          </m:sSub>
          <m:r>
            <m:rPr>
              <m:sty m:val="p"/>
            </m:rPr>
            <w:rPr>
              <w:rFonts w:ascii="Cambria Math" w:hAnsi="Cambria Math"/>
            </w:rPr>
            <m:t>×</m:t>
          </m:r>
          <m:sSub>
            <m:sSubPr>
              <m:ctrlPr>
                <w:rPr>
                  <w:rFonts w:ascii="Cambria Math" w:hAnsi="Cambria Math"/>
                </w:rPr>
              </m:ctrlPr>
            </m:sSubPr>
            <m:e>
              <m:r>
                <w:rPr>
                  <w:rFonts w:ascii="Cambria Math" w:hAnsi="Cambria Math"/>
                </w:rPr>
                <m:t>Cform</m:t>
              </m:r>
            </m:e>
            <m:sub>
              <m:r>
                <w:rPr>
                  <w:rFonts w:ascii="Cambria Math" w:hAnsi="Cambria Math"/>
                </w:rPr>
                <m:t>weight</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inh</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water</m:t>
              </m:r>
            </m:sub>
          </m:sSub>
          <m:r>
            <m:rPr>
              <m:sty m:val="p"/>
            </m:rPr>
            <w:rPr>
              <w:rFonts w:ascii="Cambria Math" w:hAnsi="Cambria Math"/>
            </w:rPr>
            <m:t>×</m:t>
          </m:r>
          <m:r>
            <w:rPr>
              <w:rFonts w:ascii="Cambria Math" w:hAnsi="Cambria Math"/>
            </w:rPr>
            <m:t>Fpenetr</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oMath>
      </m:oMathPara>
    </w:p>
    <w:p w14:paraId="76962FA0" w14:textId="77777777" w:rsidR="00591C41" w:rsidRPr="00FD2055" w:rsidRDefault="00591C41" w:rsidP="00496A65"/>
    <w:tbl>
      <w:tblPr>
        <w:tblW w:w="0" w:type="auto"/>
        <w:tblInd w:w="45" w:type="dxa"/>
        <w:tblLayout w:type="fixed"/>
        <w:tblCellMar>
          <w:left w:w="0" w:type="dxa"/>
          <w:right w:w="0" w:type="dxa"/>
        </w:tblCellMar>
        <w:tblLook w:val="0000" w:firstRow="0" w:lastRow="0" w:firstColumn="0" w:lastColumn="0" w:noHBand="0" w:noVBand="0"/>
      </w:tblPr>
      <w:tblGrid>
        <w:gridCol w:w="2256"/>
        <w:gridCol w:w="3610"/>
        <w:gridCol w:w="3159"/>
      </w:tblGrid>
      <w:tr w:rsidR="00591C41" w:rsidRPr="00351A9A" w14:paraId="012B4DE3" w14:textId="77777777" w:rsidTr="00A34679">
        <w:trPr>
          <w:tblHeader/>
        </w:trPr>
        <w:tc>
          <w:tcPr>
            <w:tcW w:w="9025"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AAE060E" w14:textId="77777777" w:rsidR="00591C41" w:rsidRPr="00351A9A" w:rsidRDefault="00591C41" w:rsidP="00496A65">
            <w:pPr>
              <w:pStyle w:val="Standaard-Tabellen"/>
              <w:rPr>
                <w:b/>
              </w:rPr>
            </w:pPr>
            <w:r w:rsidRPr="00351A9A">
              <w:rPr>
                <w:b/>
              </w:rPr>
              <w:t>Resulting local emission to relevant environmental compartments</w:t>
            </w:r>
          </w:p>
        </w:tc>
      </w:tr>
      <w:tr w:rsidR="00591C41" w:rsidRPr="00351A9A" w14:paraId="48E94CDF" w14:textId="77777777" w:rsidTr="00A34679">
        <w:trPr>
          <w:tblHeader/>
        </w:trPr>
        <w:tc>
          <w:tcPr>
            <w:tcW w:w="22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7557A83F" w14:textId="77777777" w:rsidR="00591C41" w:rsidRPr="00351A9A" w:rsidRDefault="00591C41" w:rsidP="00496A65">
            <w:pPr>
              <w:pStyle w:val="Standaard-Tabellen"/>
              <w:rPr>
                <w:b/>
              </w:rPr>
            </w:pPr>
            <w:r w:rsidRPr="00351A9A">
              <w:rPr>
                <w:b/>
              </w:rPr>
              <w:t>Compartment</w:t>
            </w:r>
          </w:p>
        </w:tc>
        <w:tc>
          <w:tcPr>
            <w:tcW w:w="3610"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3EDE6E3A" w14:textId="77777777" w:rsidR="00591C41" w:rsidRPr="00351A9A" w:rsidRDefault="00591C41" w:rsidP="00496A65">
            <w:pPr>
              <w:pStyle w:val="Standaard-Tabellen"/>
              <w:rPr>
                <w:b/>
              </w:rPr>
            </w:pPr>
            <w:r w:rsidRPr="00351A9A">
              <w:rPr>
                <w:b/>
              </w:rPr>
              <w:t>Local emission (</w:t>
            </w:r>
            <w:proofErr w:type="spellStart"/>
            <w:r w:rsidRPr="00351A9A">
              <w:rPr>
                <w:b/>
              </w:rPr>
              <w:t>Elocal</w:t>
            </w:r>
            <w:r w:rsidRPr="00351A9A">
              <w:rPr>
                <w:b/>
                <w:vertAlign w:val="subscript"/>
              </w:rPr>
              <w:t>compartment</w:t>
            </w:r>
            <w:proofErr w:type="spellEnd"/>
            <w:r w:rsidRPr="00351A9A">
              <w:rPr>
                <w:b/>
              </w:rPr>
              <w:t>) [kg/d]</w:t>
            </w:r>
          </w:p>
        </w:tc>
        <w:tc>
          <w:tcPr>
            <w:tcW w:w="3159"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76377751" w14:textId="77777777" w:rsidR="00591C41" w:rsidRPr="00351A9A" w:rsidRDefault="00591C41" w:rsidP="00496A65">
            <w:pPr>
              <w:pStyle w:val="Standaard-Tabellen"/>
              <w:rPr>
                <w:b/>
              </w:rPr>
            </w:pPr>
            <w:r w:rsidRPr="00351A9A">
              <w:rPr>
                <w:b/>
              </w:rPr>
              <w:t>Remarks</w:t>
            </w:r>
          </w:p>
        </w:tc>
      </w:tr>
      <w:tr w:rsidR="00591C41" w:rsidRPr="00092E70" w14:paraId="2C3E9518" w14:textId="77777777" w:rsidTr="00A34679">
        <w:tc>
          <w:tcPr>
            <w:tcW w:w="2256"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36D6F6" w14:textId="77777777" w:rsidR="00591C41" w:rsidRPr="00092E70" w:rsidRDefault="00591C41" w:rsidP="00496A65">
            <w:pPr>
              <w:pStyle w:val="Standaard-Tabellen"/>
            </w:pPr>
            <w:r w:rsidRPr="00092E70">
              <w:t>Waste water</w:t>
            </w:r>
          </w:p>
        </w:tc>
        <w:tc>
          <w:tcPr>
            <w:tcW w:w="3610"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E16DF1" w14:textId="595B754A" w:rsidR="00591C41" w:rsidRPr="00092E70" w:rsidRDefault="000949F7" w:rsidP="00496A65">
            <w:pPr>
              <w:pStyle w:val="Standaard-Tabellen"/>
            </w:pPr>
            <w:r>
              <w:t>2.45</w:t>
            </w:r>
          </w:p>
        </w:tc>
        <w:tc>
          <w:tcPr>
            <w:tcW w:w="3159"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E437078" w14:textId="77777777" w:rsidR="00591C41" w:rsidRPr="00092E70" w:rsidRDefault="00591C41" w:rsidP="00496A65">
            <w:pPr>
              <w:pStyle w:val="Standaard-Tabellen"/>
            </w:pPr>
            <w:r w:rsidRPr="00092E70">
              <w:t>/</w:t>
            </w:r>
          </w:p>
        </w:tc>
      </w:tr>
    </w:tbl>
    <w:p w14:paraId="77EA89F7" w14:textId="77777777" w:rsidR="00591C41" w:rsidRDefault="00591C41" w:rsidP="00496A65"/>
    <w:p w14:paraId="7BBBB72C" w14:textId="77777777" w:rsidR="00591C41" w:rsidRDefault="00591C41" w:rsidP="00496A65">
      <w:r>
        <w:br w:type="page"/>
      </w:r>
    </w:p>
    <w:p w14:paraId="6B6F094B" w14:textId="77777777" w:rsidR="00591C41" w:rsidRPr="00496A65" w:rsidRDefault="00591C41" w:rsidP="00496A65">
      <w:pPr>
        <w:pStyle w:val="Titre6"/>
        <w:rPr>
          <w:lang w:val="en-US"/>
        </w:rPr>
      </w:pPr>
      <w:r w:rsidRPr="00496A65">
        <w:rPr>
          <w:lang w:val="en-US"/>
        </w:rPr>
        <w:lastRenderedPageBreak/>
        <w:t>Scenario 2: Release to surface water bodies via swimming</w:t>
      </w:r>
    </w:p>
    <w:p w14:paraId="1DC47B42" w14:textId="0F324930" w:rsidR="00591C41" w:rsidRDefault="00591C41" w:rsidP="00496A65">
      <w:r>
        <w:t>In the assessment report for IR3535</w:t>
      </w:r>
      <w:r w:rsidR="0004367B" w:rsidRPr="0004367B">
        <w:rPr>
          <w:vertAlign w:val="superscript"/>
          <w:lang w:eastAsia="fr-FR"/>
        </w:rPr>
        <w:t>®</w:t>
      </w:r>
      <w:r>
        <w:t xml:space="preserve">, in the paragraph on the elements to be taken into account when </w:t>
      </w:r>
      <w:proofErr w:type="spellStart"/>
      <w:r>
        <w:t>authorising</w:t>
      </w:r>
      <w:proofErr w:type="spellEnd"/>
      <w:r>
        <w:t xml:space="preserve"> products, it is mentioned that direct emissions to surface water by swimmers should be kept in mind and assessed. With this new scenario for the ESD for PT19, this requisite is taken into account.</w:t>
      </w:r>
    </w:p>
    <w:p w14:paraId="15B953F1" w14:textId="77777777" w:rsidR="00591C41" w:rsidRDefault="00591C41" w:rsidP="00496A65"/>
    <w:p w14:paraId="01D60A8A" w14:textId="77777777" w:rsidR="00591C41" w:rsidRPr="00496A65" w:rsidRDefault="00591C41" w:rsidP="00496A65">
      <w:pPr>
        <w:pStyle w:val="Titre7"/>
        <w:rPr>
          <w:lang w:val="en-US"/>
        </w:rPr>
      </w:pPr>
      <w:r w:rsidRPr="00496A65">
        <w:rPr>
          <w:lang w:val="en-US"/>
        </w:rPr>
        <w:t>Amount of product per application (</w:t>
      </w:r>
      <w:proofErr w:type="spellStart"/>
      <w:r w:rsidRPr="00496A65">
        <w:rPr>
          <w:lang w:val="en-US"/>
        </w:rPr>
        <w:t>Qform</w:t>
      </w:r>
      <w:r w:rsidRPr="00496A65">
        <w:rPr>
          <w:vertAlign w:val="subscript"/>
          <w:lang w:val="en-US"/>
        </w:rPr>
        <w:t>appl</w:t>
      </w:r>
      <w:proofErr w:type="spellEnd"/>
      <w:r w:rsidRPr="00496A65">
        <w:rPr>
          <w:lang w:val="en-US"/>
        </w:rPr>
        <w:t>)</w:t>
      </w:r>
    </w:p>
    <w:p w14:paraId="0B5EF646" w14:textId="77777777" w:rsidR="00591C41" w:rsidRDefault="00591C41" w:rsidP="00496A65">
      <w:r>
        <w:t>Similarly as with scenario 1, the most important input parameter for this scenario is the amount of product that will be used per application (</w:t>
      </w:r>
      <w:proofErr w:type="spellStart"/>
      <w:r>
        <w:t>Qform</w:t>
      </w:r>
      <w:r>
        <w:rPr>
          <w:vertAlign w:val="subscript"/>
        </w:rPr>
        <w:t>appl</w:t>
      </w:r>
      <w:proofErr w:type="spellEnd"/>
      <w:r>
        <w:t xml:space="preserve">). </w:t>
      </w:r>
    </w:p>
    <w:p w14:paraId="551AA05D" w14:textId="454689B6" w:rsidR="00591C41" w:rsidRDefault="00591C41" w:rsidP="00496A65">
      <w:r>
        <w:t xml:space="preserve">The same notes and thoughts can be applied as with scenario 1. Therefore, also here it is decided that the </w:t>
      </w:r>
      <w:r w:rsidR="000949F7">
        <w:t>efficacious dose</w:t>
      </w:r>
      <w:r>
        <w:t xml:space="preserve"> will be applied. </w:t>
      </w:r>
    </w:p>
    <w:p w14:paraId="798704D0" w14:textId="1BD6FD53" w:rsidR="00591C41" w:rsidRPr="00351A9A" w:rsidRDefault="00591C41" w:rsidP="00351A9A">
      <w:pPr>
        <w:jc w:val="center"/>
        <w:rPr>
          <w:b/>
          <w:lang w:val="en-GB"/>
        </w:rPr>
      </w:pPr>
      <w:proofErr w:type="spellStart"/>
      <w:r w:rsidRPr="00351A9A">
        <w:rPr>
          <w:b/>
          <w:lang w:val="en-GB"/>
        </w:rPr>
        <w:t>Qformappl</w:t>
      </w:r>
      <w:proofErr w:type="spellEnd"/>
      <w:r w:rsidRPr="00351A9A">
        <w:rPr>
          <w:b/>
          <w:lang w:val="en-GB"/>
        </w:rPr>
        <w:t xml:space="preserve"> = 0.6</w:t>
      </w:r>
      <w:r w:rsidR="000949F7" w:rsidRPr="00351A9A">
        <w:rPr>
          <w:b/>
          <w:lang w:val="en-GB"/>
        </w:rPr>
        <w:t>7</w:t>
      </w:r>
      <w:r w:rsidRPr="00351A9A">
        <w:rPr>
          <w:b/>
          <w:lang w:val="en-GB"/>
        </w:rPr>
        <w:t> mg product/cm² skin</w:t>
      </w:r>
    </w:p>
    <w:p w14:paraId="4BD085D7" w14:textId="77777777" w:rsidR="00591C41" w:rsidRPr="00496A65" w:rsidRDefault="00591C41" w:rsidP="00496A65">
      <w:pPr>
        <w:pStyle w:val="Titre7"/>
        <w:rPr>
          <w:lang w:val="en-US"/>
        </w:rPr>
      </w:pPr>
      <w:r w:rsidRPr="00496A65">
        <w:rPr>
          <w:lang w:val="en-US"/>
        </w:rPr>
        <w:t>Treated area of human skin (</w:t>
      </w:r>
      <w:proofErr w:type="spellStart"/>
      <w:r w:rsidRPr="00496A65">
        <w:rPr>
          <w:lang w:val="en-US"/>
        </w:rPr>
        <w:t>AREA</w:t>
      </w:r>
      <w:r w:rsidRPr="00496A65">
        <w:rPr>
          <w:vertAlign w:val="subscript"/>
          <w:lang w:val="en-US"/>
        </w:rPr>
        <w:t>skin</w:t>
      </w:r>
      <w:proofErr w:type="spellEnd"/>
      <w:r w:rsidRPr="00496A65">
        <w:rPr>
          <w:lang w:val="en-US"/>
        </w:rPr>
        <w:t>)</w:t>
      </w:r>
    </w:p>
    <w:p w14:paraId="19AB60B3" w14:textId="77777777" w:rsidR="00591C41" w:rsidRDefault="00591C41" w:rsidP="00496A65">
      <w:r>
        <w:t>Concerning the body surface to which the product is applied (</w:t>
      </w:r>
      <w:proofErr w:type="spellStart"/>
      <w:r>
        <w:t>AREA</w:t>
      </w:r>
      <w:r>
        <w:rPr>
          <w:vertAlign w:val="subscript"/>
        </w:rPr>
        <w:t>skin</w:t>
      </w:r>
      <w:proofErr w:type="spellEnd"/>
      <w:r>
        <w:t>), according to the applicant the product should only be applied to the face, arms, hands and legs. However, when repellent products are used when swimming, one could assume the swimmer would apply it also to their feet and trunk. Therefore, for a worst case calculation, it is assumed the product is applied to the full body surface.</w:t>
      </w:r>
    </w:p>
    <w:p w14:paraId="5EA97377" w14:textId="77777777" w:rsidR="00591C41" w:rsidRPr="00351A9A" w:rsidRDefault="00591C41" w:rsidP="00351A9A">
      <w:pPr>
        <w:jc w:val="center"/>
        <w:rPr>
          <w:b/>
          <w:lang w:val="en-GB"/>
        </w:rPr>
      </w:pPr>
      <w:proofErr w:type="spellStart"/>
      <w:r w:rsidRPr="00351A9A">
        <w:rPr>
          <w:b/>
          <w:lang w:val="en-GB"/>
        </w:rPr>
        <w:t>AREAskin</w:t>
      </w:r>
      <w:proofErr w:type="spellEnd"/>
      <w:r w:rsidRPr="00351A9A">
        <w:rPr>
          <w:b/>
          <w:lang w:val="en-GB"/>
        </w:rPr>
        <w:t xml:space="preserve"> = 16600 cm²</w:t>
      </w:r>
    </w:p>
    <w:p w14:paraId="25BF7E2A" w14:textId="77777777" w:rsidR="00591C41" w:rsidRPr="00806DC5" w:rsidRDefault="00591C41" w:rsidP="00496A65"/>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675"/>
        <w:gridCol w:w="806"/>
        <w:gridCol w:w="974"/>
        <w:gridCol w:w="1318"/>
      </w:tblGrid>
      <w:tr w:rsidR="00591C41" w:rsidRPr="00351A9A" w14:paraId="4A763733" w14:textId="77777777" w:rsidTr="0046760C">
        <w:trPr>
          <w:trHeight w:val="346"/>
        </w:trPr>
        <w:tc>
          <w:tcPr>
            <w:tcW w:w="5000" w:type="pct"/>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3E57D43E" w14:textId="77777777" w:rsidR="00591C41" w:rsidRPr="00351A9A" w:rsidRDefault="00591C41" w:rsidP="00351A9A">
            <w:pPr>
              <w:pStyle w:val="Standaard-Tabellen"/>
              <w:rPr>
                <w:b/>
              </w:rPr>
            </w:pPr>
            <w:r w:rsidRPr="00351A9A">
              <w:rPr>
                <w:b/>
              </w:rPr>
              <w:t>Input parameters for calculating the local emission</w:t>
            </w:r>
          </w:p>
        </w:tc>
      </w:tr>
      <w:tr w:rsidR="00591C41" w:rsidRPr="00351A9A" w14:paraId="388627E9" w14:textId="77777777" w:rsidTr="0046760C">
        <w:trPr>
          <w:trHeight w:val="75"/>
        </w:trPr>
        <w:tc>
          <w:tcPr>
            <w:tcW w:w="2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306FDA" w14:textId="77777777" w:rsidR="00591C41" w:rsidRPr="00351A9A" w:rsidRDefault="00591C41" w:rsidP="00496A65">
            <w:pPr>
              <w:pStyle w:val="Standaard-Tabellen"/>
              <w:rPr>
                <w:b/>
              </w:rPr>
            </w:pPr>
            <w:r w:rsidRPr="00351A9A">
              <w:rPr>
                <w:b/>
              </w:rPr>
              <w:t xml:space="preserve">Input </w:t>
            </w:r>
          </w:p>
        </w:tc>
        <w:tc>
          <w:tcPr>
            <w:tcW w:w="9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3FCD3F" w14:textId="77777777" w:rsidR="00591C41" w:rsidRPr="00351A9A" w:rsidRDefault="00591C41" w:rsidP="00496A65">
            <w:pPr>
              <w:pStyle w:val="Standaard-Tabellen"/>
              <w:rPr>
                <w:b/>
              </w:rPr>
            </w:pPr>
            <w:r w:rsidRPr="00351A9A">
              <w:rPr>
                <w:b/>
              </w:rPr>
              <w:t>Nomenclature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1B590" w14:textId="77777777" w:rsidR="00591C41" w:rsidRPr="00351A9A" w:rsidRDefault="00591C41" w:rsidP="00496A65">
            <w:pPr>
              <w:pStyle w:val="Standaard-Tabellen"/>
              <w:rPr>
                <w:b/>
              </w:rPr>
            </w:pPr>
            <w:r w:rsidRPr="00351A9A">
              <w:rPr>
                <w:b/>
              </w:rPr>
              <w:t xml:space="preserve">Value </w:t>
            </w:r>
          </w:p>
        </w:tc>
        <w:tc>
          <w:tcPr>
            <w:tcW w:w="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F40B0" w14:textId="77777777" w:rsidR="00591C41" w:rsidRPr="00351A9A" w:rsidRDefault="00591C41" w:rsidP="00496A65">
            <w:pPr>
              <w:pStyle w:val="Standaard-Tabellen"/>
              <w:rPr>
                <w:b/>
              </w:rPr>
            </w:pPr>
            <w:r w:rsidRPr="00351A9A">
              <w:rPr>
                <w:b/>
              </w:rPr>
              <w:t>Unit</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B15E94" w14:textId="77777777" w:rsidR="00591C41" w:rsidRPr="00351A9A" w:rsidRDefault="00591C41" w:rsidP="00496A65">
            <w:pPr>
              <w:pStyle w:val="Standaard-Tabellen"/>
              <w:rPr>
                <w:b/>
              </w:rPr>
            </w:pPr>
            <w:r w:rsidRPr="00351A9A">
              <w:rPr>
                <w:b/>
              </w:rPr>
              <w:t>Remarks</w:t>
            </w:r>
          </w:p>
        </w:tc>
      </w:tr>
      <w:tr w:rsidR="00591C41" w:rsidRPr="00351A9A" w14:paraId="17975AE3" w14:textId="77777777" w:rsidTr="0046760C">
        <w:trPr>
          <w:trHeight w:val="75"/>
        </w:trPr>
        <w:tc>
          <w:tcPr>
            <w:tcW w:w="5000"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5EED0" w14:textId="77777777" w:rsidR="00591C41" w:rsidRPr="00351A9A" w:rsidRDefault="00591C41" w:rsidP="00496A65">
            <w:pPr>
              <w:pStyle w:val="Standaard-Tabellen"/>
              <w:rPr>
                <w:i/>
                <w:color w:val="000000"/>
              </w:rPr>
            </w:pPr>
            <w:r w:rsidRPr="00351A9A">
              <w:rPr>
                <w:i/>
                <w:color w:val="000000"/>
              </w:rPr>
              <w:t>Scenario</w:t>
            </w:r>
            <w:r w:rsidRPr="00351A9A">
              <w:rPr>
                <w:i/>
              </w:rPr>
              <w:t>: Release of repellents used on human skin due to swimming activities in surface water bodies</w:t>
            </w:r>
          </w:p>
        </w:tc>
      </w:tr>
      <w:tr w:rsidR="00591C41" w14:paraId="15370246" w14:textId="77777777" w:rsidTr="0046760C">
        <w:trPr>
          <w:trHeight w:val="75"/>
        </w:trPr>
        <w:tc>
          <w:tcPr>
            <w:tcW w:w="2407" w:type="pct"/>
            <w:tcBorders>
              <w:top w:val="single" w:sz="4" w:space="0" w:color="auto"/>
              <w:left w:val="single" w:sz="4" w:space="0" w:color="auto"/>
              <w:bottom w:val="single" w:sz="4" w:space="0" w:color="auto"/>
              <w:right w:val="single" w:sz="4" w:space="0" w:color="auto"/>
            </w:tcBorders>
            <w:vAlign w:val="center"/>
            <w:hideMark/>
          </w:tcPr>
          <w:p w14:paraId="24866838" w14:textId="77777777" w:rsidR="00591C41" w:rsidRDefault="00591C41" w:rsidP="00496A65">
            <w:pPr>
              <w:pStyle w:val="Standaard-Tabellen"/>
            </w:pPr>
            <w:r>
              <w:t>Daily number of swimmers</w:t>
            </w:r>
          </w:p>
        </w:tc>
        <w:tc>
          <w:tcPr>
            <w:tcW w:w="910" w:type="pct"/>
            <w:tcBorders>
              <w:top w:val="single" w:sz="4" w:space="0" w:color="auto"/>
              <w:left w:val="single" w:sz="4" w:space="0" w:color="auto"/>
              <w:bottom w:val="single" w:sz="4" w:space="0" w:color="auto"/>
              <w:right w:val="single" w:sz="4" w:space="0" w:color="auto"/>
            </w:tcBorders>
            <w:vAlign w:val="center"/>
            <w:hideMark/>
          </w:tcPr>
          <w:p w14:paraId="5358F732" w14:textId="77777777" w:rsidR="00591C41" w:rsidRDefault="00591C41" w:rsidP="00496A65">
            <w:pPr>
              <w:pStyle w:val="Standaard-Tabellen"/>
            </w:pPr>
            <w:proofErr w:type="spellStart"/>
            <w:r>
              <w:t>N</w:t>
            </w:r>
            <w:r>
              <w:rPr>
                <w:vertAlign w:val="subscript"/>
              </w:rPr>
              <w:t>swimmer</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14:paraId="1710249D" w14:textId="77777777" w:rsidR="00591C41" w:rsidRDefault="00591C41" w:rsidP="00496A65">
            <w:pPr>
              <w:pStyle w:val="Standaard-Tabellen"/>
            </w:pPr>
            <w:r>
              <w:t>1500</w:t>
            </w:r>
          </w:p>
        </w:tc>
        <w:tc>
          <w:tcPr>
            <w:tcW w:w="529" w:type="pct"/>
            <w:tcBorders>
              <w:top w:val="single" w:sz="4" w:space="0" w:color="auto"/>
              <w:left w:val="single" w:sz="4" w:space="0" w:color="auto"/>
              <w:bottom w:val="single" w:sz="4" w:space="0" w:color="auto"/>
              <w:right w:val="single" w:sz="4" w:space="0" w:color="auto"/>
            </w:tcBorders>
            <w:vAlign w:val="center"/>
            <w:hideMark/>
          </w:tcPr>
          <w:p w14:paraId="615960A4" w14:textId="77777777" w:rsidR="00591C41" w:rsidRDefault="00591C41" w:rsidP="00496A65">
            <w:pPr>
              <w:pStyle w:val="Standaard-Tabellen"/>
            </w:pPr>
            <w:r>
              <w:t>[-]</w:t>
            </w:r>
          </w:p>
        </w:tc>
        <w:tc>
          <w:tcPr>
            <w:tcW w:w="715" w:type="pct"/>
            <w:tcBorders>
              <w:top w:val="single" w:sz="4" w:space="0" w:color="auto"/>
              <w:left w:val="single" w:sz="4" w:space="0" w:color="auto"/>
              <w:bottom w:val="single" w:sz="4" w:space="0" w:color="auto"/>
              <w:right w:val="single" w:sz="4" w:space="0" w:color="auto"/>
            </w:tcBorders>
            <w:vAlign w:val="center"/>
            <w:hideMark/>
          </w:tcPr>
          <w:p w14:paraId="3CDD69F7" w14:textId="77777777" w:rsidR="00591C41" w:rsidRDefault="00591C41" w:rsidP="00496A65">
            <w:pPr>
              <w:pStyle w:val="Standaard-Tabellen"/>
            </w:pPr>
            <w:r>
              <w:t>D</w:t>
            </w:r>
          </w:p>
        </w:tc>
      </w:tr>
      <w:tr w:rsidR="00591C41" w14:paraId="351C3817"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vAlign w:val="center"/>
            <w:hideMark/>
          </w:tcPr>
          <w:p w14:paraId="7A5EED3A" w14:textId="691307B1" w:rsidR="00591C41" w:rsidRDefault="0046760C" w:rsidP="00496A65">
            <w:pPr>
              <w:pStyle w:val="Standaard-Tabellen"/>
            </w:pPr>
            <w:r>
              <w:t xml:space="preserve">Fraction of swimmers using </w:t>
            </w:r>
            <w:r w:rsidR="00591C41">
              <w:t>repellent product</w:t>
            </w:r>
          </w:p>
        </w:tc>
        <w:tc>
          <w:tcPr>
            <w:tcW w:w="910" w:type="pct"/>
            <w:tcBorders>
              <w:top w:val="single" w:sz="4" w:space="0" w:color="auto"/>
              <w:left w:val="single" w:sz="4" w:space="0" w:color="auto"/>
              <w:bottom w:val="single" w:sz="4" w:space="0" w:color="auto"/>
              <w:right w:val="single" w:sz="4" w:space="0" w:color="auto"/>
            </w:tcBorders>
            <w:vAlign w:val="center"/>
            <w:hideMark/>
          </w:tcPr>
          <w:p w14:paraId="26BFB3F2" w14:textId="77777777" w:rsidR="00591C41" w:rsidRDefault="00591C41" w:rsidP="00496A65">
            <w:pPr>
              <w:pStyle w:val="Standaard-Tabellen"/>
            </w:pPr>
            <w:proofErr w:type="spellStart"/>
            <w:r>
              <w:t>F</w:t>
            </w:r>
            <w:r>
              <w:rPr>
                <w:vertAlign w:val="subscript"/>
              </w:rPr>
              <w:t>swim</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14:paraId="236717B8" w14:textId="77777777" w:rsidR="00591C41" w:rsidRDefault="00591C41" w:rsidP="00496A65">
            <w:pPr>
              <w:pStyle w:val="Standaard-Tabellen"/>
            </w:pPr>
            <w:r>
              <w:t>0.1</w:t>
            </w:r>
          </w:p>
        </w:tc>
        <w:tc>
          <w:tcPr>
            <w:tcW w:w="529" w:type="pct"/>
            <w:tcBorders>
              <w:top w:val="single" w:sz="4" w:space="0" w:color="auto"/>
              <w:left w:val="single" w:sz="4" w:space="0" w:color="auto"/>
              <w:bottom w:val="single" w:sz="4" w:space="0" w:color="auto"/>
              <w:right w:val="single" w:sz="4" w:space="0" w:color="auto"/>
            </w:tcBorders>
            <w:vAlign w:val="center"/>
            <w:hideMark/>
          </w:tcPr>
          <w:p w14:paraId="4505A84A" w14:textId="77777777" w:rsidR="00591C41" w:rsidRDefault="00591C41" w:rsidP="00496A65">
            <w:pPr>
              <w:pStyle w:val="Standaard-Tabellen"/>
            </w:pPr>
            <w:r>
              <w:t>[-]</w:t>
            </w:r>
          </w:p>
        </w:tc>
        <w:tc>
          <w:tcPr>
            <w:tcW w:w="715" w:type="pct"/>
            <w:tcBorders>
              <w:top w:val="single" w:sz="4" w:space="0" w:color="auto"/>
              <w:left w:val="single" w:sz="4" w:space="0" w:color="auto"/>
              <w:bottom w:val="single" w:sz="4" w:space="0" w:color="auto"/>
              <w:right w:val="single" w:sz="4" w:space="0" w:color="auto"/>
            </w:tcBorders>
            <w:hideMark/>
          </w:tcPr>
          <w:p w14:paraId="0515EC70" w14:textId="1A1B10C2" w:rsidR="00591C41" w:rsidRDefault="00591C41" w:rsidP="00496A65">
            <w:pPr>
              <w:pStyle w:val="Standaard-Tabellen"/>
            </w:pPr>
            <w:r>
              <w:t>P</w:t>
            </w:r>
            <w:r w:rsidR="0046760C">
              <w:t xml:space="preserve"> (</w:t>
            </w:r>
            <w:proofErr w:type="spellStart"/>
            <w:r w:rsidR="0046760C">
              <w:t>worstcase</w:t>
            </w:r>
            <w:proofErr w:type="spellEnd"/>
            <w:r w:rsidR="0046760C">
              <w:t>)</w:t>
            </w:r>
          </w:p>
        </w:tc>
      </w:tr>
      <w:tr w:rsidR="00591C41" w14:paraId="73F3E431"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vAlign w:val="center"/>
            <w:hideMark/>
          </w:tcPr>
          <w:p w14:paraId="16A09510" w14:textId="77777777" w:rsidR="00591C41" w:rsidRDefault="00591C41" w:rsidP="00496A65">
            <w:pPr>
              <w:pStyle w:val="Standaard-Tabellen"/>
            </w:pPr>
            <w:r>
              <w:t>Number of applications per day</w:t>
            </w:r>
          </w:p>
        </w:tc>
        <w:tc>
          <w:tcPr>
            <w:tcW w:w="910" w:type="pct"/>
            <w:tcBorders>
              <w:top w:val="single" w:sz="4" w:space="0" w:color="auto"/>
              <w:left w:val="single" w:sz="4" w:space="0" w:color="auto"/>
              <w:bottom w:val="single" w:sz="4" w:space="0" w:color="auto"/>
              <w:right w:val="single" w:sz="4" w:space="0" w:color="auto"/>
            </w:tcBorders>
            <w:vAlign w:val="center"/>
            <w:hideMark/>
          </w:tcPr>
          <w:p w14:paraId="29833DF6" w14:textId="77777777" w:rsidR="00591C41" w:rsidRDefault="00591C41" w:rsidP="00496A65">
            <w:pPr>
              <w:pStyle w:val="Standaard-Tabellen"/>
            </w:pPr>
            <w:proofErr w:type="spellStart"/>
            <w:r>
              <w:t>N</w:t>
            </w:r>
            <w:r>
              <w:rPr>
                <w:vertAlign w:val="subscript"/>
              </w:rPr>
              <w:t>appl</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14:paraId="2AECD438" w14:textId="77777777" w:rsidR="00591C41" w:rsidRDefault="00591C41" w:rsidP="00496A65">
            <w:pPr>
              <w:pStyle w:val="Standaard-Tabellen"/>
            </w:pPr>
            <w:r>
              <w:t>1</w:t>
            </w:r>
          </w:p>
        </w:tc>
        <w:tc>
          <w:tcPr>
            <w:tcW w:w="529" w:type="pct"/>
            <w:tcBorders>
              <w:top w:val="single" w:sz="4" w:space="0" w:color="auto"/>
              <w:left w:val="single" w:sz="4" w:space="0" w:color="auto"/>
              <w:bottom w:val="single" w:sz="4" w:space="0" w:color="auto"/>
              <w:right w:val="single" w:sz="4" w:space="0" w:color="auto"/>
            </w:tcBorders>
            <w:vAlign w:val="center"/>
            <w:hideMark/>
          </w:tcPr>
          <w:p w14:paraId="5A96379E" w14:textId="77777777" w:rsidR="00591C41" w:rsidRDefault="00591C41" w:rsidP="00496A65">
            <w:pPr>
              <w:pStyle w:val="Standaard-Tabellen"/>
            </w:pPr>
            <w:r>
              <w:t>d</w:t>
            </w:r>
            <w:r>
              <w:rPr>
                <w:vertAlign w:val="superscript"/>
              </w:rPr>
              <w:t>-1</w:t>
            </w:r>
          </w:p>
        </w:tc>
        <w:tc>
          <w:tcPr>
            <w:tcW w:w="715" w:type="pct"/>
            <w:tcBorders>
              <w:top w:val="single" w:sz="4" w:space="0" w:color="auto"/>
              <w:left w:val="single" w:sz="4" w:space="0" w:color="auto"/>
              <w:bottom w:val="single" w:sz="4" w:space="0" w:color="auto"/>
              <w:right w:val="single" w:sz="4" w:space="0" w:color="auto"/>
            </w:tcBorders>
            <w:hideMark/>
          </w:tcPr>
          <w:p w14:paraId="4FE088FB" w14:textId="77777777" w:rsidR="00591C41" w:rsidRDefault="00591C41" w:rsidP="00496A65">
            <w:pPr>
              <w:pStyle w:val="Standaard-Tabellen"/>
            </w:pPr>
            <w:r>
              <w:t>D</w:t>
            </w:r>
          </w:p>
        </w:tc>
      </w:tr>
      <w:tr w:rsidR="00591C41" w14:paraId="007BA211"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vAlign w:val="center"/>
            <w:hideMark/>
          </w:tcPr>
          <w:p w14:paraId="6E8611ED" w14:textId="77777777" w:rsidR="00591C41" w:rsidRDefault="00591C41" w:rsidP="00496A65">
            <w:pPr>
              <w:pStyle w:val="Standaard-Tabellen"/>
            </w:pPr>
            <w:r>
              <w:t>Fraction released to surface water body</w:t>
            </w:r>
          </w:p>
        </w:tc>
        <w:tc>
          <w:tcPr>
            <w:tcW w:w="910" w:type="pct"/>
            <w:tcBorders>
              <w:top w:val="single" w:sz="4" w:space="0" w:color="auto"/>
              <w:left w:val="single" w:sz="4" w:space="0" w:color="auto"/>
              <w:bottom w:val="single" w:sz="4" w:space="0" w:color="auto"/>
              <w:right w:val="single" w:sz="4" w:space="0" w:color="auto"/>
            </w:tcBorders>
            <w:vAlign w:val="center"/>
            <w:hideMark/>
          </w:tcPr>
          <w:p w14:paraId="286AA11E" w14:textId="77777777" w:rsidR="00591C41" w:rsidRDefault="00591C41" w:rsidP="00496A65">
            <w:pPr>
              <w:pStyle w:val="Standaard-Tabellen"/>
            </w:pPr>
            <w:proofErr w:type="spellStart"/>
            <w:r>
              <w:t>F</w:t>
            </w:r>
            <w:r>
              <w:rPr>
                <w:vertAlign w:val="subscript"/>
              </w:rPr>
              <w:t>waterbody</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14:paraId="1DB3C4A8" w14:textId="77777777" w:rsidR="00591C41" w:rsidRDefault="00591C41" w:rsidP="00496A65">
            <w:pPr>
              <w:pStyle w:val="Standaard-Tabellen"/>
            </w:pPr>
            <w:r>
              <w:t>1</w:t>
            </w:r>
          </w:p>
        </w:tc>
        <w:tc>
          <w:tcPr>
            <w:tcW w:w="529" w:type="pct"/>
            <w:tcBorders>
              <w:top w:val="single" w:sz="4" w:space="0" w:color="auto"/>
              <w:left w:val="single" w:sz="4" w:space="0" w:color="auto"/>
              <w:bottom w:val="single" w:sz="4" w:space="0" w:color="auto"/>
              <w:right w:val="single" w:sz="4" w:space="0" w:color="auto"/>
            </w:tcBorders>
            <w:vAlign w:val="center"/>
            <w:hideMark/>
          </w:tcPr>
          <w:p w14:paraId="148C22D2" w14:textId="77777777" w:rsidR="00591C41" w:rsidRDefault="00591C41" w:rsidP="00496A65">
            <w:pPr>
              <w:pStyle w:val="Standaard-Tabellen"/>
            </w:pPr>
            <w:r>
              <w:t>[-]</w:t>
            </w:r>
          </w:p>
        </w:tc>
        <w:tc>
          <w:tcPr>
            <w:tcW w:w="715" w:type="pct"/>
            <w:tcBorders>
              <w:top w:val="single" w:sz="4" w:space="0" w:color="auto"/>
              <w:left w:val="single" w:sz="4" w:space="0" w:color="auto"/>
              <w:bottom w:val="single" w:sz="4" w:space="0" w:color="auto"/>
              <w:right w:val="single" w:sz="4" w:space="0" w:color="auto"/>
            </w:tcBorders>
            <w:hideMark/>
          </w:tcPr>
          <w:p w14:paraId="5F209832" w14:textId="77777777" w:rsidR="00591C41" w:rsidRDefault="00591C41" w:rsidP="00496A65">
            <w:pPr>
              <w:pStyle w:val="Standaard-Tabellen"/>
            </w:pPr>
            <w:r>
              <w:t>D</w:t>
            </w:r>
          </w:p>
        </w:tc>
      </w:tr>
      <w:tr w:rsidR="00591C41" w14:paraId="095819A4"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vAlign w:val="center"/>
            <w:hideMark/>
          </w:tcPr>
          <w:p w14:paraId="220508DF" w14:textId="77777777" w:rsidR="00591C41" w:rsidRDefault="00591C41" w:rsidP="00496A65">
            <w:pPr>
              <w:pStyle w:val="Standaard-Tabellen"/>
            </w:pPr>
            <w:r>
              <w:t>Active substance in the product</w:t>
            </w:r>
          </w:p>
        </w:tc>
        <w:tc>
          <w:tcPr>
            <w:tcW w:w="910" w:type="pct"/>
            <w:tcBorders>
              <w:top w:val="single" w:sz="4" w:space="0" w:color="auto"/>
              <w:left w:val="single" w:sz="4" w:space="0" w:color="auto"/>
              <w:bottom w:val="single" w:sz="4" w:space="0" w:color="auto"/>
              <w:right w:val="single" w:sz="4" w:space="0" w:color="auto"/>
            </w:tcBorders>
            <w:vAlign w:val="center"/>
            <w:hideMark/>
          </w:tcPr>
          <w:p w14:paraId="36320A50" w14:textId="77777777" w:rsidR="00591C41" w:rsidRDefault="00591C41" w:rsidP="00496A65">
            <w:pPr>
              <w:pStyle w:val="Standaard-Tabellen"/>
            </w:pPr>
            <w:r>
              <w:t xml:space="preserve">(B) </w:t>
            </w:r>
            <w:proofErr w:type="spellStart"/>
            <w:r>
              <w:t>C</w:t>
            </w:r>
            <w:r>
              <w:rPr>
                <w:vertAlign w:val="subscript"/>
              </w:rPr>
              <w:t>formweight</w:t>
            </w:r>
            <w:proofErr w:type="spellEnd"/>
          </w:p>
        </w:tc>
        <w:tc>
          <w:tcPr>
            <w:tcW w:w="438" w:type="pct"/>
            <w:tcBorders>
              <w:top w:val="single" w:sz="4" w:space="0" w:color="auto"/>
              <w:left w:val="single" w:sz="4" w:space="0" w:color="auto"/>
              <w:bottom w:val="single" w:sz="4" w:space="0" w:color="auto"/>
              <w:right w:val="single" w:sz="4" w:space="0" w:color="auto"/>
            </w:tcBorders>
            <w:vAlign w:val="center"/>
            <w:hideMark/>
          </w:tcPr>
          <w:p w14:paraId="38C25FFD" w14:textId="77777777" w:rsidR="00591C41" w:rsidRDefault="00591C41" w:rsidP="00496A65">
            <w:pPr>
              <w:pStyle w:val="Standaard-Tabellen"/>
            </w:pPr>
            <w:r>
              <w:t>200</w:t>
            </w:r>
          </w:p>
        </w:tc>
        <w:tc>
          <w:tcPr>
            <w:tcW w:w="529" w:type="pct"/>
            <w:tcBorders>
              <w:top w:val="single" w:sz="4" w:space="0" w:color="auto"/>
              <w:left w:val="single" w:sz="4" w:space="0" w:color="auto"/>
              <w:bottom w:val="single" w:sz="4" w:space="0" w:color="auto"/>
              <w:right w:val="single" w:sz="4" w:space="0" w:color="auto"/>
            </w:tcBorders>
            <w:vAlign w:val="center"/>
            <w:hideMark/>
          </w:tcPr>
          <w:p w14:paraId="13E942A2" w14:textId="77777777" w:rsidR="00591C41" w:rsidRDefault="00591C41" w:rsidP="00496A65">
            <w:pPr>
              <w:pStyle w:val="Standaard-Tabellen"/>
            </w:pPr>
            <w:r>
              <w:t>g/kg</w:t>
            </w:r>
          </w:p>
        </w:tc>
        <w:tc>
          <w:tcPr>
            <w:tcW w:w="715" w:type="pct"/>
            <w:tcBorders>
              <w:top w:val="single" w:sz="4" w:space="0" w:color="auto"/>
              <w:left w:val="single" w:sz="4" w:space="0" w:color="auto"/>
              <w:bottom w:val="single" w:sz="4" w:space="0" w:color="auto"/>
              <w:right w:val="single" w:sz="4" w:space="0" w:color="auto"/>
            </w:tcBorders>
            <w:hideMark/>
          </w:tcPr>
          <w:p w14:paraId="76ADEC88" w14:textId="77777777" w:rsidR="00591C41" w:rsidRDefault="00591C41" w:rsidP="00496A65">
            <w:pPr>
              <w:pStyle w:val="Standaard-Tabellen"/>
            </w:pPr>
            <w:r>
              <w:t>(20%)</w:t>
            </w:r>
          </w:p>
        </w:tc>
      </w:tr>
      <w:tr w:rsidR="00591C41" w:rsidRPr="00092E70" w14:paraId="75096A2E"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hideMark/>
          </w:tcPr>
          <w:p w14:paraId="13DC625A" w14:textId="77777777" w:rsidR="00591C41" w:rsidRDefault="00591C41" w:rsidP="00496A65">
            <w:pPr>
              <w:pStyle w:val="Standaard-Tabellen"/>
            </w:pPr>
            <w:r>
              <w:t>Consumption per application</w:t>
            </w:r>
          </w:p>
        </w:tc>
        <w:tc>
          <w:tcPr>
            <w:tcW w:w="910" w:type="pct"/>
            <w:tcBorders>
              <w:top w:val="single" w:sz="4" w:space="0" w:color="auto"/>
              <w:left w:val="single" w:sz="4" w:space="0" w:color="auto"/>
              <w:bottom w:val="single" w:sz="4" w:space="0" w:color="auto"/>
              <w:right w:val="single" w:sz="4" w:space="0" w:color="auto"/>
            </w:tcBorders>
            <w:hideMark/>
          </w:tcPr>
          <w:p w14:paraId="08B5CBE6" w14:textId="77777777" w:rsidR="00591C41" w:rsidRDefault="00591C41" w:rsidP="00496A65">
            <w:pPr>
              <w:pStyle w:val="Standaard-Tabellen"/>
            </w:pPr>
            <w:r>
              <w:t xml:space="preserve">(D2) </w:t>
            </w:r>
            <w:proofErr w:type="spellStart"/>
            <w:r>
              <w:t>Qform</w:t>
            </w:r>
            <w:r>
              <w:rPr>
                <w:vertAlign w:val="subscript"/>
              </w:rPr>
              <w:t>appl</w:t>
            </w:r>
            <w:proofErr w:type="spellEnd"/>
          </w:p>
        </w:tc>
        <w:tc>
          <w:tcPr>
            <w:tcW w:w="438" w:type="pct"/>
            <w:tcBorders>
              <w:top w:val="single" w:sz="4" w:space="0" w:color="auto"/>
              <w:left w:val="single" w:sz="4" w:space="0" w:color="auto"/>
              <w:bottom w:val="single" w:sz="4" w:space="0" w:color="auto"/>
              <w:right w:val="single" w:sz="4" w:space="0" w:color="auto"/>
            </w:tcBorders>
            <w:hideMark/>
          </w:tcPr>
          <w:p w14:paraId="415BE8AF" w14:textId="4DD698DF" w:rsidR="00591C41" w:rsidRPr="00366A63" w:rsidRDefault="00591C41" w:rsidP="00496A65">
            <w:pPr>
              <w:pStyle w:val="Standaard-Tabellen"/>
            </w:pPr>
            <w:r w:rsidRPr="00366A63">
              <w:t>0</w:t>
            </w:r>
            <w:r w:rsidR="00E00756" w:rsidRPr="00366A63">
              <w:t>.</w:t>
            </w:r>
            <w:r w:rsidRPr="00366A63">
              <w:t>6</w:t>
            </w:r>
            <w:r w:rsidR="000949F7">
              <w:t>7</w:t>
            </w:r>
          </w:p>
        </w:tc>
        <w:tc>
          <w:tcPr>
            <w:tcW w:w="529" w:type="pct"/>
            <w:tcBorders>
              <w:top w:val="single" w:sz="4" w:space="0" w:color="auto"/>
              <w:left w:val="single" w:sz="4" w:space="0" w:color="auto"/>
              <w:bottom w:val="single" w:sz="4" w:space="0" w:color="auto"/>
              <w:right w:val="single" w:sz="4" w:space="0" w:color="auto"/>
            </w:tcBorders>
            <w:hideMark/>
          </w:tcPr>
          <w:p w14:paraId="7DFA48E7" w14:textId="77777777" w:rsidR="00591C41" w:rsidRDefault="00591C41" w:rsidP="00496A65">
            <w:pPr>
              <w:pStyle w:val="Standaard-Tabellen"/>
            </w:pPr>
            <w:r>
              <w:t>mg/cm²</w:t>
            </w:r>
          </w:p>
        </w:tc>
        <w:tc>
          <w:tcPr>
            <w:tcW w:w="715" w:type="pct"/>
            <w:tcBorders>
              <w:top w:val="single" w:sz="4" w:space="0" w:color="auto"/>
              <w:left w:val="single" w:sz="4" w:space="0" w:color="auto"/>
              <w:bottom w:val="single" w:sz="4" w:space="0" w:color="auto"/>
              <w:right w:val="single" w:sz="4" w:space="0" w:color="auto"/>
            </w:tcBorders>
            <w:hideMark/>
          </w:tcPr>
          <w:p w14:paraId="05CBC321" w14:textId="77777777" w:rsidR="00591C41" w:rsidRDefault="00591C41" w:rsidP="00496A65">
            <w:pPr>
              <w:pStyle w:val="Standaard-Tabellen"/>
            </w:pPr>
            <w:r>
              <w:t>(see above)</w:t>
            </w:r>
          </w:p>
        </w:tc>
      </w:tr>
      <w:tr w:rsidR="00591C41" w:rsidRPr="00092E70" w14:paraId="0A2E68EC"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hideMark/>
          </w:tcPr>
          <w:p w14:paraId="053B5276" w14:textId="77777777" w:rsidR="00591C41" w:rsidRDefault="00591C41" w:rsidP="00496A65">
            <w:pPr>
              <w:pStyle w:val="Standaard-Tabellen"/>
            </w:pPr>
            <w:r>
              <w:t>Treated area of human skin</w:t>
            </w:r>
          </w:p>
        </w:tc>
        <w:tc>
          <w:tcPr>
            <w:tcW w:w="910" w:type="pct"/>
            <w:tcBorders>
              <w:top w:val="single" w:sz="4" w:space="0" w:color="auto"/>
              <w:left w:val="single" w:sz="4" w:space="0" w:color="auto"/>
              <w:bottom w:val="single" w:sz="4" w:space="0" w:color="auto"/>
              <w:right w:val="single" w:sz="4" w:space="0" w:color="auto"/>
            </w:tcBorders>
            <w:hideMark/>
          </w:tcPr>
          <w:p w14:paraId="4FD73423" w14:textId="77777777" w:rsidR="00591C41" w:rsidRDefault="00591C41" w:rsidP="00496A65">
            <w:pPr>
              <w:pStyle w:val="Standaard-Tabellen"/>
              <w:rPr>
                <w:vertAlign w:val="subscript"/>
              </w:rPr>
            </w:pPr>
            <w:proofErr w:type="spellStart"/>
            <w:r>
              <w:t>AREA</w:t>
            </w:r>
            <w:r>
              <w:rPr>
                <w:vertAlign w:val="subscript"/>
              </w:rPr>
              <w:t>skin</w:t>
            </w:r>
            <w:proofErr w:type="spellEnd"/>
          </w:p>
        </w:tc>
        <w:tc>
          <w:tcPr>
            <w:tcW w:w="438" w:type="pct"/>
            <w:tcBorders>
              <w:top w:val="single" w:sz="4" w:space="0" w:color="auto"/>
              <w:left w:val="single" w:sz="4" w:space="0" w:color="auto"/>
              <w:bottom w:val="single" w:sz="4" w:space="0" w:color="auto"/>
              <w:right w:val="single" w:sz="4" w:space="0" w:color="auto"/>
            </w:tcBorders>
            <w:hideMark/>
          </w:tcPr>
          <w:p w14:paraId="0DF7F032" w14:textId="77777777" w:rsidR="00591C41" w:rsidRPr="00366A63" w:rsidRDefault="00591C41" w:rsidP="00496A65">
            <w:pPr>
              <w:pStyle w:val="Standaard-Tabellen"/>
            </w:pPr>
            <w:r w:rsidRPr="00366A63">
              <w:t>16600</w:t>
            </w:r>
          </w:p>
        </w:tc>
        <w:tc>
          <w:tcPr>
            <w:tcW w:w="529" w:type="pct"/>
            <w:tcBorders>
              <w:top w:val="single" w:sz="4" w:space="0" w:color="auto"/>
              <w:left w:val="single" w:sz="4" w:space="0" w:color="auto"/>
              <w:bottom w:val="single" w:sz="4" w:space="0" w:color="auto"/>
              <w:right w:val="single" w:sz="4" w:space="0" w:color="auto"/>
            </w:tcBorders>
            <w:hideMark/>
          </w:tcPr>
          <w:p w14:paraId="7BC65A98" w14:textId="77777777" w:rsidR="00591C41" w:rsidRDefault="00591C41" w:rsidP="00496A65">
            <w:pPr>
              <w:pStyle w:val="Standaard-Tabellen"/>
            </w:pPr>
            <w:r>
              <w:t>cm²</w:t>
            </w:r>
          </w:p>
        </w:tc>
        <w:tc>
          <w:tcPr>
            <w:tcW w:w="715" w:type="pct"/>
            <w:tcBorders>
              <w:top w:val="single" w:sz="4" w:space="0" w:color="auto"/>
              <w:left w:val="single" w:sz="4" w:space="0" w:color="auto"/>
              <w:bottom w:val="single" w:sz="4" w:space="0" w:color="auto"/>
              <w:right w:val="single" w:sz="4" w:space="0" w:color="auto"/>
            </w:tcBorders>
            <w:hideMark/>
          </w:tcPr>
          <w:p w14:paraId="038E6E69" w14:textId="77777777" w:rsidR="00591C41" w:rsidRDefault="00591C41" w:rsidP="00496A65">
            <w:pPr>
              <w:pStyle w:val="Standaard-Tabellen"/>
            </w:pPr>
            <w:r>
              <w:t>(see above)</w:t>
            </w:r>
          </w:p>
        </w:tc>
      </w:tr>
      <w:tr w:rsidR="00591C41" w14:paraId="04182B93" w14:textId="77777777" w:rsidTr="0046760C">
        <w:trPr>
          <w:trHeight w:val="93"/>
        </w:trPr>
        <w:tc>
          <w:tcPr>
            <w:tcW w:w="2407" w:type="pct"/>
            <w:tcBorders>
              <w:top w:val="single" w:sz="4" w:space="0" w:color="auto"/>
              <w:left w:val="single" w:sz="4" w:space="0" w:color="auto"/>
              <w:bottom w:val="single" w:sz="4" w:space="0" w:color="auto"/>
              <w:right w:val="single" w:sz="4" w:space="0" w:color="auto"/>
            </w:tcBorders>
            <w:hideMark/>
          </w:tcPr>
          <w:p w14:paraId="317BD0BF" w14:textId="77777777" w:rsidR="00591C41" w:rsidRDefault="00591C41" w:rsidP="00496A65">
            <w:pPr>
              <w:pStyle w:val="Standaard-Tabellen"/>
            </w:pPr>
            <w:r>
              <w:t>Specific density of product</w:t>
            </w:r>
          </w:p>
        </w:tc>
        <w:tc>
          <w:tcPr>
            <w:tcW w:w="910" w:type="pct"/>
            <w:tcBorders>
              <w:top w:val="single" w:sz="4" w:space="0" w:color="auto"/>
              <w:left w:val="single" w:sz="4" w:space="0" w:color="auto"/>
              <w:bottom w:val="single" w:sz="4" w:space="0" w:color="auto"/>
              <w:right w:val="single" w:sz="4" w:space="0" w:color="auto"/>
            </w:tcBorders>
            <w:hideMark/>
          </w:tcPr>
          <w:p w14:paraId="7603ECE6" w14:textId="77777777" w:rsidR="00591C41" w:rsidRDefault="00591C41" w:rsidP="00496A65">
            <w:pPr>
              <w:pStyle w:val="Standaard-Tabellen"/>
            </w:pPr>
            <w:proofErr w:type="spellStart"/>
            <w:r>
              <w:t>RHOform</w:t>
            </w:r>
            <w:proofErr w:type="spellEnd"/>
          </w:p>
        </w:tc>
        <w:tc>
          <w:tcPr>
            <w:tcW w:w="438" w:type="pct"/>
            <w:tcBorders>
              <w:top w:val="single" w:sz="4" w:space="0" w:color="auto"/>
              <w:left w:val="single" w:sz="4" w:space="0" w:color="auto"/>
              <w:bottom w:val="single" w:sz="4" w:space="0" w:color="auto"/>
              <w:right w:val="single" w:sz="4" w:space="0" w:color="auto"/>
            </w:tcBorders>
            <w:hideMark/>
          </w:tcPr>
          <w:p w14:paraId="0FA438A1" w14:textId="77777777" w:rsidR="00591C41" w:rsidRDefault="00591C41" w:rsidP="00496A65">
            <w:pPr>
              <w:pStyle w:val="Standaard-Tabellen"/>
            </w:pPr>
            <w:r>
              <w:t>1000</w:t>
            </w:r>
          </w:p>
        </w:tc>
        <w:tc>
          <w:tcPr>
            <w:tcW w:w="529" w:type="pct"/>
            <w:tcBorders>
              <w:top w:val="single" w:sz="4" w:space="0" w:color="auto"/>
              <w:left w:val="single" w:sz="4" w:space="0" w:color="auto"/>
              <w:bottom w:val="single" w:sz="4" w:space="0" w:color="auto"/>
              <w:right w:val="single" w:sz="4" w:space="0" w:color="auto"/>
            </w:tcBorders>
            <w:hideMark/>
          </w:tcPr>
          <w:p w14:paraId="2A1D42BE" w14:textId="77777777" w:rsidR="00591C41" w:rsidRDefault="00591C41" w:rsidP="00496A65">
            <w:pPr>
              <w:pStyle w:val="Standaard-Tabellen"/>
            </w:pPr>
            <w:r>
              <w:t>kg/m³</w:t>
            </w:r>
          </w:p>
        </w:tc>
        <w:tc>
          <w:tcPr>
            <w:tcW w:w="715" w:type="pct"/>
            <w:tcBorders>
              <w:top w:val="single" w:sz="4" w:space="0" w:color="auto"/>
              <w:left w:val="single" w:sz="4" w:space="0" w:color="auto"/>
              <w:bottom w:val="single" w:sz="4" w:space="0" w:color="auto"/>
              <w:right w:val="single" w:sz="4" w:space="0" w:color="auto"/>
            </w:tcBorders>
            <w:hideMark/>
          </w:tcPr>
          <w:p w14:paraId="3F964D16" w14:textId="77777777" w:rsidR="00591C41" w:rsidRDefault="00591C41" w:rsidP="00496A65">
            <w:pPr>
              <w:pStyle w:val="Standaard-Tabellen"/>
            </w:pPr>
            <w:r>
              <w:t>D</w:t>
            </w:r>
          </w:p>
        </w:tc>
      </w:tr>
    </w:tbl>
    <w:p w14:paraId="2E4C4D11" w14:textId="77777777" w:rsidR="00591C41" w:rsidRDefault="00591C41" w:rsidP="00496A65"/>
    <w:p w14:paraId="40355486" w14:textId="77777777" w:rsidR="00591C41" w:rsidRPr="00FA1978" w:rsidRDefault="00591C41" w:rsidP="00496A65">
      <w:pPr>
        <w:pStyle w:val="Titre7"/>
      </w:pPr>
      <w:r w:rsidRPr="00FA1978">
        <w:t xml:space="preserve">Intermediate </w:t>
      </w:r>
      <w:proofErr w:type="spellStart"/>
      <w:r w:rsidRPr="00FA1978">
        <w:t>calculation</w:t>
      </w:r>
      <w:proofErr w:type="spellEnd"/>
      <w:r w:rsidRPr="00FA1978">
        <w:t xml:space="preserve"> </w:t>
      </w:r>
      <w:proofErr w:type="spellStart"/>
      <w:r w:rsidRPr="00FA1978">
        <w:t>for</w:t>
      </w:r>
      <w:proofErr w:type="spellEnd"/>
      <w:r w:rsidRPr="00FA1978">
        <w:t xml:space="preserve"> Scenario 2</w:t>
      </w:r>
    </w:p>
    <w:p w14:paraId="58F8803B" w14:textId="77777777" w:rsidR="00591C41" w:rsidRDefault="00591C41" w:rsidP="00496A65">
      <w:r w:rsidRPr="003D5898">
        <w:sym w:font="Wingdings" w:char="F0E0"/>
      </w:r>
      <w:r>
        <w:t xml:space="preserve"> B and D2</w:t>
      </w:r>
    </w:p>
    <w:p w14:paraId="505C3252" w14:textId="0E13571E" w:rsidR="00591C41" w:rsidRPr="003D5898" w:rsidRDefault="00F26AF2" w:rsidP="00351A9A">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rPr>
              </m:ctrlPr>
            </m:sSubPr>
            <m:e>
              <m:r>
                <w:rPr>
                  <w:rFonts w:ascii="Cambria Math" w:hAnsi="Cambria Math"/>
                </w:rPr>
                <m:t>Elocal</m:t>
              </m:r>
            </m:e>
            <m:sub>
              <m:r>
                <w:rPr>
                  <w:rFonts w:ascii="Cambria Math" w:hAnsi="Cambria Math"/>
                </w:rPr>
                <m:t>water</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swimmer</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appl</m:t>
              </m:r>
            </m:sub>
          </m:sSub>
          <m:r>
            <m:rPr>
              <m:sty m:val="p"/>
            </m:rPr>
            <w:rPr>
              <w:rFonts w:ascii="Cambria Math" w:hAnsi="Cambria Math"/>
            </w:rPr>
            <m:t>×</m:t>
          </m:r>
          <m:sSub>
            <m:sSubPr>
              <m:ctrlPr>
                <w:rPr>
                  <w:rFonts w:ascii="Cambria Math" w:hAnsi="Cambria Math"/>
                </w:rPr>
              </m:ctrlPr>
            </m:sSubPr>
            <m:e>
              <m:r>
                <w:rPr>
                  <w:rFonts w:ascii="Cambria Math" w:hAnsi="Cambria Math"/>
                </w:rPr>
                <m:t>Qform</m:t>
              </m:r>
            </m:e>
            <m:sub>
              <m:r>
                <w:rPr>
                  <w:rFonts w:ascii="Cambria Math" w:hAnsi="Cambria Math"/>
                </w:rPr>
                <m:t>appl</m:t>
              </m:r>
            </m:sub>
          </m:sSub>
          <m:r>
            <m:rPr>
              <m:sty m:val="p"/>
            </m:rPr>
            <w:rPr>
              <w:rFonts w:ascii="Cambria Math" w:hAnsi="Cambria Math"/>
            </w:rPr>
            <m:t>×</m:t>
          </m:r>
          <m:sSub>
            <m:sSubPr>
              <m:ctrlPr>
                <w:rPr>
                  <w:rFonts w:ascii="Cambria Math" w:hAnsi="Cambria Math"/>
                </w:rPr>
              </m:ctrlPr>
            </m:sSubPr>
            <m:e>
              <m:r>
                <w:rPr>
                  <w:rFonts w:ascii="Cambria Math" w:hAnsi="Cambria Math"/>
                </w:rPr>
                <m:t>AREA</m:t>
              </m:r>
            </m:e>
            <m:sub>
              <m:r>
                <w:rPr>
                  <w:rFonts w:ascii="Cambria Math" w:hAnsi="Cambria Math"/>
                </w:rPr>
                <m:t>skin</m:t>
              </m:r>
            </m:sub>
          </m:sSub>
          <m:r>
            <m:rPr>
              <m:sty m:val="p"/>
            </m:rPr>
            <w:rPr>
              <w:rFonts w:ascii="Cambria Math" w:hAnsi="Cambria Math"/>
            </w:rPr>
            <m:t>×</m:t>
          </m:r>
          <m:sSub>
            <m:sSubPr>
              <m:ctrlPr>
                <w:rPr>
                  <w:rFonts w:ascii="Cambria Math" w:hAnsi="Cambria Math"/>
                </w:rPr>
              </m:ctrlPr>
            </m:sSubPr>
            <m:e>
              <m:r>
                <w:rPr>
                  <w:rFonts w:ascii="Cambria Math" w:hAnsi="Cambria Math"/>
                </w:rPr>
                <m:t>Cform</m:t>
              </m:r>
            </m:e>
            <m:sub>
              <m:r>
                <w:rPr>
                  <w:rFonts w:ascii="Cambria Math" w:hAnsi="Cambria Math"/>
                </w:rPr>
                <m:t>weight</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swim</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waterbody</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oMath>
      </m:oMathPara>
    </w:p>
    <w:p w14:paraId="7C035A4A" w14:textId="77777777" w:rsidR="00591C41" w:rsidRPr="00FD2055" w:rsidRDefault="00591C41" w:rsidP="00496A65"/>
    <w:tbl>
      <w:tblPr>
        <w:tblW w:w="0" w:type="auto"/>
        <w:tblInd w:w="45" w:type="dxa"/>
        <w:tblLayout w:type="fixed"/>
        <w:tblCellMar>
          <w:left w:w="0" w:type="dxa"/>
          <w:right w:w="0" w:type="dxa"/>
        </w:tblCellMar>
        <w:tblLook w:val="0000" w:firstRow="0" w:lastRow="0" w:firstColumn="0" w:lastColumn="0" w:noHBand="0" w:noVBand="0"/>
      </w:tblPr>
      <w:tblGrid>
        <w:gridCol w:w="2256"/>
        <w:gridCol w:w="3610"/>
        <w:gridCol w:w="3159"/>
      </w:tblGrid>
      <w:tr w:rsidR="00591C41" w:rsidRPr="00351A9A" w14:paraId="015744E3" w14:textId="77777777" w:rsidTr="00A34679">
        <w:trPr>
          <w:tblHeader/>
        </w:trPr>
        <w:tc>
          <w:tcPr>
            <w:tcW w:w="9025"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27ABB54E" w14:textId="77777777" w:rsidR="00591C41" w:rsidRPr="00351A9A" w:rsidRDefault="00591C41" w:rsidP="00496A65">
            <w:pPr>
              <w:pStyle w:val="Standaard-Tabellen"/>
              <w:rPr>
                <w:b/>
              </w:rPr>
            </w:pPr>
            <w:r w:rsidRPr="00351A9A">
              <w:rPr>
                <w:b/>
              </w:rPr>
              <w:t>Resulting local emission to relevant environmental compartments</w:t>
            </w:r>
          </w:p>
        </w:tc>
      </w:tr>
      <w:tr w:rsidR="00591C41" w:rsidRPr="00351A9A" w14:paraId="60EA5A96" w14:textId="77777777" w:rsidTr="00A34679">
        <w:trPr>
          <w:tblHeader/>
        </w:trPr>
        <w:tc>
          <w:tcPr>
            <w:tcW w:w="22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0BFA59E3" w14:textId="77777777" w:rsidR="00591C41" w:rsidRPr="00351A9A" w:rsidRDefault="00591C41" w:rsidP="00496A65">
            <w:pPr>
              <w:pStyle w:val="Standaard-Tabellen"/>
              <w:rPr>
                <w:b/>
              </w:rPr>
            </w:pPr>
            <w:r w:rsidRPr="00351A9A">
              <w:rPr>
                <w:b/>
              </w:rPr>
              <w:t>Compartment</w:t>
            </w:r>
          </w:p>
        </w:tc>
        <w:tc>
          <w:tcPr>
            <w:tcW w:w="3610"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1E570D65" w14:textId="77777777" w:rsidR="00591C41" w:rsidRPr="00351A9A" w:rsidRDefault="00591C41" w:rsidP="00496A65">
            <w:pPr>
              <w:pStyle w:val="Standaard-Tabellen"/>
              <w:rPr>
                <w:b/>
              </w:rPr>
            </w:pPr>
            <w:r w:rsidRPr="00351A9A">
              <w:rPr>
                <w:b/>
              </w:rPr>
              <w:t>Local emission (</w:t>
            </w:r>
            <w:proofErr w:type="spellStart"/>
            <w:r w:rsidRPr="00351A9A">
              <w:rPr>
                <w:b/>
              </w:rPr>
              <w:t>Elocal</w:t>
            </w:r>
            <w:r w:rsidRPr="00351A9A">
              <w:rPr>
                <w:b/>
                <w:vertAlign w:val="subscript"/>
              </w:rPr>
              <w:t>compartment</w:t>
            </w:r>
            <w:proofErr w:type="spellEnd"/>
            <w:r w:rsidRPr="00351A9A">
              <w:rPr>
                <w:b/>
              </w:rPr>
              <w:t>) [kg/d]</w:t>
            </w:r>
          </w:p>
        </w:tc>
        <w:tc>
          <w:tcPr>
            <w:tcW w:w="3159" w:type="dxa"/>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tcPr>
          <w:p w14:paraId="0CA995F4" w14:textId="77777777" w:rsidR="00591C41" w:rsidRPr="00351A9A" w:rsidRDefault="00591C41" w:rsidP="00496A65">
            <w:pPr>
              <w:pStyle w:val="Standaard-Tabellen"/>
              <w:rPr>
                <w:b/>
              </w:rPr>
            </w:pPr>
            <w:r w:rsidRPr="00351A9A">
              <w:rPr>
                <w:b/>
              </w:rPr>
              <w:t>Remarks</w:t>
            </w:r>
          </w:p>
        </w:tc>
      </w:tr>
      <w:tr w:rsidR="00591C41" w:rsidRPr="00092E70" w14:paraId="36B685FA" w14:textId="77777777" w:rsidTr="00A34679">
        <w:tc>
          <w:tcPr>
            <w:tcW w:w="2256"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A223BE" w14:textId="77777777" w:rsidR="00591C41" w:rsidRPr="00092E70" w:rsidRDefault="00E00756" w:rsidP="00496A65">
            <w:pPr>
              <w:pStyle w:val="Standaard-Tabellen"/>
            </w:pPr>
            <w:r>
              <w:t>Surface</w:t>
            </w:r>
            <w:r w:rsidRPr="00092E70">
              <w:t xml:space="preserve"> </w:t>
            </w:r>
            <w:r w:rsidR="00591C41" w:rsidRPr="00092E70">
              <w:t>water</w:t>
            </w:r>
          </w:p>
        </w:tc>
        <w:tc>
          <w:tcPr>
            <w:tcW w:w="3610"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C41F9C0" w14:textId="4EA6B366" w:rsidR="00591C41" w:rsidRPr="00DF6AC3" w:rsidRDefault="00591C41" w:rsidP="00496A65">
            <w:pPr>
              <w:pStyle w:val="Standaard-Tabellen"/>
            </w:pPr>
            <w:r w:rsidRPr="00DF6AC3">
              <w:t>0.</w:t>
            </w:r>
            <w:r w:rsidR="000949F7">
              <w:t>334</w:t>
            </w:r>
          </w:p>
        </w:tc>
        <w:tc>
          <w:tcPr>
            <w:tcW w:w="3159"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1730C4" w14:textId="77777777" w:rsidR="00591C41" w:rsidRPr="00092E70" w:rsidRDefault="00591C41" w:rsidP="00496A65">
            <w:pPr>
              <w:pStyle w:val="Standaard-Tabellen"/>
            </w:pPr>
            <w:r w:rsidRPr="00092E70">
              <w:t>/</w:t>
            </w:r>
          </w:p>
        </w:tc>
      </w:tr>
    </w:tbl>
    <w:p w14:paraId="133E9932" w14:textId="77777777" w:rsidR="00591C41" w:rsidRDefault="00591C41" w:rsidP="00496A65"/>
    <w:p w14:paraId="6387D0AE" w14:textId="77777777" w:rsidR="00591C41" w:rsidRPr="00FA1978" w:rsidRDefault="00591C41" w:rsidP="00496A65">
      <w:pPr>
        <w:pStyle w:val="Titre7"/>
      </w:pPr>
      <w:r w:rsidRPr="00FA1978">
        <w:t xml:space="preserve">Final </w:t>
      </w:r>
      <w:proofErr w:type="spellStart"/>
      <w:r w:rsidRPr="00FA1978">
        <w:t>calculation</w:t>
      </w:r>
      <w:proofErr w:type="spellEnd"/>
      <w:r w:rsidRPr="00FA1978">
        <w:t xml:space="preserve"> </w:t>
      </w:r>
      <w:proofErr w:type="spellStart"/>
      <w:r w:rsidRPr="00FA1978">
        <w:t>for</w:t>
      </w:r>
      <w:proofErr w:type="spellEnd"/>
      <w:r w:rsidRPr="00FA1978">
        <w:t xml:space="preserve"> </w:t>
      </w:r>
      <w:proofErr w:type="spellStart"/>
      <w:r w:rsidRPr="00FA1978">
        <w:t>scenario</w:t>
      </w:r>
      <w:proofErr w:type="spellEnd"/>
      <w:r w:rsidRPr="00FA1978">
        <w:t xml:space="preserve"> 2</w:t>
      </w:r>
    </w:p>
    <w:p w14:paraId="6C5D81EB" w14:textId="77777777" w:rsidR="00591C41" w:rsidRDefault="00591C41" w:rsidP="00496A65">
      <w:r>
        <w:t xml:space="preserve">In the intermediate calculation a local daily emission to the surface water body due to swimmers treated with the repellent, was calculated. In order to assess the impact of this emission on the aquatic life in this waterbody, the actual concentration in active substance in this waterbody should be calculated. </w:t>
      </w:r>
    </w:p>
    <w:p w14:paraId="5A4E04FD" w14:textId="77777777" w:rsidR="00591C41" w:rsidRDefault="00591C41" w:rsidP="00496A65">
      <w:r>
        <w:t>As a first TIER evaluation concentrations are calculated for emission periods of 1 day and 91 days, without taking into account possible degradation progresses, which represents the worst-case.</w:t>
      </w:r>
    </w:p>
    <w:p w14:paraId="7E22380C" w14:textId="77777777" w:rsidR="00591C41" w:rsidRDefault="00591C41" w:rsidP="00496A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1638"/>
        <w:gridCol w:w="966"/>
        <w:gridCol w:w="634"/>
        <w:gridCol w:w="2718"/>
      </w:tblGrid>
      <w:tr w:rsidR="00591C41" w:rsidRPr="00351A9A" w14:paraId="3334BA56" w14:textId="77777777" w:rsidTr="00A34679">
        <w:trPr>
          <w:trHeight w:val="346"/>
        </w:trPr>
        <w:tc>
          <w:tcPr>
            <w:tcW w:w="0" w:type="auto"/>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01CD11E9" w14:textId="77777777" w:rsidR="00591C41" w:rsidRPr="00351A9A" w:rsidRDefault="00591C41" w:rsidP="00496A65">
            <w:pPr>
              <w:pStyle w:val="Standaard-Tabellen"/>
              <w:rPr>
                <w:b/>
              </w:rPr>
            </w:pPr>
            <w:r w:rsidRPr="00351A9A">
              <w:rPr>
                <w:b/>
              </w:rPr>
              <w:t>Input parameters for calculating surface water concentration</w:t>
            </w:r>
          </w:p>
        </w:tc>
      </w:tr>
      <w:tr w:rsidR="00591C41" w:rsidRPr="00351A9A" w14:paraId="0CD93209"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DD52E9" w14:textId="77777777" w:rsidR="00591C41" w:rsidRPr="00351A9A" w:rsidRDefault="00591C41" w:rsidP="00496A65">
            <w:pPr>
              <w:pStyle w:val="Standaard-Tabellen"/>
              <w:rPr>
                <w:b/>
              </w:rPr>
            </w:pPr>
            <w:r w:rsidRPr="00351A9A">
              <w:rPr>
                <w:b/>
              </w:rPr>
              <w:t xml:space="preserve">Input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C25AB6" w14:textId="77777777" w:rsidR="00591C41" w:rsidRPr="00351A9A" w:rsidRDefault="00591C41" w:rsidP="00496A65">
            <w:pPr>
              <w:pStyle w:val="Standaard-Tabellen"/>
              <w:rPr>
                <w:b/>
              </w:rPr>
            </w:pPr>
            <w:r w:rsidRPr="00351A9A">
              <w:rPr>
                <w:b/>
              </w:rPr>
              <w:t>Nomenclature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EB616" w14:textId="77777777" w:rsidR="00591C41" w:rsidRPr="00351A9A" w:rsidRDefault="00591C41" w:rsidP="00496A65">
            <w:pPr>
              <w:pStyle w:val="Standaard-Tabellen"/>
              <w:rPr>
                <w:b/>
              </w:rPr>
            </w:pPr>
            <w:r w:rsidRPr="00351A9A">
              <w:rPr>
                <w:b/>
              </w:rPr>
              <w:t xml:space="preserve">Value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C25C8" w14:textId="77777777" w:rsidR="00591C41" w:rsidRPr="00351A9A" w:rsidRDefault="00591C41" w:rsidP="00496A65">
            <w:pPr>
              <w:pStyle w:val="Standaard-Tabellen"/>
              <w:rPr>
                <w:b/>
              </w:rPr>
            </w:pPr>
            <w:r w:rsidRPr="00351A9A">
              <w:rPr>
                <w:b/>
              </w:rPr>
              <w:t>Unit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8267EA" w14:textId="77777777" w:rsidR="00591C41" w:rsidRPr="00351A9A" w:rsidRDefault="00591C41" w:rsidP="00496A65">
            <w:pPr>
              <w:pStyle w:val="Standaard-Tabellen"/>
              <w:rPr>
                <w:b/>
              </w:rPr>
            </w:pPr>
            <w:r w:rsidRPr="00351A9A">
              <w:rPr>
                <w:b/>
              </w:rPr>
              <w:t>Remarks</w:t>
            </w:r>
          </w:p>
        </w:tc>
      </w:tr>
      <w:tr w:rsidR="00591C41" w:rsidRPr="00351A9A" w14:paraId="43477184" w14:textId="77777777" w:rsidTr="00A34679">
        <w:trPr>
          <w:trHeight w:val="75"/>
        </w:trPr>
        <w:tc>
          <w:tcPr>
            <w:tcW w:w="0" w:type="auto"/>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613553" w14:textId="77777777" w:rsidR="00591C41" w:rsidRPr="00351A9A" w:rsidRDefault="00591C41" w:rsidP="00496A65">
            <w:pPr>
              <w:pStyle w:val="Standaard-Tabellen"/>
              <w:rPr>
                <w:i/>
                <w:color w:val="000000"/>
              </w:rPr>
            </w:pPr>
            <w:r w:rsidRPr="00351A9A">
              <w:rPr>
                <w:i/>
                <w:color w:val="000000"/>
              </w:rPr>
              <w:t>Scenario</w:t>
            </w:r>
            <w:r w:rsidRPr="00351A9A">
              <w:rPr>
                <w:i/>
              </w:rPr>
              <w:t>: Release of repellents used on human skin due to swimming activities in surface water bodies</w:t>
            </w:r>
          </w:p>
        </w:tc>
      </w:tr>
      <w:tr w:rsidR="00591C41" w14:paraId="0524C68A"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26DAAFEB" w14:textId="77777777" w:rsidR="00591C41" w:rsidRDefault="00591C41" w:rsidP="00496A65">
            <w:pPr>
              <w:pStyle w:val="Standaard-Tabellen"/>
            </w:pPr>
            <w:r>
              <w:t>Local emission to surface water body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B917B" w14:textId="77777777" w:rsidR="00591C41" w:rsidRDefault="00591C41" w:rsidP="00496A65">
            <w:pPr>
              <w:pStyle w:val="Standaard-Tabellen"/>
              <w:rPr>
                <w:vertAlign w:val="subscript"/>
              </w:rPr>
            </w:pPr>
            <w:proofErr w:type="spellStart"/>
            <w:r>
              <w:t>Elocal</w:t>
            </w:r>
            <w:r>
              <w:rPr>
                <w:vertAlign w:val="subscript"/>
              </w:rPr>
              <w:t>water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128DD9F" w14:textId="0262FD85" w:rsidR="00591C41" w:rsidRPr="00366A63" w:rsidRDefault="00591C41" w:rsidP="00496A65">
            <w:pPr>
              <w:pStyle w:val="Standaard-Tabellen"/>
              <w:rPr>
                <w:vertAlign w:val="superscript"/>
              </w:rPr>
            </w:pPr>
            <w:r w:rsidRPr="00366A63">
              <w:t>0.</w:t>
            </w:r>
            <w:r w:rsidR="000949F7">
              <w:t>334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AF09B" w14:textId="77777777" w:rsidR="00591C41" w:rsidRDefault="00591C41" w:rsidP="00496A65">
            <w:pPr>
              <w:pStyle w:val="Standaard-Tabellen"/>
            </w:pPr>
            <w:r>
              <w:t>kg/d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D4DF6" w14:textId="77777777" w:rsidR="00591C41" w:rsidRDefault="00591C41" w:rsidP="00496A65">
            <w:pPr>
              <w:pStyle w:val="Standaard-Tabellen"/>
            </w:pPr>
            <w:r>
              <w:t>O (Intermediate calculation)</w:t>
            </w:r>
          </w:p>
        </w:tc>
      </w:tr>
      <w:tr w:rsidR="00591C41" w14:paraId="51AA3E5B"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6EE14C76" w14:textId="77777777" w:rsidR="00591C41" w:rsidRDefault="00591C41" w:rsidP="00496A65">
            <w:pPr>
              <w:pStyle w:val="Standaard-Tabellen"/>
            </w:pPr>
            <w:r>
              <w:t>Volume of water body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2AC6" w14:textId="77777777" w:rsidR="00591C41" w:rsidRDefault="00591C41" w:rsidP="00496A65">
            <w:pPr>
              <w:pStyle w:val="Standaard-Tabellen"/>
              <w:rPr>
                <w:vertAlign w:val="subscript"/>
              </w:rPr>
            </w:pPr>
            <w:proofErr w:type="spellStart"/>
            <w:r>
              <w:t>V</w:t>
            </w:r>
            <w:r>
              <w:rPr>
                <w:vertAlign w:val="subscript"/>
              </w:rPr>
              <w:t>waterbody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658DAF4" w14:textId="77777777" w:rsidR="00591C41" w:rsidRDefault="00591C41" w:rsidP="00496A65">
            <w:pPr>
              <w:pStyle w:val="Standaard-Tabellen"/>
            </w:pPr>
            <w:r>
              <w:t>435 000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48121" w14:textId="77777777" w:rsidR="00591C41" w:rsidRDefault="00591C41" w:rsidP="00496A65">
            <w:pPr>
              <w:pStyle w:val="Standaard-Tabellen"/>
            </w:pPr>
            <w:r>
              <w:t>m³</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ABB90" w14:textId="77777777" w:rsidR="00591C41" w:rsidRDefault="00591C41" w:rsidP="00496A65">
            <w:pPr>
              <w:pStyle w:val="Standaard-Tabellen"/>
            </w:pPr>
            <w:r>
              <w:t>D</w:t>
            </w:r>
          </w:p>
        </w:tc>
      </w:tr>
      <w:tr w:rsidR="00591C41" w14:paraId="5E5EBB76"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0B2707FF" w14:textId="77777777" w:rsidR="00591C41" w:rsidRDefault="00591C41" w:rsidP="00496A65">
            <w:pPr>
              <w:pStyle w:val="Standaard-Tabellen"/>
            </w:pPr>
            <w:r>
              <w:t>Number of emission days TIER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6A7A6E" w14:textId="77777777" w:rsidR="00591C41" w:rsidRDefault="00591C41" w:rsidP="00496A65">
            <w:pPr>
              <w:pStyle w:val="Standaard-Tabellen"/>
              <w:rPr>
                <w:vertAlign w:val="subscript"/>
              </w:rPr>
            </w:pPr>
            <w:proofErr w:type="spellStart"/>
            <w:r>
              <w:t>T</w:t>
            </w:r>
            <w:r>
              <w:rPr>
                <w:vertAlign w:val="subscript"/>
              </w:rPr>
              <w:t>emission</w:t>
            </w:r>
            <w:proofErr w:type="spellEnd"/>
            <w:r>
              <w:rPr>
                <w:vertAlign w:val="subscript"/>
              </w:rPr>
              <w:t>, 1d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7C206" w14:textId="77777777" w:rsidR="00591C41" w:rsidRDefault="00591C41" w:rsidP="00496A65">
            <w:pPr>
              <w:pStyle w:val="Standaard-Tabellen"/>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B47F5" w14:textId="77777777" w:rsidR="00591C41" w:rsidRDefault="00591C41" w:rsidP="00496A65">
            <w:pPr>
              <w:pStyle w:val="Standaard-Tabellen"/>
            </w:pPr>
            <w:r>
              <w:t>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44B70" w14:textId="77777777" w:rsidR="00591C41" w:rsidRDefault="00591C41" w:rsidP="00496A65">
            <w:pPr>
              <w:pStyle w:val="Standaard-Tabellen"/>
            </w:pPr>
            <w:r>
              <w:t>D</w:t>
            </w:r>
          </w:p>
        </w:tc>
      </w:tr>
      <w:tr w:rsidR="00591C41" w14:paraId="7F96C02A"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734A8B69" w14:textId="77777777" w:rsidR="00591C41" w:rsidRDefault="00591C41" w:rsidP="00496A65">
            <w:pPr>
              <w:pStyle w:val="Standaard-Tabellen"/>
            </w:pPr>
            <w:r>
              <w:t>Number of emission days TIER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32A6B" w14:textId="77777777" w:rsidR="00591C41" w:rsidRDefault="00591C41" w:rsidP="00496A65">
            <w:pPr>
              <w:pStyle w:val="Standaard-Tabellen"/>
              <w:rPr>
                <w:vertAlign w:val="subscript"/>
              </w:rPr>
            </w:pPr>
            <w:proofErr w:type="spellStart"/>
            <w:r>
              <w:t>T</w:t>
            </w:r>
            <w:r>
              <w:rPr>
                <w:vertAlign w:val="subscript"/>
              </w:rPr>
              <w:t>emission</w:t>
            </w:r>
            <w:proofErr w:type="spellEnd"/>
            <w:r>
              <w:rPr>
                <w:vertAlign w:val="subscript"/>
              </w:rPr>
              <w:t>, 91d</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EF44E" w14:textId="77777777" w:rsidR="00591C41" w:rsidRDefault="00591C41" w:rsidP="00496A65">
            <w:pPr>
              <w:pStyle w:val="Standaard-Tabellen"/>
            </w:pPr>
            <w: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BF3F55" w14:textId="77777777" w:rsidR="00591C41" w:rsidRDefault="00591C41" w:rsidP="00496A65">
            <w:pPr>
              <w:pStyle w:val="Standaard-Tabellen"/>
            </w:pPr>
            <w:r>
              <w:t>d</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D8868" w14:textId="77777777" w:rsidR="00591C41" w:rsidRDefault="00591C41" w:rsidP="00496A65">
            <w:pPr>
              <w:pStyle w:val="Standaard-Tabellen"/>
            </w:pPr>
            <w:r>
              <w:t>D</w:t>
            </w:r>
          </w:p>
        </w:tc>
      </w:tr>
      <w:tr w:rsidR="00591C41" w14:paraId="749C2DF2" w14:textId="77777777" w:rsidTr="00A34679">
        <w:trPr>
          <w:trHeight w:val="75"/>
        </w:trPr>
        <w:tc>
          <w:tcPr>
            <w:tcW w:w="0" w:type="auto"/>
            <w:tcBorders>
              <w:top w:val="single" w:sz="4" w:space="0" w:color="auto"/>
              <w:left w:val="single" w:sz="4" w:space="0" w:color="auto"/>
              <w:bottom w:val="single" w:sz="4" w:space="0" w:color="auto"/>
              <w:right w:val="single" w:sz="4" w:space="0" w:color="auto"/>
            </w:tcBorders>
            <w:vAlign w:val="center"/>
            <w:hideMark/>
          </w:tcPr>
          <w:p w14:paraId="555708E9" w14:textId="77777777" w:rsidR="00591C41" w:rsidRDefault="00591C41" w:rsidP="00496A65">
            <w:pPr>
              <w:pStyle w:val="Standaard-Tabellen"/>
            </w:pPr>
            <w:r>
              <w:t>Number of emission events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DC404" w14:textId="77777777" w:rsidR="00591C41" w:rsidRDefault="00591C41" w:rsidP="00496A65">
            <w:pPr>
              <w:pStyle w:val="Standaard-Tabellen"/>
              <w:rPr>
                <w:vertAlign w:val="subscript"/>
              </w:rPr>
            </w:pPr>
            <w:proofErr w:type="spellStart"/>
            <w:r>
              <w:t>N</w:t>
            </w:r>
            <w:r>
              <w:rPr>
                <w:vertAlign w:val="subscript"/>
              </w:rPr>
              <w:t>emission</w:t>
            </w:r>
            <w:proofErr w:type="spellEnd"/>
            <w:r>
              <w:rPr>
                <w:vertAlign w:val="subscript"/>
              </w:rPr>
              <w:t>, 91d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57A1C" w14:textId="77777777" w:rsidR="00591C41" w:rsidRDefault="00591C41" w:rsidP="00496A65">
            <w:pPr>
              <w:pStyle w:val="Standaard-Tabellen"/>
            </w:pPr>
            <w:r>
              <w:t>91</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A67E6" w14:textId="77777777" w:rsidR="00591C41" w:rsidRDefault="00591C41" w:rsidP="00496A65">
            <w:pPr>
              <w:pStyle w:val="Standaard-Tabellen"/>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0D9B1" w14:textId="77777777" w:rsidR="00591C41" w:rsidRDefault="00591C41" w:rsidP="00496A65">
            <w:pPr>
              <w:pStyle w:val="Standaard-Tabellen"/>
            </w:pPr>
            <w:r>
              <w:t>D</w:t>
            </w:r>
          </w:p>
        </w:tc>
      </w:tr>
    </w:tbl>
    <w:p w14:paraId="269B842B" w14:textId="77777777" w:rsidR="00591C41" w:rsidRDefault="00591C41" w:rsidP="00496A65"/>
    <w:p w14:paraId="372A24C9" w14:textId="77777777" w:rsidR="00591C41" w:rsidRDefault="00F26AF2" w:rsidP="00351A9A">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rPr>
              </m:ctrlPr>
            </m:sSubPr>
            <m:e>
              <m:r>
                <w:rPr>
                  <w:rFonts w:ascii="Cambria Math" w:hAnsi="Cambria Math"/>
                </w:rPr>
                <m:t>Clocal</m:t>
              </m:r>
            </m:e>
            <m:sub>
              <m:r>
                <w:rPr>
                  <w:rFonts w:ascii="Cambria Math" w:hAnsi="Cambria Math"/>
                </w:rPr>
                <m:t>water</m:t>
              </m:r>
              <m:r>
                <m:rPr>
                  <m:sty m:val="p"/>
                </m:rPr>
                <w:rPr>
                  <w:rFonts w:ascii="Cambria Math" w:hAnsi="Cambria Math"/>
                </w:rPr>
                <m:t>,1</m:t>
              </m:r>
              <m: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Elocal</m:t>
                  </m:r>
                </m:e>
                <m:sub>
                  <m:r>
                    <w:rPr>
                      <w:rFonts w:ascii="Cambria Math" w:hAnsi="Cambria Math"/>
                    </w:rPr>
                    <m:t>water</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emission</m:t>
                  </m:r>
                  <m:r>
                    <m:rPr>
                      <m:sty m:val="p"/>
                    </m:rPr>
                    <w:rPr>
                      <w:rFonts w:ascii="Cambria Math" w:hAnsi="Cambria Math"/>
                    </w:rPr>
                    <m:t>,1</m:t>
                  </m:r>
                  <m:r>
                    <w:rPr>
                      <w:rFonts w:ascii="Cambria Math" w:hAnsi="Cambria Math"/>
                    </w:rPr>
                    <m:t>d</m:t>
                  </m:r>
                </m:sub>
              </m:sSub>
            </m:num>
            <m:den>
              <m:sSub>
                <m:sSubPr>
                  <m:ctrlPr>
                    <w:rPr>
                      <w:rFonts w:ascii="Cambria Math" w:hAnsi="Cambria Math"/>
                    </w:rPr>
                  </m:ctrlPr>
                </m:sSubPr>
                <m:e>
                  <m:r>
                    <w:rPr>
                      <w:rFonts w:ascii="Cambria Math" w:hAnsi="Cambria Math"/>
                    </w:rPr>
                    <m:t>V</m:t>
                  </m:r>
                </m:e>
                <m:sub>
                  <m:r>
                    <w:rPr>
                      <w:rFonts w:ascii="Cambria Math" w:hAnsi="Cambria Math"/>
                    </w:rPr>
                    <m:t>waterbody</m:t>
                  </m:r>
                </m:sub>
              </m:sSub>
            </m:den>
          </m:f>
        </m:oMath>
      </m:oMathPara>
    </w:p>
    <w:p w14:paraId="66D21194" w14:textId="77777777" w:rsidR="00591C41" w:rsidRDefault="00F26AF2" w:rsidP="00351A9A">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rPr>
              </m:ctrlPr>
            </m:sSubPr>
            <m:e>
              <m:r>
                <w:rPr>
                  <w:rFonts w:ascii="Cambria Math" w:hAnsi="Cambria Math"/>
                </w:rPr>
                <m:t>Clocal</m:t>
              </m:r>
            </m:e>
            <m:sub>
              <m:r>
                <w:rPr>
                  <w:rFonts w:ascii="Cambria Math" w:hAnsi="Cambria Math"/>
                </w:rPr>
                <m:t>water</m:t>
              </m:r>
              <m:r>
                <m:rPr>
                  <m:sty m:val="p"/>
                </m:rPr>
                <w:rPr>
                  <w:rFonts w:ascii="Cambria Math" w:hAnsi="Cambria Math"/>
                </w:rPr>
                <m:t>,91</m:t>
              </m:r>
              <m: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Elocal</m:t>
                  </m:r>
                </m:e>
                <m:sub>
                  <m:r>
                    <w:rPr>
                      <w:rFonts w:ascii="Cambria Math" w:hAnsi="Cambria Math"/>
                    </w:rPr>
                    <m:t>water</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emission</m:t>
                  </m:r>
                  <m:r>
                    <m:rPr>
                      <m:sty m:val="p"/>
                    </m:rPr>
                    <w:rPr>
                      <w:rFonts w:ascii="Cambria Math" w:hAnsi="Cambria Math"/>
                    </w:rPr>
                    <m:t>,91</m:t>
                  </m:r>
                  <m:r>
                    <w:rPr>
                      <w:rFonts w:ascii="Cambria Math" w:hAnsi="Cambria Math"/>
                    </w:rPr>
                    <m:t>d</m:t>
                  </m:r>
                </m:sub>
              </m:sSub>
            </m:num>
            <m:den>
              <m:sSub>
                <m:sSubPr>
                  <m:ctrlPr>
                    <w:rPr>
                      <w:rFonts w:ascii="Cambria Math" w:hAnsi="Cambria Math"/>
                    </w:rPr>
                  </m:ctrlPr>
                </m:sSubPr>
                <m:e>
                  <m:r>
                    <w:rPr>
                      <w:rFonts w:ascii="Cambria Math" w:hAnsi="Cambria Math"/>
                    </w:rPr>
                    <m:t>V</m:t>
                  </m:r>
                </m:e>
                <m:sub>
                  <m:r>
                    <w:rPr>
                      <w:rFonts w:ascii="Cambria Math" w:hAnsi="Cambria Math"/>
                    </w:rPr>
                    <m:t>waterbody</m:t>
                  </m:r>
                </m:sub>
              </m:sSub>
            </m:den>
          </m:f>
        </m:oMath>
      </m:oMathPara>
    </w:p>
    <w:p w14:paraId="23F93D73" w14:textId="77777777" w:rsidR="00591C41" w:rsidRDefault="00591C41" w:rsidP="00496A65"/>
    <w:tbl>
      <w:tblPr>
        <w:tblW w:w="5000" w:type="pct"/>
        <w:tblCellMar>
          <w:left w:w="0" w:type="dxa"/>
          <w:right w:w="0" w:type="dxa"/>
        </w:tblCellMar>
        <w:tblLook w:val="04A0" w:firstRow="1" w:lastRow="0" w:firstColumn="1" w:lastColumn="0" w:noHBand="0" w:noVBand="1"/>
      </w:tblPr>
      <w:tblGrid>
        <w:gridCol w:w="3051"/>
        <w:gridCol w:w="2868"/>
        <w:gridCol w:w="3483"/>
      </w:tblGrid>
      <w:tr w:rsidR="00591C41" w:rsidRPr="00351A9A" w14:paraId="2B6F18AC" w14:textId="77777777" w:rsidTr="00A34679">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hideMark/>
          </w:tcPr>
          <w:p w14:paraId="2BB720B9" w14:textId="77777777" w:rsidR="00591C41" w:rsidRPr="00351A9A" w:rsidRDefault="00591C41" w:rsidP="00496A65">
            <w:pPr>
              <w:pStyle w:val="Standaard-Tabellen"/>
              <w:rPr>
                <w:b/>
                <w:color w:val="000000"/>
              </w:rPr>
            </w:pPr>
            <w:r w:rsidRPr="00351A9A">
              <w:rPr>
                <w:b/>
              </w:rPr>
              <w:t>Resulting local concentrations in the waterbody</w:t>
            </w:r>
          </w:p>
        </w:tc>
      </w:tr>
      <w:tr w:rsidR="00591C41" w:rsidRPr="00351A9A" w14:paraId="6E57080B" w14:textId="77777777" w:rsidTr="00A34679">
        <w:trPr>
          <w:tblHeader/>
        </w:trPr>
        <w:tc>
          <w:tcPr>
            <w:tcW w:w="162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6012528D" w14:textId="77777777" w:rsidR="00591C41" w:rsidRPr="00351A9A" w:rsidRDefault="00591C41" w:rsidP="00496A65">
            <w:pPr>
              <w:pStyle w:val="Standaard-Tabellen"/>
              <w:rPr>
                <w:b/>
              </w:rPr>
            </w:pPr>
            <w:r w:rsidRPr="00351A9A">
              <w:rPr>
                <w:b/>
              </w:rPr>
              <w:t>Compartment</w:t>
            </w:r>
          </w:p>
        </w:tc>
        <w:tc>
          <w:tcPr>
            <w:tcW w:w="1525"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39F5E3C8" w14:textId="77777777" w:rsidR="00591C41" w:rsidRPr="00351A9A" w:rsidRDefault="00591C41" w:rsidP="00496A65">
            <w:pPr>
              <w:pStyle w:val="Standaard-Tabellen"/>
              <w:rPr>
                <w:b/>
              </w:rPr>
            </w:pPr>
            <w:r w:rsidRPr="00351A9A">
              <w:rPr>
                <w:b/>
              </w:rPr>
              <w:t xml:space="preserve">Local concentration </w:t>
            </w:r>
          </w:p>
          <w:p w14:paraId="29305376" w14:textId="77777777" w:rsidR="00591C41" w:rsidRPr="00351A9A" w:rsidRDefault="00591C41" w:rsidP="00496A65">
            <w:pPr>
              <w:pStyle w:val="Standaard-Tabellen"/>
              <w:rPr>
                <w:b/>
              </w:rPr>
            </w:pPr>
            <w:r w:rsidRPr="00351A9A">
              <w:rPr>
                <w:b/>
              </w:rPr>
              <w:t>(</w:t>
            </w:r>
            <w:proofErr w:type="spellStart"/>
            <w:r w:rsidRPr="00351A9A">
              <w:rPr>
                <w:b/>
              </w:rPr>
              <w:t>Clocal</w:t>
            </w:r>
            <w:r w:rsidRPr="00351A9A">
              <w:rPr>
                <w:b/>
                <w:vertAlign w:val="subscript"/>
              </w:rPr>
              <w:t>compartment</w:t>
            </w:r>
            <w:proofErr w:type="spellEnd"/>
            <w:r w:rsidRPr="00351A9A">
              <w:rPr>
                <w:b/>
              </w:rPr>
              <w:t>) [kg/m³]</w:t>
            </w:r>
          </w:p>
        </w:tc>
        <w:tc>
          <w:tcPr>
            <w:tcW w:w="1852" w:type="pct"/>
            <w:tcBorders>
              <w:top w:val="single" w:sz="4" w:space="0" w:color="000000"/>
              <w:left w:val="nil"/>
              <w:bottom w:val="single" w:sz="4" w:space="0" w:color="000000"/>
              <w:right w:val="single" w:sz="4" w:space="0" w:color="000000"/>
            </w:tcBorders>
            <w:shd w:val="clear" w:color="auto" w:fill="BFBFBF" w:themeFill="background1" w:themeFillShade="BF"/>
            <w:tcMar>
              <w:top w:w="40" w:type="dxa"/>
              <w:left w:w="40" w:type="dxa"/>
              <w:bottom w:w="40" w:type="dxa"/>
              <w:right w:w="40" w:type="dxa"/>
            </w:tcMar>
            <w:vAlign w:val="center"/>
            <w:hideMark/>
          </w:tcPr>
          <w:p w14:paraId="3DFEAD9C" w14:textId="77777777" w:rsidR="00591C41" w:rsidRPr="00351A9A" w:rsidRDefault="00591C41" w:rsidP="00496A65">
            <w:pPr>
              <w:pStyle w:val="Standaard-Tabellen"/>
              <w:rPr>
                <w:b/>
              </w:rPr>
            </w:pPr>
            <w:r w:rsidRPr="00351A9A">
              <w:rPr>
                <w:b/>
              </w:rPr>
              <w:t>Remarks</w:t>
            </w:r>
          </w:p>
        </w:tc>
      </w:tr>
      <w:tr w:rsidR="00591C41" w14:paraId="304AA415" w14:textId="77777777" w:rsidTr="00A34679">
        <w:tc>
          <w:tcPr>
            <w:tcW w:w="1623" w:type="pct"/>
            <w:tcBorders>
              <w:top w:val="nil"/>
              <w:left w:val="single" w:sz="4" w:space="0" w:color="000000"/>
              <w:bottom w:val="single" w:sz="4" w:space="0" w:color="auto"/>
              <w:right w:val="single" w:sz="4" w:space="0" w:color="000000"/>
            </w:tcBorders>
            <w:tcMar>
              <w:top w:w="40" w:type="dxa"/>
              <w:left w:w="40" w:type="dxa"/>
              <w:bottom w:w="40" w:type="dxa"/>
              <w:right w:w="40" w:type="dxa"/>
            </w:tcMar>
            <w:vAlign w:val="center"/>
            <w:hideMark/>
          </w:tcPr>
          <w:p w14:paraId="1BDC8E0D" w14:textId="77777777" w:rsidR="00591C41" w:rsidRDefault="00591C41" w:rsidP="00496A65">
            <w:pPr>
              <w:pStyle w:val="Standaard-Tabellen"/>
            </w:pPr>
            <w:r>
              <w:t>Surface water – after 1 day</w:t>
            </w:r>
          </w:p>
        </w:tc>
        <w:tc>
          <w:tcPr>
            <w:tcW w:w="1525" w:type="pct"/>
            <w:tcBorders>
              <w:top w:val="nil"/>
              <w:left w:val="nil"/>
              <w:bottom w:val="single" w:sz="4" w:space="0" w:color="auto"/>
              <w:right w:val="single" w:sz="4" w:space="0" w:color="000000"/>
            </w:tcBorders>
            <w:tcMar>
              <w:top w:w="40" w:type="dxa"/>
              <w:left w:w="40" w:type="dxa"/>
              <w:bottom w:w="40" w:type="dxa"/>
              <w:right w:w="40" w:type="dxa"/>
            </w:tcMar>
            <w:hideMark/>
          </w:tcPr>
          <w:p w14:paraId="77424C88" w14:textId="5BB8947B" w:rsidR="00591C41" w:rsidRDefault="000949F7" w:rsidP="00496A65">
            <w:pPr>
              <w:pStyle w:val="Standaard-Tabellen"/>
            </w:pPr>
            <w:r>
              <w:t>7.67</w:t>
            </w:r>
            <w:r w:rsidR="00591C41">
              <w:t>x10</w:t>
            </w:r>
            <w:r w:rsidR="00591C41">
              <w:rPr>
                <w:vertAlign w:val="superscript"/>
              </w:rPr>
              <w:t>-7</w:t>
            </w:r>
          </w:p>
        </w:tc>
        <w:tc>
          <w:tcPr>
            <w:tcW w:w="1852" w:type="pct"/>
            <w:tcBorders>
              <w:top w:val="nil"/>
              <w:left w:val="nil"/>
              <w:bottom w:val="single" w:sz="4" w:space="0" w:color="auto"/>
              <w:right w:val="single" w:sz="4" w:space="0" w:color="000000"/>
            </w:tcBorders>
            <w:tcMar>
              <w:top w:w="40" w:type="dxa"/>
              <w:left w:w="40" w:type="dxa"/>
              <w:bottom w:w="40" w:type="dxa"/>
              <w:right w:w="40" w:type="dxa"/>
            </w:tcMar>
            <w:vAlign w:val="center"/>
            <w:hideMark/>
          </w:tcPr>
          <w:p w14:paraId="457EE602" w14:textId="77777777" w:rsidR="00591C41" w:rsidRDefault="00591C41" w:rsidP="00496A65">
            <w:pPr>
              <w:pStyle w:val="Standaard-Tabellen"/>
            </w:pPr>
            <w:r>
              <w:t>/</w:t>
            </w:r>
          </w:p>
        </w:tc>
      </w:tr>
      <w:tr w:rsidR="00591C41" w14:paraId="5C5EFAE5" w14:textId="77777777" w:rsidTr="00A34679">
        <w:tc>
          <w:tcPr>
            <w:tcW w:w="1623" w:type="pct"/>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A858CCD" w14:textId="77777777" w:rsidR="00591C41" w:rsidRDefault="00591C41" w:rsidP="00496A65">
            <w:pPr>
              <w:pStyle w:val="Standaard-Tabellen"/>
            </w:pPr>
            <w:r>
              <w:t>Surface water – after 91 days</w:t>
            </w:r>
          </w:p>
        </w:tc>
        <w:tc>
          <w:tcPr>
            <w:tcW w:w="1525" w:type="pct"/>
            <w:tcBorders>
              <w:top w:val="single" w:sz="4" w:space="0" w:color="auto"/>
              <w:left w:val="nil"/>
              <w:bottom w:val="single" w:sz="4" w:space="0" w:color="000000"/>
              <w:right w:val="single" w:sz="4" w:space="0" w:color="000000"/>
            </w:tcBorders>
            <w:tcMar>
              <w:top w:w="40" w:type="dxa"/>
              <w:left w:w="40" w:type="dxa"/>
              <w:bottom w:w="40" w:type="dxa"/>
              <w:right w:w="40" w:type="dxa"/>
            </w:tcMar>
            <w:hideMark/>
          </w:tcPr>
          <w:p w14:paraId="30775FC7" w14:textId="539FB156" w:rsidR="00591C41" w:rsidRDefault="00591C41" w:rsidP="00496A65">
            <w:pPr>
              <w:pStyle w:val="Standaard-Tabellen"/>
              <w:rPr>
                <w:vertAlign w:val="superscript"/>
              </w:rPr>
            </w:pPr>
            <w:r>
              <w:t>6.</w:t>
            </w:r>
            <w:r w:rsidR="000949F7">
              <w:t>98</w:t>
            </w:r>
            <w:r>
              <w:t>x10</w:t>
            </w:r>
            <w:r>
              <w:rPr>
                <w:vertAlign w:val="superscript"/>
              </w:rPr>
              <w:t>-5</w:t>
            </w:r>
          </w:p>
        </w:tc>
        <w:tc>
          <w:tcPr>
            <w:tcW w:w="1852" w:type="pct"/>
            <w:tcBorders>
              <w:top w:val="single" w:sz="4" w:space="0" w:color="auto"/>
              <w:left w:val="nil"/>
              <w:bottom w:val="single" w:sz="4" w:space="0" w:color="000000"/>
              <w:right w:val="single" w:sz="4" w:space="0" w:color="000000"/>
            </w:tcBorders>
            <w:tcMar>
              <w:top w:w="40" w:type="dxa"/>
              <w:left w:w="40" w:type="dxa"/>
              <w:bottom w:w="40" w:type="dxa"/>
              <w:right w:w="40" w:type="dxa"/>
            </w:tcMar>
            <w:vAlign w:val="center"/>
            <w:hideMark/>
          </w:tcPr>
          <w:p w14:paraId="6EA21DD2" w14:textId="77777777" w:rsidR="00591C41" w:rsidRDefault="00591C41" w:rsidP="00496A65">
            <w:pPr>
              <w:pStyle w:val="Standaard-Tabellen"/>
            </w:pPr>
            <w:r>
              <w:t>(without considering possible degradation)</w:t>
            </w:r>
          </w:p>
        </w:tc>
      </w:tr>
    </w:tbl>
    <w:p w14:paraId="42CC1BE7" w14:textId="77777777" w:rsidR="00591C41" w:rsidRDefault="00591C41" w:rsidP="00496A65"/>
    <w:p w14:paraId="2B57384C" w14:textId="77777777" w:rsidR="00591C41" w:rsidRPr="00FA1978" w:rsidRDefault="00591C41" w:rsidP="00496A65"/>
    <w:p w14:paraId="4C178B1C" w14:textId="77777777" w:rsidR="00591C41" w:rsidRDefault="00591C41" w:rsidP="00496A65">
      <w:pPr>
        <w:rPr>
          <w:highlight w:val="magenta"/>
        </w:rPr>
      </w:pPr>
      <w:r>
        <w:rPr>
          <w:highlight w:val="magenta"/>
        </w:rPr>
        <w:br w:type="page"/>
      </w:r>
    </w:p>
    <w:p w14:paraId="3E40804C" w14:textId="77777777" w:rsidR="00591C41" w:rsidRDefault="00591C41" w:rsidP="00496A65">
      <w:pPr>
        <w:pStyle w:val="Titre5"/>
      </w:pPr>
      <w:bookmarkStart w:id="329" w:name="_Toc8296551"/>
      <w:r>
        <w:lastRenderedPageBreak/>
        <w:t>Fate and distribution in exposed environmental compartments</w:t>
      </w:r>
      <w:bookmarkEnd w:id="329"/>
    </w:p>
    <w:p w14:paraId="4B86B641" w14:textId="77777777" w:rsidR="00591C41" w:rsidRPr="00496A65" w:rsidRDefault="00591C41" w:rsidP="00496A65">
      <w:pPr>
        <w:pStyle w:val="Titre6"/>
        <w:rPr>
          <w:lang w:val="en-US"/>
        </w:rPr>
      </w:pPr>
      <w:r w:rsidRPr="00496A65">
        <w:rPr>
          <w:lang w:val="en-US"/>
        </w:rPr>
        <w:t>Scenario 1:</w:t>
      </w:r>
    </w:p>
    <w:p w14:paraId="0A0AC2DE" w14:textId="77777777" w:rsidR="00591C41" w:rsidRDefault="00591C41" w:rsidP="00496A65">
      <w:r>
        <w:t>Applied product is removed from the body through showering or bathing. The wastewater from washing is then removed to the municipal waste water treatment plant, after which the effluent is emitted to the surface water where it can expose both fresh water and fresh water sediments.</w:t>
      </w:r>
    </w:p>
    <w:p w14:paraId="0D1498A4" w14:textId="4FE580E3" w:rsidR="00287459" w:rsidRDefault="00591C41" w:rsidP="00496A65">
      <w:r>
        <w:t>Exposure to other compartments</w:t>
      </w:r>
      <w:r w:rsidR="00287459">
        <w:t>, such as soil and groundwater,</w:t>
      </w:r>
      <w:r>
        <w:t xml:space="preserve"> is not considered relevant</w:t>
      </w:r>
      <w:r w:rsidR="00287459">
        <w:t xml:space="preserve">. The soil could be exposed through sludge application, but following the STP-distribution detailed </w:t>
      </w:r>
      <w:r w:rsidR="00ED460A">
        <w:t xml:space="preserve">in the third table </w:t>
      </w:r>
      <w:r w:rsidR="00287459">
        <w:t>below, sorption to sewage sludge is unlikely since IR3535 is almost completely degraded.</w:t>
      </w:r>
    </w:p>
    <w:p w14:paraId="59E27DA9" w14:textId="461148CF" w:rsidR="00591C41" w:rsidRDefault="00591C41" w:rsidP="00496A65"/>
    <w:p w14:paraId="60FBB361" w14:textId="77777777" w:rsidR="00591C41" w:rsidRPr="00496A65" w:rsidRDefault="00591C41" w:rsidP="00496A65">
      <w:pPr>
        <w:pStyle w:val="Titre6"/>
        <w:rPr>
          <w:lang w:val="en-US"/>
        </w:rPr>
      </w:pPr>
      <w:r w:rsidRPr="00496A65">
        <w:rPr>
          <w:lang w:val="en-US"/>
        </w:rPr>
        <w:t>Scenario 2:</w:t>
      </w:r>
    </w:p>
    <w:p w14:paraId="331D7B29" w14:textId="77777777" w:rsidR="00591C41" w:rsidRDefault="00591C41" w:rsidP="00496A65">
      <w:r>
        <w:t>Applied product is removed from the body directly to the surface water through swimming, where it can expose both fresh water and fresh water sediments.</w:t>
      </w:r>
    </w:p>
    <w:p w14:paraId="0D0AB574" w14:textId="77777777" w:rsidR="00591C41" w:rsidRDefault="00591C41" w:rsidP="00496A65">
      <w:r>
        <w:t>Exposure to other compartments is not considered relevant.</w:t>
      </w:r>
    </w:p>
    <w:p w14:paraId="6EDFE9A5" w14:textId="77777777" w:rsidR="00591C41" w:rsidRPr="00FD2055" w:rsidRDefault="00591C41"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855"/>
        <w:gridCol w:w="1289"/>
        <w:gridCol w:w="855"/>
        <w:gridCol w:w="1139"/>
        <w:gridCol w:w="571"/>
        <w:gridCol w:w="569"/>
        <w:gridCol w:w="571"/>
        <w:gridCol w:w="1131"/>
        <w:gridCol w:w="1142"/>
      </w:tblGrid>
      <w:tr w:rsidR="00591C41" w:rsidRPr="00351A9A" w14:paraId="44C5C528" w14:textId="77777777" w:rsidTr="00A34679">
        <w:trPr>
          <w:trHeight w:val="333"/>
          <w:tblHeader/>
        </w:trPr>
        <w:tc>
          <w:tcPr>
            <w:tcW w:w="5000" w:type="pct"/>
            <w:gridSpan w:val="10"/>
            <w:shd w:val="clear" w:color="auto" w:fill="FFFFCC"/>
          </w:tcPr>
          <w:p w14:paraId="1F135C39" w14:textId="77777777" w:rsidR="00591C41" w:rsidRPr="00351A9A" w:rsidRDefault="00591C41" w:rsidP="00496A65">
            <w:pPr>
              <w:pStyle w:val="Standaard-Tabellen"/>
              <w:rPr>
                <w:b/>
                <w:color w:val="000000"/>
              </w:rPr>
            </w:pPr>
            <w:r w:rsidRPr="00351A9A">
              <w:rPr>
                <w:b/>
              </w:rPr>
              <w:t>Identification of relevant receiving compartments based on the exposure pathway</w:t>
            </w:r>
          </w:p>
        </w:tc>
      </w:tr>
      <w:tr w:rsidR="00591C41" w:rsidRPr="00351A9A" w14:paraId="02F68971" w14:textId="77777777" w:rsidTr="00A34679">
        <w:trPr>
          <w:tblHeader/>
        </w:trPr>
        <w:tc>
          <w:tcPr>
            <w:tcW w:w="681" w:type="pct"/>
            <w:shd w:val="clear" w:color="auto" w:fill="BFBFBF" w:themeFill="background1" w:themeFillShade="BF"/>
            <w:vAlign w:val="center"/>
          </w:tcPr>
          <w:p w14:paraId="72297030" w14:textId="77777777" w:rsidR="00591C41" w:rsidRPr="00351A9A" w:rsidRDefault="00591C41" w:rsidP="00496A65">
            <w:pPr>
              <w:pStyle w:val="Standaard-Tabellen"/>
              <w:rPr>
                <w:b/>
              </w:rPr>
            </w:pPr>
          </w:p>
        </w:tc>
        <w:tc>
          <w:tcPr>
            <w:tcW w:w="455" w:type="pct"/>
            <w:shd w:val="clear" w:color="auto" w:fill="BFBFBF" w:themeFill="background1" w:themeFillShade="BF"/>
            <w:tcMar>
              <w:top w:w="57" w:type="dxa"/>
              <w:left w:w="70" w:type="dxa"/>
              <w:bottom w:w="57" w:type="dxa"/>
              <w:right w:w="70" w:type="dxa"/>
            </w:tcMar>
            <w:vAlign w:val="center"/>
          </w:tcPr>
          <w:p w14:paraId="3AC1C76A" w14:textId="77777777" w:rsidR="00591C41" w:rsidRPr="00351A9A" w:rsidRDefault="00591C41" w:rsidP="00496A65">
            <w:pPr>
              <w:pStyle w:val="Standaard-Tabellen"/>
              <w:rPr>
                <w:b/>
              </w:rPr>
            </w:pPr>
            <w:r w:rsidRPr="00351A9A">
              <w:rPr>
                <w:b/>
              </w:rPr>
              <w:t>Fresh-water</w:t>
            </w:r>
          </w:p>
        </w:tc>
        <w:tc>
          <w:tcPr>
            <w:tcW w:w="682" w:type="pct"/>
            <w:shd w:val="clear" w:color="auto" w:fill="BFBFBF" w:themeFill="background1" w:themeFillShade="BF"/>
            <w:tcMar>
              <w:top w:w="57" w:type="dxa"/>
              <w:left w:w="70" w:type="dxa"/>
              <w:bottom w:w="57" w:type="dxa"/>
              <w:right w:w="70" w:type="dxa"/>
            </w:tcMar>
            <w:vAlign w:val="center"/>
          </w:tcPr>
          <w:p w14:paraId="370C0F97" w14:textId="77777777" w:rsidR="00591C41" w:rsidRPr="00351A9A" w:rsidRDefault="00591C41" w:rsidP="00496A65">
            <w:pPr>
              <w:pStyle w:val="Standaard-Tabellen"/>
              <w:rPr>
                <w:b/>
              </w:rPr>
            </w:pPr>
            <w:r w:rsidRPr="00351A9A">
              <w:rPr>
                <w:b/>
              </w:rPr>
              <w:t>Freshwater sediment</w:t>
            </w:r>
          </w:p>
        </w:tc>
        <w:tc>
          <w:tcPr>
            <w:tcW w:w="455" w:type="pct"/>
            <w:shd w:val="clear" w:color="auto" w:fill="BFBFBF" w:themeFill="background1" w:themeFillShade="BF"/>
            <w:tcMar>
              <w:top w:w="57" w:type="dxa"/>
              <w:left w:w="70" w:type="dxa"/>
              <w:bottom w:w="57" w:type="dxa"/>
              <w:right w:w="70" w:type="dxa"/>
            </w:tcMar>
            <w:vAlign w:val="center"/>
          </w:tcPr>
          <w:p w14:paraId="64BEE4C7" w14:textId="77777777" w:rsidR="00591C41" w:rsidRPr="00351A9A" w:rsidRDefault="00591C41" w:rsidP="00496A65">
            <w:pPr>
              <w:pStyle w:val="Standaard-Tabellen"/>
              <w:rPr>
                <w:b/>
              </w:rPr>
            </w:pPr>
            <w:r w:rsidRPr="00351A9A">
              <w:rPr>
                <w:b/>
              </w:rPr>
              <w:t>Sea-water</w:t>
            </w:r>
          </w:p>
        </w:tc>
        <w:tc>
          <w:tcPr>
            <w:tcW w:w="606" w:type="pct"/>
            <w:shd w:val="clear" w:color="auto" w:fill="BFBFBF" w:themeFill="background1" w:themeFillShade="BF"/>
            <w:vAlign w:val="center"/>
          </w:tcPr>
          <w:p w14:paraId="0A5B86BB" w14:textId="77777777" w:rsidR="00591C41" w:rsidRPr="00351A9A" w:rsidRDefault="00591C41" w:rsidP="00496A65">
            <w:pPr>
              <w:pStyle w:val="Standaard-Tabellen"/>
              <w:rPr>
                <w:b/>
              </w:rPr>
            </w:pPr>
            <w:r w:rsidRPr="00351A9A">
              <w:rPr>
                <w:b/>
              </w:rPr>
              <w:t>Seawater sediment</w:t>
            </w:r>
          </w:p>
        </w:tc>
        <w:tc>
          <w:tcPr>
            <w:tcW w:w="304" w:type="pct"/>
            <w:shd w:val="clear" w:color="auto" w:fill="BFBFBF" w:themeFill="background1" w:themeFillShade="BF"/>
            <w:vAlign w:val="center"/>
          </w:tcPr>
          <w:p w14:paraId="744C5EA4" w14:textId="77777777" w:rsidR="00591C41" w:rsidRPr="00351A9A" w:rsidRDefault="00591C41" w:rsidP="00496A65">
            <w:pPr>
              <w:pStyle w:val="Standaard-Tabellen"/>
              <w:rPr>
                <w:b/>
              </w:rPr>
            </w:pPr>
            <w:r w:rsidRPr="00351A9A">
              <w:rPr>
                <w:b/>
              </w:rPr>
              <w:t>STP</w:t>
            </w:r>
          </w:p>
        </w:tc>
        <w:tc>
          <w:tcPr>
            <w:tcW w:w="303" w:type="pct"/>
            <w:shd w:val="clear" w:color="auto" w:fill="BFBFBF" w:themeFill="background1" w:themeFillShade="BF"/>
            <w:vAlign w:val="center"/>
          </w:tcPr>
          <w:p w14:paraId="30D7A7F3" w14:textId="77777777" w:rsidR="00591C41" w:rsidRPr="00351A9A" w:rsidRDefault="00591C41" w:rsidP="00496A65">
            <w:pPr>
              <w:pStyle w:val="Standaard-Tabellen"/>
              <w:rPr>
                <w:b/>
              </w:rPr>
            </w:pPr>
            <w:r w:rsidRPr="00351A9A">
              <w:rPr>
                <w:b/>
              </w:rPr>
              <w:t>Air</w:t>
            </w:r>
          </w:p>
        </w:tc>
        <w:tc>
          <w:tcPr>
            <w:tcW w:w="304" w:type="pct"/>
            <w:shd w:val="clear" w:color="auto" w:fill="BFBFBF" w:themeFill="background1" w:themeFillShade="BF"/>
            <w:vAlign w:val="center"/>
          </w:tcPr>
          <w:p w14:paraId="5C52DE2E" w14:textId="77777777" w:rsidR="00591C41" w:rsidRPr="00351A9A" w:rsidRDefault="00591C41" w:rsidP="00496A65">
            <w:pPr>
              <w:pStyle w:val="Standaard-Tabellen"/>
              <w:rPr>
                <w:b/>
              </w:rPr>
            </w:pPr>
            <w:r w:rsidRPr="00351A9A">
              <w:rPr>
                <w:b/>
              </w:rPr>
              <w:t>Soil</w:t>
            </w:r>
          </w:p>
        </w:tc>
        <w:tc>
          <w:tcPr>
            <w:tcW w:w="602" w:type="pct"/>
            <w:shd w:val="clear" w:color="auto" w:fill="BFBFBF" w:themeFill="background1" w:themeFillShade="BF"/>
            <w:vAlign w:val="center"/>
          </w:tcPr>
          <w:p w14:paraId="722280CC" w14:textId="77777777" w:rsidR="00591C41" w:rsidRPr="00351A9A" w:rsidRDefault="00591C41" w:rsidP="00496A65">
            <w:pPr>
              <w:pStyle w:val="Standaard-Tabellen"/>
              <w:rPr>
                <w:b/>
              </w:rPr>
            </w:pPr>
            <w:r w:rsidRPr="00351A9A">
              <w:rPr>
                <w:b/>
              </w:rPr>
              <w:t>Ground-water</w:t>
            </w:r>
          </w:p>
        </w:tc>
        <w:tc>
          <w:tcPr>
            <w:tcW w:w="607" w:type="pct"/>
            <w:shd w:val="clear" w:color="auto" w:fill="BFBFBF" w:themeFill="background1" w:themeFillShade="BF"/>
            <w:tcMar>
              <w:top w:w="57" w:type="dxa"/>
              <w:left w:w="70" w:type="dxa"/>
              <w:bottom w:w="57" w:type="dxa"/>
              <w:right w:w="70" w:type="dxa"/>
            </w:tcMar>
            <w:vAlign w:val="center"/>
          </w:tcPr>
          <w:p w14:paraId="30B3F624" w14:textId="77777777" w:rsidR="00591C41" w:rsidRPr="00351A9A" w:rsidRDefault="00591C41" w:rsidP="00496A65">
            <w:pPr>
              <w:pStyle w:val="Standaard-Tabellen"/>
              <w:rPr>
                <w:b/>
              </w:rPr>
            </w:pPr>
            <w:r w:rsidRPr="00351A9A">
              <w:rPr>
                <w:b/>
              </w:rPr>
              <w:t>Other</w:t>
            </w:r>
          </w:p>
        </w:tc>
      </w:tr>
      <w:tr w:rsidR="00591C41" w:rsidRPr="00FD2055" w14:paraId="782EB821" w14:textId="77777777" w:rsidTr="00A34679">
        <w:trPr>
          <w:tblHeader/>
        </w:trPr>
        <w:tc>
          <w:tcPr>
            <w:tcW w:w="681" w:type="pct"/>
            <w:shd w:val="clear" w:color="auto" w:fill="auto"/>
            <w:tcMar>
              <w:top w:w="57" w:type="dxa"/>
              <w:left w:w="70" w:type="dxa"/>
              <w:bottom w:w="57" w:type="dxa"/>
              <w:right w:w="70" w:type="dxa"/>
            </w:tcMar>
            <w:vAlign w:val="center"/>
          </w:tcPr>
          <w:p w14:paraId="470356AB" w14:textId="77777777" w:rsidR="00591C41" w:rsidRPr="00FD2055" w:rsidRDefault="00591C41" w:rsidP="00496A65">
            <w:pPr>
              <w:pStyle w:val="Standaard-Tabellen"/>
            </w:pPr>
            <w:r w:rsidRPr="00FD2055">
              <w:t>Scenario 1</w:t>
            </w:r>
          </w:p>
        </w:tc>
        <w:tc>
          <w:tcPr>
            <w:tcW w:w="455" w:type="pct"/>
            <w:shd w:val="clear" w:color="auto" w:fill="auto"/>
            <w:tcMar>
              <w:top w:w="57" w:type="dxa"/>
              <w:left w:w="70" w:type="dxa"/>
              <w:bottom w:w="57" w:type="dxa"/>
              <w:right w:w="70" w:type="dxa"/>
            </w:tcMar>
            <w:vAlign w:val="center"/>
          </w:tcPr>
          <w:p w14:paraId="6620B4D0" w14:textId="77777777" w:rsidR="00591C41" w:rsidRPr="00FD2055" w:rsidRDefault="00591C41" w:rsidP="00496A65">
            <w:pPr>
              <w:pStyle w:val="Standaard-Tabellen"/>
            </w:pPr>
            <w:r>
              <w:t>yes</w:t>
            </w:r>
          </w:p>
        </w:tc>
        <w:tc>
          <w:tcPr>
            <w:tcW w:w="682" w:type="pct"/>
            <w:shd w:val="clear" w:color="auto" w:fill="auto"/>
            <w:tcMar>
              <w:top w:w="57" w:type="dxa"/>
              <w:left w:w="70" w:type="dxa"/>
              <w:bottom w:w="57" w:type="dxa"/>
              <w:right w:w="70" w:type="dxa"/>
            </w:tcMar>
            <w:vAlign w:val="center"/>
          </w:tcPr>
          <w:p w14:paraId="0FC5867A" w14:textId="77777777" w:rsidR="00591C41" w:rsidRPr="00FD2055" w:rsidRDefault="00591C41" w:rsidP="00496A65">
            <w:pPr>
              <w:pStyle w:val="Standaard-Tabellen"/>
            </w:pPr>
            <w:r>
              <w:t>yes</w:t>
            </w:r>
          </w:p>
        </w:tc>
        <w:tc>
          <w:tcPr>
            <w:tcW w:w="455" w:type="pct"/>
            <w:shd w:val="clear" w:color="auto" w:fill="auto"/>
            <w:tcMar>
              <w:top w:w="57" w:type="dxa"/>
              <w:left w:w="70" w:type="dxa"/>
              <w:bottom w:w="57" w:type="dxa"/>
              <w:right w:w="70" w:type="dxa"/>
            </w:tcMar>
            <w:vAlign w:val="center"/>
          </w:tcPr>
          <w:p w14:paraId="27C4B3EA" w14:textId="77777777" w:rsidR="00591C41" w:rsidRPr="00FD2055" w:rsidRDefault="00591C41" w:rsidP="00496A65">
            <w:pPr>
              <w:pStyle w:val="Standaard-Tabellen"/>
            </w:pPr>
            <w:r>
              <w:t>no</w:t>
            </w:r>
          </w:p>
        </w:tc>
        <w:tc>
          <w:tcPr>
            <w:tcW w:w="606" w:type="pct"/>
            <w:shd w:val="clear" w:color="auto" w:fill="auto"/>
            <w:vAlign w:val="center"/>
          </w:tcPr>
          <w:p w14:paraId="4036D753" w14:textId="77777777" w:rsidR="00591C41" w:rsidRPr="00FD2055" w:rsidRDefault="00591C41" w:rsidP="00496A65">
            <w:pPr>
              <w:pStyle w:val="Standaard-Tabellen"/>
            </w:pPr>
            <w:r>
              <w:t>no</w:t>
            </w:r>
          </w:p>
        </w:tc>
        <w:tc>
          <w:tcPr>
            <w:tcW w:w="304" w:type="pct"/>
            <w:shd w:val="clear" w:color="auto" w:fill="auto"/>
            <w:vAlign w:val="center"/>
          </w:tcPr>
          <w:p w14:paraId="12EF514A" w14:textId="77777777" w:rsidR="00591C41" w:rsidRPr="00FD2055" w:rsidRDefault="00591C41" w:rsidP="00496A65">
            <w:pPr>
              <w:pStyle w:val="Standaard-Tabellen"/>
            </w:pPr>
            <w:r>
              <w:t>yes</w:t>
            </w:r>
          </w:p>
        </w:tc>
        <w:tc>
          <w:tcPr>
            <w:tcW w:w="303" w:type="pct"/>
            <w:shd w:val="clear" w:color="auto" w:fill="auto"/>
            <w:vAlign w:val="center"/>
          </w:tcPr>
          <w:p w14:paraId="020E37F6" w14:textId="77777777" w:rsidR="00591C41" w:rsidRPr="00FD2055" w:rsidRDefault="00591C41" w:rsidP="00496A65">
            <w:pPr>
              <w:pStyle w:val="Standaard-Tabellen"/>
            </w:pPr>
            <w:r>
              <w:t>no</w:t>
            </w:r>
          </w:p>
        </w:tc>
        <w:tc>
          <w:tcPr>
            <w:tcW w:w="304" w:type="pct"/>
          </w:tcPr>
          <w:p w14:paraId="7685950E" w14:textId="77777777" w:rsidR="00591C41" w:rsidRPr="00FD2055" w:rsidRDefault="00591C41" w:rsidP="00496A65">
            <w:pPr>
              <w:pStyle w:val="Standaard-Tabellen"/>
            </w:pPr>
            <w:r>
              <w:t>no</w:t>
            </w:r>
          </w:p>
        </w:tc>
        <w:tc>
          <w:tcPr>
            <w:tcW w:w="602" w:type="pct"/>
          </w:tcPr>
          <w:p w14:paraId="7DB43F3B" w14:textId="77777777" w:rsidR="00591C41" w:rsidRPr="00FD2055" w:rsidRDefault="00591C41" w:rsidP="00496A65">
            <w:pPr>
              <w:pStyle w:val="Standaard-Tabellen"/>
            </w:pPr>
            <w:r>
              <w:t>no</w:t>
            </w:r>
          </w:p>
        </w:tc>
        <w:tc>
          <w:tcPr>
            <w:tcW w:w="607" w:type="pct"/>
            <w:shd w:val="clear" w:color="auto" w:fill="auto"/>
            <w:tcMar>
              <w:top w:w="57" w:type="dxa"/>
              <w:left w:w="70" w:type="dxa"/>
              <w:bottom w:w="57" w:type="dxa"/>
              <w:right w:w="70" w:type="dxa"/>
            </w:tcMar>
            <w:vAlign w:val="center"/>
          </w:tcPr>
          <w:p w14:paraId="06EAC907" w14:textId="77777777" w:rsidR="00591C41" w:rsidRPr="00FD2055" w:rsidRDefault="00591C41" w:rsidP="00496A65">
            <w:pPr>
              <w:pStyle w:val="Standaard-Tabellen"/>
            </w:pPr>
            <w:r>
              <w:t>no</w:t>
            </w:r>
          </w:p>
        </w:tc>
      </w:tr>
      <w:tr w:rsidR="00591C41" w:rsidRPr="00FD2055" w14:paraId="48E05287" w14:textId="77777777" w:rsidTr="00A34679">
        <w:trPr>
          <w:tblHeader/>
        </w:trPr>
        <w:tc>
          <w:tcPr>
            <w:tcW w:w="681" w:type="pct"/>
            <w:shd w:val="clear" w:color="auto" w:fill="auto"/>
            <w:tcMar>
              <w:top w:w="57" w:type="dxa"/>
              <w:left w:w="70" w:type="dxa"/>
              <w:bottom w:w="57" w:type="dxa"/>
              <w:right w:w="70" w:type="dxa"/>
            </w:tcMar>
            <w:vAlign w:val="center"/>
          </w:tcPr>
          <w:p w14:paraId="335AB8BC" w14:textId="77777777" w:rsidR="00591C41" w:rsidRPr="00FD2055" w:rsidRDefault="00591C41" w:rsidP="00496A65">
            <w:pPr>
              <w:pStyle w:val="Standaard-Tabellen"/>
            </w:pPr>
            <w:r w:rsidRPr="00FD2055">
              <w:t xml:space="preserve">Scenario </w:t>
            </w:r>
            <w:r>
              <w:t>2</w:t>
            </w:r>
          </w:p>
        </w:tc>
        <w:tc>
          <w:tcPr>
            <w:tcW w:w="455" w:type="pct"/>
            <w:shd w:val="clear" w:color="auto" w:fill="auto"/>
            <w:tcMar>
              <w:top w:w="57" w:type="dxa"/>
              <w:left w:w="70" w:type="dxa"/>
              <w:bottom w:w="57" w:type="dxa"/>
              <w:right w:w="70" w:type="dxa"/>
            </w:tcMar>
            <w:vAlign w:val="center"/>
          </w:tcPr>
          <w:p w14:paraId="3A6DC9C2" w14:textId="77777777" w:rsidR="00591C41" w:rsidRPr="00FD2055" w:rsidRDefault="00591C41" w:rsidP="00496A65">
            <w:pPr>
              <w:pStyle w:val="Standaard-Tabellen"/>
            </w:pPr>
            <w:r>
              <w:t>yes</w:t>
            </w:r>
          </w:p>
        </w:tc>
        <w:tc>
          <w:tcPr>
            <w:tcW w:w="682" w:type="pct"/>
            <w:shd w:val="clear" w:color="auto" w:fill="auto"/>
            <w:tcMar>
              <w:top w:w="57" w:type="dxa"/>
              <w:left w:w="70" w:type="dxa"/>
              <w:bottom w:w="57" w:type="dxa"/>
              <w:right w:w="70" w:type="dxa"/>
            </w:tcMar>
            <w:vAlign w:val="center"/>
          </w:tcPr>
          <w:p w14:paraId="20E1D991" w14:textId="77777777" w:rsidR="00591C41" w:rsidRPr="00FD2055" w:rsidRDefault="00591C41" w:rsidP="00496A65">
            <w:pPr>
              <w:pStyle w:val="Standaard-Tabellen"/>
            </w:pPr>
            <w:r>
              <w:t>yes</w:t>
            </w:r>
          </w:p>
        </w:tc>
        <w:tc>
          <w:tcPr>
            <w:tcW w:w="455" w:type="pct"/>
            <w:shd w:val="clear" w:color="auto" w:fill="auto"/>
            <w:tcMar>
              <w:top w:w="57" w:type="dxa"/>
              <w:left w:w="70" w:type="dxa"/>
              <w:bottom w:w="57" w:type="dxa"/>
              <w:right w:w="70" w:type="dxa"/>
            </w:tcMar>
            <w:vAlign w:val="center"/>
          </w:tcPr>
          <w:p w14:paraId="13644B19" w14:textId="77777777" w:rsidR="00591C41" w:rsidRPr="00FD2055" w:rsidRDefault="00591C41" w:rsidP="00496A65">
            <w:pPr>
              <w:pStyle w:val="Standaard-Tabellen"/>
            </w:pPr>
            <w:r>
              <w:t>no</w:t>
            </w:r>
          </w:p>
        </w:tc>
        <w:tc>
          <w:tcPr>
            <w:tcW w:w="606" w:type="pct"/>
            <w:shd w:val="clear" w:color="auto" w:fill="auto"/>
            <w:vAlign w:val="center"/>
          </w:tcPr>
          <w:p w14:paraId="09A1B323" w14:textId="77777777" w:rsidR="00591C41" w:rsidRPr="00FD2055" w:rsidRDefault="00591C41" w:rsidP="00496A65">
            <w:pPr>
              <w:pStyle w:val="Standaard-Tabellen"/>
            </w:pPr>
            <w:r>
              <w:t>no</w:t>
            </w:r>
          </w:p>
        </w:tc>
        <w:tc>
          <w:tcPr>
            <w:tcW w:w="304" w:type="pct"/>
            <w:shd w:val="clear" w:color="auto" w:fill="auto"/>
            <w:vAlign w:val="center"/>
          </w:tcPr>
          <w:p w14:paraId="1B61E9E8" w14:textId="77777777" w:rsidR="00591C41" w:rsidRPr="00FD2055" w:rsidRDefault="00591C41" w:rsidP="00496A65">
            <w:pPr>
              <w:pStyle w:val="Standaard-Tabellen"/>
            </w:pPr>
            <w:r>
              <w:t>no</w:t>
            </w:r>
          </w:p>
        </w:tc>
        <w:tc>
          <w:tcPr>
            <w:tcW w:w="303" w:type="pct"/>
            <w:shd w:val="clear" w:color="auto" w:fill="auto"/>
            <w:vAlign w:val="center"/>
          </w:tcPr>
          <w:p w14:paraId="165738DC" w14:textId="77777777" w:rsidR="00591C41" w:rsidRPr="00FD2055" w:rsidRDefault="00591C41" w:rsidP="00496A65">
            <w:pPr>
              <w:pStyle w:val="Standaard-Tabellen"/>
            </w:pPr>
            <w:r>
              <w:t>no</w:t>
            </w:r>
          </w:p>
        </w:tc>
        <w:tc>
          <w:tcPr>
            <w:tcW w:w="304" w:type="pct"/>
          </w:tcPr>
          <w:p w14:paraId="2B2CFFA7" w14:textId="77777777" w:rsidR="00591C41" w:rsidRPr="00FD2055" w:rsidRDefault="00591C41" w:rsidP="00496A65">
            <w:pPr>
              <w:pStyle w:val="Standaard-Tabellen"/>
            </w:pPr>
            <w:r>
              <w:t>no</w:t>
            </w:r>
          </w:p>
        </w:tc>
        <w:tc>
          <w:tcPr>
            <w:tcW w:w="602" w:type="pct"/>
          </w:tcPr>
          <w:p w14:paraId="78587831" w14:textId="77777777" w:rsidR="00591C41" w:rsidRPr="00FD2055" w:rsidRDefault="00591C41" w:rsidP="00496A65">
            <w:pPr>
              <w:pStyle w:val="Standaard-Tabellen"/>
            </w:pPr>
            <w:r>
              <w:t>no</w:t>
            </w:r>
          </w:p>
        </w:tc>
        <w:tc>
          <w:tcPr>
            <w:tcW w:w="607" w:type="pct"/>
            <w:shd w:val="clear" w:color="auto" w:fill="auto"/>
            <w:tcMar>
              <w:top w:w="57" w:type="dxa"/>
              <w:left w:w="70" w:type="dxa"/>
              <w:bottom w:w="57" w:type="dxa"/>
              <w:right w:w="70" w:type="dxa"/>
            </w:tcMar>
            <w:vAlign w:val="center"/>
          </w:tcPr>
          <w:p w14:paraId="7507D76C" w14:textId="77777777" w:rsidR="00591C41" w:rsidRPr="00FD2055" w:rsidRDefault="00591C41" w:rsidP="00496A65">
            <w:pPr>
              <w:pStyle w:val="Standaard-Tabellen"/>
            </w:pPr>
            <w:r>
              <w:t>no</w:t>
            </w:r>
          </w:p>
        </w:tc>
      </w:tr>
    </w:tbl>
    <w:p w14:paraId="60CAEE77" w14:textId="77777777" w:rsidR="00591C41" w:rsidRPr="00FD2055" w:rsidRDefault="00591C41"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505"/>
        <w:gridCol w:w="1273"/>
        <w:gridCol w:w="1153"/>
      </w:tblGrid>
      <w:tr w:rsidR="00591C41" w:rsidRPr="00351A9A" w14:paraId="697E6F93" w14:textId="77777777" w:rsidTr="00A34679">
        <w:trPr>
          <w:trHeight w:val="313"/>
        </w:trPr>
        <w:tc>
          <w:tcPr>
            <w:tcW w:w="5000" w:type="pct"/>
            <w:gridSpan w:val="4"/>
            <w:shd w:val="clear" w:color="auto" w:fill="FFFFCC"/>
            <w:vAlign w:val="center"/>
          </w:tcPr>
          <w:p w14:paraId="642B3ADF" w14:textId="77777777" w:rsidR="00591C41" w:rsidRPr="00351A9A" w:rsidRDefault="00591C41" w:rsidP="00496A65">
            <w:pPr>
              <w:pStyle w:val="Standaard-Tabellen"/>
              <w:rPr>
                <w:b/>
              </w:rPr>
            </w:pPr>
            <w:r w:rsidRPr="00351A9A">
              <w:rPr>
                <w:b/>
              </w:rPr>
              <w:t>Input parameters (only set values) for calculating the fate and distribution in the environment</w:t>
            </w:r>
          </w:p>
        </w:tc>
      </w:tr>
      <w:tr w:rsidR="00591C41" w:rsidRPr="00351A9A" w14:paraId="0518B3F4" w14:textId="77777777" w:rsidTr="00A34679">
        <w:trPr>
          <w:trHeight w:val="313"/>
        </w:trPr>
        <w:tc>
          <w:tcPr>
            <w:tcW w:w="2378" w:type="pct"/>
            <w:shd w:val="clear" w:color="auto" w:fill="BFBFBF" w:themeFill="background1" w:themeFillShade="BF"/>
            <w:vAlign w:val="center"/>
          </w:tcPr>
          <w:p w14:paraId="328B5031" w14:textId="77777777" w:rsidR="00591C41" w:rsidRPr="00351A9A" w:rsidRDefault="00591C41" w:rsidP="00496A65">
            <w:pPr>
              <w:pStyle w:val="Standaard-Tabellen"/>
              <w:rPr>
                <w:b/>
              </w:rPr>
            </w:pPr>
            <w:r w:rsidRPr="00351A9A">
              <w:rPr>
                <w:b/>
              </w:rPr>
              <w:t xml:space="preserve">Input </w:t>
            </w:r>
          </w:p>
        </w:tc>
        <w:tc>
          <w:tcPr>
            <w:tcW w:w="1332" w:type="pct"/>
            <w:shd w:val="clear" w:color="auto" w:fill="BFBFBF" w:themeFill="background1" w:themeFillShade="BF"/>
            <w:vAlign w:val="center"/>
          </w:tcPr>
          <w:p w14:paraId="25902FF5" w14:textId="77777777" w:rsidR="00591C41" w:rsidRPr="00351A9A" w:rsidRDefault="00591C41" w:rsidP="00496A65">
            <w:pPr>
              <w:pStyle w:val="Standaard-Tabellen"/>
              <w:rPr>
                <w:b/>
              </w:rPr>
            </w:pPr>
            <w:r w:rsidRPr="00351A9A">
              <w:rPr>
                <w:b/>
              </w:rPr>
              <w:t xml:space="preserve">Value </w:t>
            </w:r>
          </w:p>
        </w:tc>
        <w:tc>
          <w:tcPr>
            <w:tcW w:w="677" w:type="pct"/>
            <w:shd w:val="clear" w:color="auto" w:fill="BFBFBF" w:themeFill="background1" w:themeFillShade="BF"/>
            <w:vAlign w:val="center"/>
          </w:tcPr>
          <w:p w14:paraId="278CA0C6" w14:textId="77777777" w:rsidR="00591C41" w:rsidRPr="00351A9A" w:rsidRDefault="00591C41" w:rsidP="00496A65">
            <w:pPr>
              <w:pStyle w:val="Standaard-Tabellen"/>
              <w:rPr>
                <w:b/>
              </w:rPr>
            </w:pPr>
            <w:r w:rsidRPr="00351A9A">
              <w:rPr>
                <w:b/>
              </w:rPr>
              <w:t>Unit</w:t>
            </w:r>
          </w:p>
        </w:tc>
        <w:tc>
          <w:tcPr>
            <w:tcW w:w="613" w:type="pct"/>
            <w:shd w:val="clear" w:color="auto" w:fill="BFBFBF" w:themeFill="background1" w:themeFillShade="BF"/>
            <w:vAlign w:val="center"/>
          </w:tcPr>
          <w:p w14:paraId="59008C71" w14:textId="77777777" w:rsidR="00591C41" w:rsidRPr="00351A9A" w:rsidRDefault="00591C41" w:rsidP="00496A65">
            <w:pPr>
              <w:pStyle w:val="Standaard-Tabellen"/>
              <w:rPr>
                <w:b/>
              </w:rPr>
            </w:pPr>
            <w:r w:rsidRPr="00351A9A">
              <w:rPr>
                <w:b/>
              </w:rPr>
              <w:t>Remarks</w:t>
            </w:r>
          </w:p>
        </w:tc>
      </w:tr>
      <w:tr w:rsidR="00591C41" w:rsidRPr="00FD2055" w14:paraId="7D869446" w14:textId="77777777" w:rsidTr="00A34679">
        <w:trPr>
          <w:trHeight w:val="75"/>
        </w:trPr>
        <w:tc>
          <w:tcPr>
            <w:tcW w:w="2378" w:type="pct"/>
            <w:shd w:val="clear" w:color="auto" w:fill="FFFFFF"/>
            <w:vAlign w:val="center"/>
          </w:tcPr>
          <w:p w14:paraId="1FBC5682" w14:textId="77777777" w:rsidR="00591C41" w:rsidRPr="00FD2055" w:rsidRDefault="00591C41" w:rsidP="00496A65">
            <w:pPr>
              <w:pStyle w:val="Standaard-Tabellen"/>
            </w:pPr>
            <w:r w:rsidRPr="00FD2055">
              <w:t>Molecular weight</w:t>
            </w:r>
          </w:p>
        </w:tc>
        <w:tc>
          <w:tcPr>
            <w:tcW w:w="1332" w:type="pct"/>
            <w:shd w:val="clear" w:color="auto" w:fill="FFFFFF"/>
            <w:vAlign w:val="center"/>
          </w:tcPr>
          <w:p w14:paraId="174F7BEA" w14:textId="77777777" w:rsidR="00591C41" w:rsidRPr="00FD2055" w:rsidRDefault="00591C41" w:rsidP="00496A65">
            <w:pPr>
              <w:pStyle w:val="Standaard-Tabellen"/>
            </w:pPr>
            <w:r>
              <w:t>215.29</w:t>
            </w:r>
          </w:p>
        </w:tc>
        <w:tc>
          <w:tcPr>
            <w:tcW w:w="677" w:type="pct"/>
            <w:shd w:val="clear" w:color="auto" w:fill="FFFFFF"/>
            <w:vAlign w:val="center"/>
          </w:tcPr>
          <w:p w14:paraId="5F518CCF" w14:textId="0BC667FE" w:rsidR="00591C41" w:rsidRPr="00FD2055" w:rsidRDefault="00DD0D62" w:rsidP="00496A65">
            <w:pPr>
              <w:pStyle w:val="Standaard-Tabellen"/>
            </w:pPr>
            <w:r>
              <w:t>g/</w:t>
            </w:r>
            <w:proofErr w:type="spellStart"/>
            <w:r>
              <w:t>mol</w:t>
            </w:r>
            <w:proofErr w:type="spellEnd"/>
          </w:p>
        </w:tc>
        <w:tc>
          <w:tcPr>
            <w:tcW w:w="613" w:type="pct"/>
            <w:shd w:val="clear" w:color="auto" w:fill="FFFFFF"/>
            <w:vAlign w:val="center"/>
          </w:tcPr>
          <w:p w14:paraId="5693C201" w14:textId="77777777" w:rsidR="00591C41" w:rsidRPr="00FD2055" w:rsidRDefault="00591C41" w:rsidP="00496A65">
            <w:pPr>
              <w:pStyle w:val="Standaard-Tabellen"/>
            </w:pPr>
          </w:p>
        </w:tc>
      </w:tr>
      <w:tr w:rsidR="00591C41" w:rsidRPr="00FD2055" w14:paraId="098CDB12" w14:textId="77777777" w:rsidTr="00A34679">
        <w:trPr>
          <w:trHeight w:val="75"/>
        </w:trPr>
        <w:tc>
          <w:tcPr>
            <w:tcW w:w="2378" w:type="pct"/>
            <w:shd w:val="clear" w:color="auto" w:fill="FFFFFF"/>
            <w:vAlign w:val="center"/>
          </w:tcPr>
          <w:p w14:paraId="2EF3418F" w14:textId="77777777" w:rsidR="00591C41" w:rsidRPr="00FD2055" w:rsidRDefault="00591C41" w:rsidP="00496A65">
            <w:pPr>
              <w:pStyle w:val="Standaard-Tabellen"/>
            </w:pPr>
            <w:r w:rsidRPr="00FD2055">
              <w:t>Melting point</w:t>
            </w:r>
          </w:p>
        </w:tc>
        <w:tc>
          <w:tcPr>
            <w:tcW w:w="1332" w:type="pct"/>
            <w:shd w:val="clear" w:color="auto" w:fill="FFFFFF"/>
            <w:vAlign w:val="center"/>
          </w:tcPr>
          <w:p w14:paraId="4526D5CD" w14:textId="77777777" w:rsidR="00591C41" w:rsidRPr="00FD2055" w:rsidRDefault="00591C41" w:rsidP="00496A65">
            <w:pPr>
              <w:pStyle w:val="Standaard-Tabellen"/>
            </w:pPr>
            <w:r>
              <w:t>-90</w:t>
            </w:r>
          </w:p>
        </w:tc>
        <w:tc>
          <w:tcPr>
            <w:tcW w:w="677" w:type="pct"/>
            <w:shd w:val="clear" w:color="auto" w:fill="FFFFFF"/>
            <w:vAlign w:val="center"/>
          </w:tcPr>
          <w:p w14:paraId="7DE504EB" w14:textId="77777777" w:rsidR="00591C41" w:rsidRPr="00FD2055" w:rsidRDefault="00591C41" w:rsidP="00496A65">
            <w:pPr>
              <w:pStyle w:val="Standaard-Tabellen"/>
            </w:pPr>
            <w:r w:rsidRPr="00FD2055">
              <w:t>°C</w:t>
            </w:r>
          </w:p>
        </w:tc>
        <w:tc>
          <w:tcPr>
            <w:tcW w:w="613" w:type="pct"/>
            <w:shd w:val="clear" w:color="auto" w:fill="FFFFFF"/>
            <w:vAlign w:val="center"/>
          </w:tcPr>
          <w:p w14:paraId="55FA9757" w14:textId="77777777" w:rsidR="00591C41" w:rsidRPr="00FD2055" w:rsidRDefault="00591C41" w:rsidP="00496A65">
            <w:pPr>
              <w:pStyle w:val="Standaard-Tabellen"/>
            </w:pPr>
          </w:p>
        </w:tc>
      </w:tr>
      <w:tr w:rsidR="00591C41" w:rsidRPr="00FD2055" w14:paraId="6ADE3CB1" w14:textId="77777777" w:rsidTr="00A34679">
        <w:trPr>
          <w:trHeight w:val="75"/>
        </w:trPr>
        <w:tc>
          <w:tcPr>
            <w:tcW w:w="2378" w:type="pct"/>
            <w:shd w:val="clear" w:color="auto" w:fill="FFFFFF"/>
            <w:vAlign w:val="center"/>
          </w:tcPr>
          <w:p w14:paraId="7BBCFBAE" w14:textId="77777777" w:rsidR="00591C41" w:rsidRPr="00FD2055" w:rsidRDefault="00591C41" w:rsidP="00496A65">
            <w:pPr>
              <w:pStyle w:val="Standaard-Tabellen"/>
            </w:pPr>
            <w:r w:rsidRPr="00FD2055">
              <w:t>Boiling point</w:t>
            </w:r>
          </w:p>
        </w:tc>
        <w:tc>
          <w:tcPr>
            <w:tcW w:w="1332" w:type="pct"/>
            <w:shd w:val="clear" w:color="auto" w:fill="FFFFFF"/>
            <w:vAlign w:val="center"/>
          </w:tcPr>
          <w:p w14:paraId="1C10409E" w14:textId="77777777" w:rsidR="00591C41" w:rsidRPr="00FD2055" w:rsidRDefault="00591C41" w:rsidP="00496A65">
            <w:pPr>
              <w:pStyle w:val="Standaard-Tabellen"/>
            </w:pPr>
            <w:r>
              <w:t>300</w:t>
            </w:r>
          </w:p>
        </w:tc>
        <w:tc>
          <w:tcPr>
            <w:tcW w:w="677" w:type="pct"/>
            <w:shd w:val="clear" w:color="auto" w:fill="FFFFFF"/>
            <w:vAlign w:val="center"/>
          </w:tcPr>
          <w:p w14:paraId="368BB15C" w14:textId="77777777" w:rsidR="00591C41" w:rsidRPr="00FD2055" w:rsidRDefault="00591C41" w:rsidP="00496A65">
            <w:pPr>
              <w:pStyle w:val="Standaard-Tabellen"/>
            </w:pPr>
            <w:r w:rsidRPr="00FD2055">
              <w:t>°C</w:t>
            </w:r>
          </w:p>
        </w:tc>
        <w:tc>
          <w:tcPr>
            <w:tcW w:w="613" w:type="pct"/>
            <w:shd w:val="clear" w:color="auto" w:fill="FFFFFF"/>
            <w:vAlign w:val="center"/>
          </w:tcPr>
          <w:p w14:paraId="281FE699" w14:textId="77777777" w:rsidR="00591C41" w:rsidRPr="00FD2055" w:rsidRDefault="00591C41" w:rsidP="00496A65">
            <w:pPr>
              <w:pStyle w:val="Standaard-Tabellen"/>
            </w:pPr>
          </w:p>
        </w:tc>
      </w:tr>
      <w:tr w:rsidR="00591C41" w:rsidRPr="00FD2055" w14:paraId="29C884C2" w14:textId="77777777" w:rsidTr="00A34679">
        <w:trPr>
          <w:trHeight w:val="75"/>
        </w:trPr>
        <w:tc>
          <w:tcPr>
            <w:tcW w:w="2378" w:type="pct"/>
            <w:shd w:val="clear" w:color="auto" w:fill="FFFFFF"/>
            <w:vAlign w:val="center"/>
          </w:tcPr>
          <w:p w14:paraId="6ACB4C95" w14:textId="77777777" w:rsidR="00591C41" w:rsidRPr="00FD2055" w:rsidRDefault="00591C41" w:rsidP="00496A65">
            <w:pPr>
              <w:pStyle w:val="Standaard-Tabellen"/>
            </w:pPr>
            <w:proofErr w:type="spellStart"/>
            <w:r w:rsidRPr="00FD2055">
              <w:t>Vapour</w:t>
            </w:r>
            <w:proofErr w:type="spellEnd"/>
            <w:r w:rsidRPr="00FD2055">
              <w:t xml:space="preserve"> pressure (at </w:t>
            </w:r>
            <w:r>
              <w:t>20 °</w:t>
            </w:r>
            <w:r w:rsidRPr="00FD2055">
              <w:t>C)</w:t>
            </w:r>
          </w:p>
        </w:tc>
        <w:tc>
          <w:tcPr>
            <w:tcW w:w="1332" w:type="pct"/>
            <w:shd w:val="clear" w:color="auto" w:fill="FFFFFF"/>
            <w:vAlign w:val="center"/>
          </w:tcPr>
          <w:p w14:paraId="1445DAC1" w14:textId="77777777" w:rsidR="00591C41" w:rsidRPr="00FD2055" w:rsidRDefault="00591C41" w:rsidP="00496A65">
            <w:pPr>
              <w:pStyle w:val="Standaard-Tabellen"/>
            </w:pPr>
            <w:r>
              <w:t>0.15</w:t>
            </w:r>
          </w:p>
        </w:tc>
        <w:tc>
          <w:tcPr>
            <w:tcW w:w="677" w:type="pct"/>
            <w:shd w:val="clear" w:color="auto" w:fill="FFFFFF"/>
            <w:vAlign w:val="center"/>
          </w:tcPr>
          <w:p w14:paraId="56E5E3DF" w14:textId="77777777" w:rsidR="00591C41" w:rsidRPr="00FD2055" w:rsidRDefault="00591C41" w:rsidP="00496A65">
            <w:pPr>
              <w:pStyle w:val="Standaard-Tabellen"/>
            </w:pPr>
            <w:r w:rsidRPr="00FD2055">
              <w:t>Pa</w:t>
            </w:r>
          </w:p>
        </w:tc>
        <w:tc>
          <w:tcPr>
            <w:tcW w:w="613" w:type="pct"/>
            <w:shd w:val="clear" w:color="auto" w:fill="FFFFFF"/>
            <w:vAlign w:val="center"/>
          </w:tcPr>
          <w:p w14:paraId="4C63BFF9" w14:textId="77777777" w:rsidR="00591C41" w:rsidRPr="00FD2055" w:rsidRDefault="00591C41" w:rsidP="00496A65">
            <w:pPr>
              <w:pStyle w:val="Standaard-Tabellen"/>
            </w:pPr>
          </w:p>
        </w:tc>
      </w:tr>
      <w:tr w:rsidR="00591C41" w:rsidRPr="00FD2055" w14:paraId="6BE8D47E" w14:textId="77777777" w:rsidTr="00A34679">
        <w:trPr>
          <w:trHeight w:val="75"/>
        </w:trPr>
        <w:tc>
          <w:tcPr>
            <w:tcW w:w="2378" w:type="pct"/>
            <w:shd w:val="clear" w:color="auto" w:fill="FFFFFF"/>
            <w:vAlign w:val="center"/>
          </w:tcPr>
          <w:p w14:paraId="0C99BD07" w14:textId="77777777" w:rsidR="00591C41" w:rsidRPr="00FD2055" w:rsidRDefault="00591C41" w:rsidP="00496A65">
            <w:pPr>
              <w:pStyle w:val="Standaard-Tabellen"/>
            </w:pPr>
            <w:r w:rsidRPr="00FD2055">
              <w:t xml:space="preserve">Water solubility (at  </w:t>
            </w:r>
            <w:r>
              <w:t>20 </w:t>
            </w:r>
            <w:r w:rsidRPr="00FD2055">
              <w:t>°C)</w:t>
            </w:r>
          </w:p>
        </w:tc>
        <w:tc>
          <w:tcPr>
            <w:tcW w:w="1332" w:type="pct"/>
            <w:shd w:val="clear" w:color="auto" w:fill="FFFFFF"/>
            <w:vAlign w:val="center"/>
          </w:tcPr>
          <w:p w14:paraId="00F57204" w14:textId="77777777" w:rsidR="00591C41" w:rsidRPr="00FD2055" w:rsidRDefault="00591C41" w:rsidP="00496A65">
            <w:pPr>
              <w:pStyle w:val="Standaard-Tabellen"/>
            </w:pPr>
            <w:r>
              <w:t>70 000</w:t>
            </w:r>
          </w:p>
        </w:tc>
        <w:tc>
          <w:tcPr>
            <w:tcW w:w="677" w:type="pct"/>
            <w:shd w:val="clear" w:color="auto" w:fill="FFFFFF"/>
            <w:vAlign w:val="center"/>
          </w:tcPr>
          <w:p w14:paraId="6323A6F8" w14:textId="77777777" w:rsidR="00591C41" w:rsidRPr="00FD2055" w:rsidRDefault="00591C41" w:rsidP="00496A65">
            <w:pPr>
              <w:pStyle w:val="Standaard-Tabellen"/>
            </w:pPr>
            <w:r w:rsidRPr="00FD2055">
              <w:t>mg/l</w:t>
            </w:r>
          </w:p>
        </w:tc>
        <w:tc>
          <w:tcPr>
            <w:tcW w:w="613" w:type="pct"/>
            <w:shd w:val="clear" w:color="auto" w:fill="FFFFFF"/>
            <w:vAlign w:val="center"/>
          </w:tcPr>
          <w:p w14:paraId="69C955AE" w14:textId="77777777" w:rsidR="00591C41" w:rsidRPr="00FD2055" w:rsidRDefault="00591C41" w:rsidP="00496A65">
            <w:pPr>
              <w:pStyle w:val="Standaard-Tabellen"/>
            </w:pPr>
          </w:p>
        </w:tc>
      </w:tr>
      <w:tr w:rsidR="00591C41" w:rsidRPr="00FD2055" w14:paraId="676A7CBC" w14:textId="77777777" w:rsidTr="00A34679">
        <w:trPr>
          <w:trHeight w:val="75"/>
        </w:trPr>
        <w:tc>
          <w:tcPr>
            <w:tcW w:w="2378" w:type="pct"/>
            <w:shd w:val="clear" w:color="auto" w:fill="FFFFFF"/>
            <w:vAlign w:val="center"/>
          </w:tcPr>
          <w:p w14:paraId="5E2CCF45" w14:textId="77777777" w:rsidR="00591C41" w:rsidRPr="00FD2055" w:rsidRDefault="00591C41" w:rsidP="00496A65">
            <w:pPr>
              <w:pStyle w:val="Standaard-Tabellen"/>
              <w:rPr>
                <w:lang w:val="fr-BE"/>
              </w:rPr>
            </w:pPr>
            <w:r w:rsidRPr="00FD2055">
              <w:rPr>
                <w:lang w:val="fr-BE"/>
              </w:rPr>
              <w:t xml:space="preserve">Log </w:t>
            </w:r>
            <w:proofErr w:type="spellStart"/>
            <w:r w:rsidRPr="00FD2055">
              <w:rPr>
                <w:lang w:val="fr-BE"/>
              </w:rPr>
              <w:t>Octanol</w:t>
            </w:r>
            <w:proofErr w:type="spellEnd"/>
            <w:r w:rsidRPr="00FD2055">
              <w:rPr>
                <w:lang w:val="fr-BE"/>
              </w:rPr>
              <w:t>/water partition coefficient</w:t>
            </w:r>
          </w:p>
        </w:tc>
        <w:tc>
          <w:tcPr>
            <w:tcW w:w="1332" w:type="pct"/>
            <w:shd w:val="clear" w:color="auto" w:fill="FFFFFF"/>
            <w:vAlign w:val="center"/>
          </w:tcPr>
          <w:p w14:paraId="781880AD" w14:textId="77777777" w:rsidR="00591C41" w:rsidRPr="002C4887" w:rsidRDefault="00591C41" w:rsidP="00496A65">
            <w:pPr>
              <w:pStyle w:val="Standaard-Tabellen"/>
              <w:rPr>
                <w:lang w:val="fr-BE"/>
              </w:rPr>
            </w:pPr>
            <w:r>
              <w:rPr>
                <w:lang w:val="fr-BE"/>
              </w:rPr>
              <w:t>1.7</w:t>
            </w:r>
          </w:p>
        </w:tc>
        <w:tc>
          <w:tcPr>
            <w:tcW w:w="677" w:type="pct"/>
            <w:shd w:val="clear" w:color="auto" w:fill="FFFFFF"/>
            <w:vAlign w:val="center"/>
          </w:tcPr>
          <w:p w14:paraId="5F0D5B4A" w14:textId="77777777" w:rsidR="00591C41" w:rsidRPr="00FD2055" w:rsidRDefault="00591C41" w:rsidP="00496A65">
            <w:pPr>
              <w:pStyle w:val="Standaard-Tabellen"/>
            </w:pPr>
            <w:r w:rsidRPr="00FD2055">
              <w:rPr>
                <w:lang w:val="fr-BE"/>
              </w:rPr>
              <w:t>Log 10</w:t>
            </w:r>
          </w:p>
        </w:tc>
        <w:tc>
          <w:tcPr>
            <w:tcW w:w="613" w:type="pct"/>
            <w:shd w:val="clear" w:color="auto" w:fill="FFFFFF"/>
            <w:vAlign w:val="center"/>
          </w:tcPr>
          <w:p w14:paraId="1E741C32" w14:textId="77777777" w:rsidR="00591C41" w:rsidRPr="00FD2055" w:rsidRDefault="00591C41" w:rsidP="00496A65">
            <w:pPr>
              <w:pStyle w:val="Standaard-Tabellen"/>
            </w:pPr>
          </w:p>
        </w:tc>
      </w:tr>
      <w:tr w:rsidR="00591C41" w:rsidRPr="00FD2055" w14:paraId="5ED78C01" w14:textId="77777777" w:rsidTr="00A34679">
        <w:trPr>
          <w:trHeight w:val="75"/>
        </w:trPr>
        <w:tc>
          <w:tcPr>
            <w:tcW w:w="2378" w:type="pct"/>
            <w:shd w:val="clear" w:color="auto" w:fill="FFFFFF"/>
            <w:vAlign w:val="center"/>
          </w:tcPr>
          <w:p w14:paraId="7B401894" w14:textId="77777777" w:rsidR="00591C41" w:rsidRPr="00FD2055" w:rsidRDefault="00591C41" w:rsidP="00496A65">
            <w:pPr>
              <w:pStyle w:val="Standaard-Tabellen"/>
            </w:pPr>
            <w:r w:rsidRPr="00FD2055">
              <w:t>Organic carbon/water partition coefficient (</w:t>
            </w:r>
            <w:proofErr w:type="spellStart"/>
            <w:r w:rsidRPr="00FD2055">
              <w:t>Koc</w:t>
            </w:r>
            <w:proofErr w:type="spellEnd"/>
            <w:r w:rsidRPr="00FD2055">
              <w:t>)</w:t>
            </w:r>
          </w:p>
        </w:tc>
        <w:tc>
          <w:tcPr>
            <w:tcW w:w="1332" w:type="pct"/>
            <w:shd w:val="clear" w:color="auto" w:fill="FFFFFF"/>
            <w:vAlign w:val="center"/>
          </w:tcPr>
          <w:p w14:paraId="64FBCF43" w14:textId="77777777" w:rsidR="00591C41" w:rsidRPr="00FD2055" w:rsidRDefault="00591C41" w:rsidP="00496A65">
            <w:pPr>
              <w:pStyle w:val="Standaard-Tabellen"/>
            </w:pPr>
            <w:r>
              <w:t>475.25</w:t>
            </w:r>
          </w:p>
        </w:tc>
        <w:tc>
          <w:tcPr>
            <w:tcW w:w="677" w:type="pct"/>
            <w:shd w:val="clear" w:color="auto" w:fill="FFFFFF"/>
            <w:vAlign w:val="center"/>
          </w:tcPr>
          <w:p w14:paraId="2B4B33F4" w14:textId="77777777" w:rsidR="00591C41" w:rsidRPr="00FD2055" w:rsidRDefault="00591C41" w:rsidP="00496A65">
            <w:pPr>
              <w:pStyle w:val="Standaard-Tabellen"/>
            </w:pPr>
            <w:r w:rsidRPr="00FD2055">
              <w:t>l/kg</w:t>
            </w:r>
          </w:p>
        </w:tc>
        <w:tc>
          <w:tcPr>
            <w:tcW w:w="613" w:type="pct"/>
            <w:shd w:val="clear" w:color="auto" w:fill="FFFFFF"/>
            <w:vAlign w:val="center"/>
          </w:tcPr>
          <w:p w14:paraId="7F14DFB8" w14:textId="77777777" w:rsidR="00591C41" w:rsidRPr="00FD2055" w:rsidRDefault="00591C41" w:rsidP="00496A65">
            <w:pPr>
              <w:pStyle w:val="Standaard-Tabellen"/>
            </w:pPr>
          </w:p>
        </w:tc>
      </w:tr>
      <w:tr w:rsidR="00591C41" w:rsidRPr="00FD2055" w14:paraId="26675FE4" w14:textId="77777777" w:rsidTr="00A34679">
        <w:trPr>
          <w:trHeight w:val="93"/>
        </w:trPr>
        <w:tc>
          <w:tcPr>
            <w:tcW w:w="2378" w:type="pct"/>
            <w:shd w:val="clear" w:color="auto" w:fill="FFFFFF"/>
            <w:vAlign w:val="center"/>
          </w:tcPr>
          <w:p w14:paraId="0E22ED70" w14:textId="77777777" w:rsidR="00591C41" w:rsidRPr="00FD2055" w:rsidRDefault="00591C41" w:rsidP="00496A65">
            <w:pPr>
              <w:pStyle w:val="Standaard-Tabellen"/>
            </w:pPr>
            <w:r w:rsidRPr="00FD2055">
              <w:t xml:space="preserve">Henry’s Law Constant (at </w:t>
            </w:r>
            <w:r>
              <w:t>20 °</w:t>
            </w:r>
            <w:r w:rsidRPr="00FD2055">
              <w:t>C</w:t>
            </w:r>
            <w:r>
              <w:t>)</w:t>
            </w:r>
          </w:p>
        </w:tc>
        <w:tc>
          <w:tcPr>
            <w:tcW w:w="1332" w:type="pct"/>
            <w:shd w:val="clear" w:color="auto" w:fill="FFFFFF"/>
            <w:vAlign w:val="center"/>
          </w:tcPr>
          <w:p w14:paraId="6CFBAAD1" w14:textId="77777777" w:rsidR="00591C41" w:rsidRPr="005F31FF" w:rsidRDefault="00591C41" w:rsidP="00496A65">
            <w:pPr>
              <w:pStyle w:val="Standaard-Tabellen"/>
              <w:rPr>
                <w:vertAlign w:val="superscript"/>
              </w:rPr>
            </w:pPr>
            <w:r>
              <w:t>4.613x10</w:t>
            </w:r>
            <w:r>
              <w:rPr>
                <w:vertAlign w:val="superscript"/>
              </w:rPr>
              <w:t>-4</w:t>
            </w:r>
          </w:p>
        </w:tc>
        <w:tc>
          <w:tcPr>
            <w:tcW w:w="677" w:type="pct"/>
            <w:shd w:val="clear" w:color="auto" w:fill="FFFFFF"/>
            <w:vAlign w:val="center"/>
          </w:tcPr>
          <w:p w14:paraId="0DD4F88F" w14:textId="1701CE80" w:rsidR="00591C41" w:rsidRPr="00FD2055" w:rsidRDefault="00591C41" w:rsidP="00496A65">
            <w:pPr>
              <w:pStyle w:val="Standaard-Tabellen"/>
            </w:pPr>
            <w:r w:rsidRPr="00FD2055">
              <w:t>Pa</w:t>
            </w:r>
            <w:r w:rsidR="00DD0D62">
              <w:t>.</w:t>
            </w:r>
            <w:r w:rsidRPr="00FD2055">
              <w:t>m3/</w:t>
            </w:r>
            <w:proofErr w:type="spellStart"/>
            <w:r w:rsidRPr="00FD2055">
              <w:t>mol</w:t>
            </w:r>
            <w:proofErr w:type="spellEnd"/>
          </w:p>
        </w:tc>
        <w:tc>
          <w:tcPr>
            <w:tcW w:w="613" w:type="pct"/>
            <w:shd w:val="clear" w:color="auto" w:fill="FFFFFF"/>
            <w:vAlign w:val="center"/>
          </w:tcPr>
          <w:p w14:paraId="3E503754" w14:textId="77777777" w:rsidR="00591C41" w:rsidRPr="00FD2055" w:rsidRDefault="00591C41" w:rsidP="00496A65">
            <w:pPr>
              <w:pStyle w:val="Standaard-Tabellen"/>
            </w:pPr>
          </w:p>
        </w:tc>
      </w:tr>
      <w:tr w:rsidR="00591C41" w:rsidRPr="00FD2055" w14:paraId="2BAD2F91" w14:textId="77777777" w:rsidTr="00A34679">
        <w:trPr>
          <w:trHeight w:val="75"/>
        </w:trPr>
        <w:tc>
          <w:tcPr>
            <w:tcW w:w="2378" w:type="pct"/>
            <w:shd w:val="clear" w:color="auto" w:fill="FFFFFF"/>
            <w:vAlign w:val="center"/>
          </w:tcPr>
          <w:p w14:paraId="66D68784" w14:textId="77777777" w:rsidR="00591C41" w:rsidRPr="00FD2055" w:rsidRDefault="00591C41" w:rsidP="00496A65">
            <w:pPr>
              <w:pStyle w:val="Standaard-Tabellen"/>
            </w:pPr>
            <w:r w:rsidRPr="00FD2055">
              <w:t>Biodegradability</w:t>
            </w:r>
          </w:p>
        </w:tc>
        <w:tc>
          <w:tcPr>
            <w:tcW w:w="1332" w:type="pct"/>
            <w:shd w:val="clear" w:color="auto" w:fill="FFFFFF"/>
            <w:vAlign w:val="center"/>
          </w:tcPr>
          <w:p w14:paraId="4F19BD0D" w14:textId="3B5BCB9C" w:rsidR="00591C41" w:rsidRPr="005F31FF" w:rsidRDefault="00D716E8" w:rsidP="00496A65">
            <w:pPr>
              <w:pStyle w:val="Standaard-Tabellen"/>
            </w:pPr>
            <w:r>
              <w:t>Not readily biodegradable</w:t>
            </w:r>
          </w:p>
        </w:tc>
        <w:tc>
          <w:tcPr>
            <w:tcW w:w="677" w:type="pct"/>
            <w:shd w:val="clear" w:color="auto" w:fill="FFFFFF"/>
            <w:vAlign w:val="center"/>
          </w:tcPr>
          <w:p w14:paraId="29767D5B" w14:textId="77777777" w:rsidR="00591C41" w:rsidRPr="00FD2055" w:rsidRDefault="00591C41" w:rsidP="00496A65">
            <w:pPr>
              <w:pStyle w:val="Standaard-Tabellen"/>
            </w:pPr>
          </w:p>
        </w:tc>
        <w:tc>
          <w:tcPr>
            <w:tcW w:w="613" w:type="pct"/>
            <w:shd w:val="clear" w:color="auto" w:fill="FFFFFF"/>
            <w:vAlign w:val="center"/>
          </w:tcPr>
          <w:p w14:paraId="41B3D989" w14:textId="77777777" w:rsidR="00591C41" w:rsidRPr="00FD2055" w:rsidRDefault="00591C41" w:rsidP="00496A65">
            <w:pPr>
              <w:pStyle w:val="Standaard-Tabellen"/>
            </w:pPr>
          </w:p>
        </w:tc>
      </w:tr>
    </w:tbl>
    <w:p w14:paraId="2E069C80" w14:textId="77777777" w:rsidR="00591C41" w:rsidRDefault="00591C41" w:rsidP="00496A65"/>
    <w:p w14:paraId="4EAEB7A3" w14:textId="172E6AAA" w:rsidR="00591C41" w:rsidRDefault="00591C41" w:rsidP="00496A65">
      <w:r>
        <w:t>In the CAR for IR3535</w:t>
      </w:r>
      <w:r w:rsidR="0004367B" w:rsidRPr="0004367B">
        <w:rPr>
          <w:vertAlign w:val="superscript"/>
          <w:lang w:eastAsia="fr-FR"/>
        </w:rPr>
        <w:t>®</w:t>
      </w:r>
      <w:r>
        <w:t>, calculations according to EUSES are available for the distribution in the STP, which in this case is only relevant for scenario 1. As a worst-case assessment the distribution presented in the CAR is taken over for the assumption that there is no degradation. As a TIER 2 evaluation, 99% degradation in STP is taken into consideration.</w:t>
      </w:r>
    </w:p>
    <w:p w14:paraId="1FC7B997" w14:textId="77777777" w:rsidR="00591C41" w:rsidRPr="00FD2055" w:rsidRDefault="00591C41"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1792"/>
        <w:gridCol w:w="1792"/>
        <w:gridCol w:w="1865"/>
        <w:gridCol w:w="1544"/>
      </w:tblGrid>
      <w:tr w:rsidR="00591C41" w:rsidRPr="00351A9A" w14:paraId="254D8239" w14:textId="77777777" w:rsidTr="00A34679">
        <w:trPr>
          <w:trHeight w:val="269"/>
        </w:trPr>
        <w:tc>
          <w:tcPr>
            <w:tcW w:w="5000" w:type="pct"/>
            <w:gridSpan w:val="5"/>
            <w:shd w:val="clear" w:color="auto" w:fill="FFFFCC"/>
            <w:vAlign w:val="center"/>
          </w:tcPr>
          <w:p w14:paraId="4C27935F" w14:textId="77777777" w:rsidR="00591C41" w:rsidRPr="00351A9A" w:rsidRDefault="00591C41" w:rsidP="00496A65">
            <w:pPr>
              <w:pStyle w:val="Standaard-Tabellen"/>
              <w:rPr>
                <w:b/>
              </w:rPr>
            </w:pPr>
            <w:r w:rsidRPr="00351A9A">
              <w:rPr>
                <w:b/>
              </w:rPr>
              <w:t>Calculated fate and distribution in the STP</w:t>
            </w:r>
          </w:p>
        </w:tc>
      </w:tr>
      <w:tr w:rsidR="00591C41" w:rsidRPr="00351A9A" w14:paraId="391D8A29" w14:textId="77777777" w:rsidTr="00A34679">
        <w:trPr>
          <w:trHeight w:val="187"/>
        </w:trPr>
        <w:tc>
          <w:tcPr>
            <w:tcW w:w="1281" w:type="pct"/>
            <w:vMerge w:val="restart"/>
            <w:shd w:val="clear" w:color="auto" w:fill="BFBFBF" w:themeFill="background1" w:themeFillShade="BF"/>
            <w:vAlign w:val="center"/>
          </w:tcPr>
          <w:p w14:paraId="29898EF6" w14:textId="77777777" w:rsidR="00591C41" w:rsidRPr="00351A9A" w:rsidRDefault="00591C41" w:rsidP="00351A9A">
            <w:pPr>
              <w:pStyle w:val="Standaard-Tabellen"/>
              <w:rPr>
                <w:b/>
              </w:rPr>
            </w:pPr>
            <w:r w:rsidRPr="00351A9A">
              <w:rPr>
                <w:b/>
              </w:rPr>
              <w:t>Compartment</w:t>
            </w:r>
          </w:p>
        </w:tc>
        <w:tc>
          <w:tcPr>
            <w:tcW w:w="2898" w:type="pct"/>
            <w:gridSpan w:val="3"/>
            <w:shd w:val="clear" w:color="auto" w:fill="BFBFBF" w:themeFill="background1" w:themeFillShade="BF"/>
            <w:vAlign w:val="center"/>
          </w:tcPr>
          <w:p w14:paraId="1D3E4D6F" w14:textId="77777777" w:rsidR="00591C41" w:rsidRPr="00351A9A" w:rsidRDefault="00591C41" w:rsidP="00351A9A">
            <w:pPr>
              <w:pStyle w:val="Standaard-Tabellen"/>
              <w:jc w:val="center"/>
              <w:rPr>
                <w:b/>
              </w:rPr>
            </w:pPr>
            <w:r w:rsidRPr="00351A9A">
              <w:rPr>
                <w:b/>
              </w:rPr>
              <w:t>Percentage [%]</w:t>
            </w:r>
          </w:p>
        </w:tc>
        <w:tc>
          <w:tcPr>
            <w:tcW w:w="821" w:type="pct"/>
            <w:vMerge w:val="restart"/>
            <w:shd w:val="clear" w:color="auto" w:fill="BFBFBF" w:themeFill="background1" w:themeFillShade="BF"/>
            <w:vAlign w:val="center"/>
          </w:tcPr>
          <w:p w14:paraId="7A2D5B89" w14:textId="77777777" w:rsidR="00591C41" w:rsidRPr="00351A9A" w:rsidRDefault="00591C41" w:rsidP="00351A9A">
            <w:pPr>
              <w:pStyle w:val="Standaard-Tabellen"/>
              <w:rPr>
                <w:b/>
              </w:rPr>
            </w:pPr>
            <w:r w:rsidRPr="00351A9A">
              <w:rPr>
                <w:b/>
              </w:rPr>
              <w:t>Remarks</w:t>
            </w:r>
          </w:p>
        </w:tc>
      </w:tr>
      <w:tr w:rsidR="00591C41" w:rsidRPr="00351A9A" w14:paraId="1CD5996F" w14:textId="77777777" w:rsidTr="00A34679">
        <w:trPr>
          <w:trHeight w:val="97"/>
        </w:trPr>
        <w:tc>
          <w:tcPr>
            <w:tcW w:w="1281" w:type="pct"/>
            <w:vMerge/>
            <w:shd w:val="clear" w:color="auto" w:fill="FFFFFF"/>
          </w:tcPr>
          <w:p w14:paraId="3D4A163E" w14:textId="77777777" w:rsidR="00591C41" w:rsidRPr="00351A9A" w:rsidRDefault="00591C41" w:rsidP="00351A9A">
            <w:pPr>
              <w:pStyle w:val="Standaard-Tabellen"/>
              <w:jc w:val="center"/>
              <w:rPr>
                <w:b/>
              </w:rPr>
            </w:pPr>
          </w:p>
        </w:tc>
        <w:tc>
          <w:tcPr>
            <w:tcW w:w="953" w:type="pct"/>
            <w:shd w:val="clear" w:color="auto" w:fill="BFBFBF" w:themeFill="background1" w:themeFillShade="BF"/>
            <w:vAlign w:val="center"/>
          </w:tcPr>
          <w:p w14:paraId="5E443013" w14:textId="77777777" w:rsidR="00591C41" w:rsidRPr="00351A9A" w:rsidRDefault="00591C41" w:rsidP="00351A9A">
            <w:pPr>
              <w:pStyle w:val="Standaard-Tabellen"/>
              <w:jc w:val="center"/>
              <w:rPr>
                <w:b/>
              </w:rPr>
            </w:pPr>
            <w:r w:rsidRPr="00351A9A">
              <w:rPr>
                <w:b/>
              </w:rPr>
              <w:t>Scenario 1</w:t>
            </w:r>
          </w:p>
          <w:p w14:paraId="78F523CA" w14:textId="77777777" w:rsidR="00591C41" w:rsidRPr="00351A9A" w:rsidRDefault="00591C41" w:rsidP="00351A9A">
            <w:pPr>
              <w:pStyle w:val="Standaard-Tabellen"/>
              <w:jc w:val="center"/>
              <w:rPr>
                <w:b/>
              </w:rPr>
            </w:pPr>
            <w:r w:rsidRPr="00351A9A">
              <w:rPr>
                <w:b/>
              </w:rPr>
              <w:t>TIER 1</w:t>
            </w:r>
          </w:p>
        </w:tc>
        <w:tc>
          <w:tcPr>
            <w:tcW w:w="953" w:type="pct"/>
            <w:shd w:val="clear" w:color="auto" w:fill="BFBFBF" w:themeFill="background1" w:themeFillShade="BF"/>
            <w:vAlign w:val="center"/>
          </w:tcPr>
          <w:p w14:paraId="6F6AE2E2" w14:textId="77777777" w:rsidR="00591C41" w:rsidRPr="00351A9A" w:rsidRDefault="00591C41" w:rsidP="00351A9A">
            <w:pPr>
              <w:pStyle w:val="Standaard-Tabellen"/>
              <w:jc w:val="center"/>
              <w:rPr>
                <w:b/>
              </w:rPr>
            </w:pPr>
            <w:r w:rsidRPr="00351A9A">
              <w:rPr>
                <w:b/>
              </w:rPr>
              <w:t>Scenario 1</w:t>
            </w:r>
          </w:p>
          <w:p w14:paraId="728EE485" w14:textId="77777777" w:rsidR="00591C41" w:rsidRPr="00351A9A" w:rsidRDefault="00591C41" w:rsidP="00351A9A">
            <w:pPr>
              <w:pStyle w:val="Standaard-Tabellen"/>
              <w:jc w:val="center"/>
              <w:rPr>
                <w:b/>
              </w:rPr>
            </w:pPr>
            <w:r w:rsidRPr="00351A9A">
              <w:rPr>
                <w:b/>
              </w:rPr>
              <w:t>TIER 2</w:t>
            </w:r>
          </w:p>
        </w:tc>
        <w:tc>
          <w:tcPr>
            <w:tcW w:w="992" w:type="pct"/>
            <w:shd w:val="clear" w:color="auto" w:fill="BFBFBF" w:themeFill="background1" w:themeFillShade="BF"/>
            <w:vAlign w:val="center"/>
          </w:tcPr>
          <w:p w14:paraId="6EE1BC39" w14:textId="77777777" w:rsidR="00591C41" w:rsidRPr="00351A9A" w:rsidRDefault="00591C41" w:rsidP="00351A9A">
            <w:pPr>
              <w:pStyle w:val="Standaard-Tabellen"/>
              <w:jc w:val="center"/>
              <w:rPr>
                <w:b/>
              </w:rPr>
            </w:pPr>
            <w:r w:rsidRPr="00351A9A">
              <w:rPr>
                <w:b/>
              </w:rPr>
              <w:t>Scenario 2</w:t>
            </w:r>
          </w:p>
        </w:tc>
        <w:tc>
          <w:tcPr>
            <w:tcW w:w="821" w:type="pct"/>
            <w:vMerge/>
            <w:shd w:val="clear" w:color="auto" w:fill="FFFFFF"/>
          </w:tcPr>
          <w:p w14:paraId="64FEC4ED" w14:textId="77777777" w:rsidR="00591C41" w:rsidRPr="00351A9A" w:rsidRDefault="00591C41" w:rsidP="00351A9A">
            <w:pPr>
              <w:pStyle w:val="Standaard-Tabellen"/>
              <w:jc w:val="center"/>
              <w:rPr>
                <w:b/>
              </w:rPr>
            </w:pPr>
          </w:p>
        </w:tc>
      </w:tr>
      <w:tr w:rsidR="00591C41" w:rsidRPr="00FD2055" w14:paraId="290C5821" w14:textId="77777777" w:rsidTr="00A34679">
        <w:trPr>
          <w:trHeight w:val="75"/>
        </w:trPr>
        <w:tc>
          <w:tcPr>
            <w:tcW w:w="1281" w:type="pct"/>
            <w:shd w:val="clear" w:color="auto" w:fill="FFFFFF"/>
          </w:tcPr>
          <w:p w14:paraId="496BE8ED" w14:textId="77777777" w:rsidR="00591C41" w:rsidRPr="00FD2055" w:rsidRDefault="00591C41" w:rsidP="00496A65">
            <w:pPr>
              <w:pStyle w:val="Standaard-Tabellen"/>
            </w:pPr>
            <w:r w:rsidRPr="00FD2055">
              <w:t>Air</w:t>
            </w:r>
          </w:p>
        </w:tc>
        <w:tc>
          <w:tcPr>
            <w:tcW w:w="953" w:type="pct"/>
            <w:shd w:val="clear" w:color="auto" w:fill="FFFFFF"/>
          </w:tcPr>
          <w:p w14:paraId="4BD3AF61" w14:textId="4B9EE19C" w:rsidR="00591C41" w:rsidRPr="00FD2055" w:rsidRDefault="00216556" w:rsidP="00496A65">
            <w:pPr>
              <w:pStyle w:val="Standaard-Tabellen"/>
            </w:pPr>
            <w:r>
              <w:t>0</w:t>
            </w:r>
          </w:p>
        </w:tc>
        <w:tc>
          <w:tcPr>
            <w:tcW w:w="953" w:type="pct"/>
            <w:shd w:val="clear" w:color="auto" w:fill="FFFFFF"/>
          </w:tcPr>
          <w:p w14:paraId="12FBE991" w14:textId="77777777" w:rsidR="00591C41" w:rsidRPr="00FD2055" w:rsidRDefault="00591C41" w:rsidP="00496A65">
            <w:pPr>
              <w:pStyle w:val="Standaard-Tabellen"/>
            </w:pPr>
            <w:r>
              <w:t>0</w:t>
            </w:r>
          </w:p>
        </w:tc>
        <w:tc>
          <w:tcPr>
            <w:tcW w:w="992" w:type="pct"/>
            <w:vMerge w:val="restart"/>
            <w:shd w:val="clear" w:color="auto" w:fill="FFFFFF"/>
            <w:vAlign w:val="center"/>
          </w:tcPr>
          <w:p w14:paraId="653C2488" w14:textId="77777777" w:rsidR="00591C41" w:rsidRPr="00FD2055" w:rsidRDefault="00591C41" w:rsidP="00496A65">
            <w:pPr>
              <w:pStyle w:val="Standaard-Tabellen"/>
            </w:pPr>
            <w:r>
              <w:t>Not relevant</w:t>
            </w:r>
          </w:p>
        </w:tc>
        <w:tc>
          <w:tcPr>
            <w:tcW w:w="821" w:type="pct"/>
            <w:shd w:val="clear" w:color="auto" w:fill="FFFFFF"/>
          </w:tcPr>
          <w:p w14:paraId="4F5272D6" w14:textId="77777777" w:rsidR="00591C41" w:rsidRPr="00FD2055" w:rsidRDefault="00591C41" w:rsidP="00496A65">
            <w:pPr>
              <w:pStyle w:val="Standaard-Tabellen"/>
            </w:pPr>
          </w:p>
        </w:tc>
      </w:tr>
      <w:tr w:rsidR="00591C41" w:rsidRPr="00FD2055" w14:paraId="3EBAF90C" w14:textId="77777777" w:rsidTr="00A34679">
        <w:trPr>
          <w:trHeight w:val="75"/>
        </w:trPr>
        <w:tc>
          <w:tcPr>
            <w:tcW w:w="1281" w:type="pct"/>
            <w:shd w:val="clear" w:color="auto" w:fill="FFFFFF"/>
          </w:tcPr>
          <w:p w14:paraId="599DC267" w14:textId="77777777" w:rsidR="00591C41" w:rsidRPr="00FD2055" w:rsidRDefault="00591C41" w:rsidP="00496A65">
            <w:pPr>
              <w:pStyle w:val="Standaard-Tabellen"/>
            </w:pPr>
            <w:r w:rsidRPr="00FD2055">
              <w:t>Water</w:t>
            </w:r>
          </w:p>
        </w:tc>
        <w:tc>
          <w:tcPr>
            <w:tcW w:w="953" w:type="pct"/>
            <w:shd w:val="clear" w:color="auto" w:fill="FFFFFF"/>
          </w:tcPr>
          <w:p w14:paraId="1437D026" w14:textId="77777777" w:rsidR="00591C41" w:rsidRPr="00FD2055" w:rsidRDefault="00591C41" w:rsidP="00496A65">
            <w:pPr>
              <w:pStyle w:val="Standaard-Tabellen"/>
            </w:pPr>
            <w:r>
              <w:t>99</w:t>
            </w:r>
          </w:p>
        </w:tc>
        <w:tc>
          <w:tcPr>
            <w:tcW w:w="953" w:type="pct"/>
            <w:shd w:val="clear" w:color="auto" w:fill="FFFFFF"/>
          </w:tcPr>
          <w:p w14:paraId="3C38F668" w14:textId="77777777" w:rsidR="00591C41" w:rsidRPr="00FD2055" w:rsidRDefault="00591C41" w:rsidP="00496A65">
            <w:pPr>
              <w:pStyle w:val="Standaard-Tabellen"/>
            </w:pPr>
            <w:r>
              <w:t>1</w:t>
            </w:r>
          </w:p>
        </w:tc>
        <w:tc>
          <w:tcPr>
            <w:tcW w:w="992" w:type="pct"/>
            <w:vMerge/>
            <w:shd w:val="clear" w:color="auto" w:fill="FFFFFF"/>
          </w:tcPr>
          <w:p w14:paraId="7051BAE3" w14:textId="77777777" w:rsidR="00591C41" w:rsidRPr="00FD2055" w:rsidRDefault="00591C41" w:rsidP="00496A65">
            <w:pPr>
              <w:pStyle w:val="Standaard-Tabellen"/>
            </w:pPr>
          </w:p>
        </w:tc>
        <w:tc>
          <w:tcPr>
            <w:tcW w:w="821" w:type="pct"/>
            <w:shd w:val="clear" w:color="auto" w:fill="FFFFFF"/>
          </w:tcPr>
          <w:p w14:paraId="0A7B7EC5" w14:textId="77777777" w:rsidR="00591C41" w:rsidRPr="00FD2055" w:rsidRDefault="00591C41" w:rsidP="00496A65">
            <w:pPr>
              <w:pStyle w:val="Standaard-Tabellen"/>
            </w:pPr>
          </w:p>
        </w:tc>
      </w:tr>
      <w:tr w:rsidR="00591C41" w:rsidRPr="00FD2055" w14:paraId="0989D41E" w14:textId="77777777" w:rsidTr="00A34679">
        <w:trPr>
          <w:trHeight w:val="75"/>
        </w:trPr>
        <w:tc>
          <w:tcPr>
            <w:tcW w:w="1281" w:type="pct"/>
            <w:shd w:val="clear" w:color="auto" w:fill="FFFFFF"/>
          </w:tcPr>
          <w:p w14:paraId="25F12504" w14:textId="77777777" w:rsidR="00591C41" w:rsidRPr="00FD2055" w:rsidRDefault="00591C41" w:rsidP="00496A65">
            <w:pPr>
              <w:pStyle w:val="Standaard-Tabellen"/>
            </w:pPr>
            <w:r w:rsidRPr="00FD2055">
              <w:t>Sludge</w:t>
            </w:r>
          </w:p>
        </w:tc>
        <w:tc>
          <w:tcPr>
            <w:tcW w:w="953" w:type="pct"/>
            <w:shd w:val="clear" w:color="auto" w:fill="FFFFFF"/>
          </w:tcPr>
          <w:p w14:paraId="2F25D442" w14:textId="77777777" w:rsidR="00591C41" w:rsidRPr="00FD2055" w:rsidRDefault="00591C41" w:rsidP="00496A65">
            <w:pPr>
              <w:pStyle w:val="Standaard-Tabellen"/>
            </w:pPr>
            <w:r>
              <w:t>1</w:t>
            </w:r>
          </w:p>
        </w:tc>
        <w:tc>
          <w:tcPr>
            <w:tcW w:w="953" w:type="pct"/>
            <w:shd w:val="clear" w:color="auto" w:fill="FFFFFF"/>
          </w:tcPr>
          <w:p w14:paraId="594CBE98" w14:textId="77777777" w:rsidR="00591C41" w:rsidRPr="00FD2055" w:rsidRDefault="00591C41" w:rsidP="00496A65">
            <w:pPr>
              <w:pStyle w:val="Standaard-Tabellen"/>
            </w:pPr>
            <w:r>
              <w:t>0</w:t>
            </w:r>
          </w:p>
        </w:tc>
        <w:tc>
          <w:tcPr>
            <w:tcW w:w="992" w:type="pct"/>
            <w:vMerge/>
            <w:shd w:val="clear" w:color="auto" w:fill="FFFFFF"/>
          </w:tcPr>
          <w:p w14:paraId="7038A628" w14:textId="77777777" w:rsidR="00591C41" w:rsidRPr="00FD2055" w:rsidRDefault="00591C41" w:rsidP="00496A65">
            <w:pPr>
              <w:pStyle w:val="Standaard-Tabellen"/>
            </w:pPr>
          </w:p>
        </w:tc>
        <w:tc>
          <w:tcPr>
            <w:tcW w:w="821" w:type="pct"/>
            <w:shd w:val="clear" w:color="auto" w:fill="FFFFFF"/>
          </w:tcPr>
          <w:p w14:paraId="484B3DAC" w14:textId="77777777" w:rsidR="00591C41" w:rsidRPr="00FD2055" w:rsidRDefault="00591C41" w:rsidP="00496A65">
            <w:pPr>
              <w:pStyle w:val="Standaard-Tabellen"/>
            </w:pPr>
          </w:p>
        </w:tc>
      </w:tr>
      <w:tr w:rsidR="00591C41" w:rsidRPr="00FD2055" w14:paraId="05A63799" w14:textId="77777777" w:rsidTr="00A34679">
        <w:trPr>
          <w:trHeight w:val="75"/>
        </w:trPr>
        <w:tc>
          <w:tcPr>
            <w:tcW w:w="1281" w:type="pct"/>
            <w:shd w:val="clear" w:color="auto" w:fill="FFFFFF"/>
          </w:tcPr>
          <w:p w14:paraId="079B3434" w14:textId="77777777" w:rsidR="00591C41" w:rsidRPr="00FD2055" w:rsidRDefault="00591C41" w:rsidP="00496A65">
            <w:pPr>
              <w:pStyle w:val="Standaard-Tabellen"/>
            </w:pPr>
            <w:r w:rsidRPr="00FD2055">
              <w:t>Degraded in STP</w:t>
            </w:r>
          </w:p>
        </w:tc>
        <w:tc>
          <w:tcPr>
            <w:tcW w:w="953" w:type="pct"/>
            <w:shd w:val="clear" w:color="auto" w:fill="FFFFFF"/>
          </w:tcPr>
          <w:p w14:paraId="682E764C" w14:textId="2941F185" w:rsidR="00591C41" w:rsidRPr="00FD2055" w:rsidRDefault="00216556" w:rsidP="00496A65">
            <w:pPr>
              <w:pStyle w:val="Standaard-Tabellen"/>
            </w:pPr>
            <w:r>
              <w:t>0</w:t>
            </w:r>
          </w:p>
        </w:tc>
        <w:tc>
          <w:tcPr>
            <w:tcW w:w="953" w:type="pct"/>
            <w:shd w:val="clear" w:color="auto" w:fill="FFFFFF"/>
          </w:tcPr>
          <w:p w14:paraId="597D1F6B" w14:textId="77777777" w:rsidR="00591C41" w:rsidRPr="00FD2055" w:rsidRDefault="00591C41" w:rsidP="00496A65">
            <w:pPr>
              <w:pStyle w:val="Standaard-Tabellen"/>
            </w:pPr>
            <w:r>
              <w:t>99</w:t>
            </w:r>
          </w:p>
        </w:tc>
        <w:tc>
          <w:tcPr>
            <w:tcW w:w="992" w:type="pct"/>
            <w:vMerge/>
            <w:shd w:val="clear" w:color="auto" w:fill="FFFFFF"/>
          </w:tcPr>
          <w:p w14:paraId="302B3599" w14:textId="77777777" w:rsidR="00591C41" w:rsidRPr="00FD2055" w:rsidRDefault="00591C41" w:rsidP="00496A65">
            <w:pPr>
              <w:pStyle w:val="Standaard-Tabellen"/>
            </w:pPr>
          </w:p>
        </w:tc>
        <w:tc>
          <w:tcPr>
            <w:tcW w:w="821" w:type="pct"/>
            <w:shd w:val="clear" w:color="auto" w:fill="FFFFFF"/>
          </w:tcPr>
          <w:p w14:paraId="04B3ED60" w14:textId="77777777" w:rsidR="00591C41" w:rsidRPr="00FD2055" w:rsidRDefault="00591C41" w:rsidP="00496A65">
            <w:pPr>
              <w:pStyle w:val="Standaard-Tabellen"/>
            </w:pPr>
          </w:p>
        </w:tc>
      </w:tr>
    </w:tbl>
    <w:p w14:paraId="54AF9324" w14:textId="77777777" w:rsidR="00591C41" w:rsidRDefault="00591C41" w:rsidP="00496A65"/>
    <w:p w14:paraId="6EACAC82" w14:textId="77777777" w:rsidR="00591C41" w:rsidRDefault="00591C41" w:rsidP="00496A65">
      <w:r>
        <w:br w:type="page"/>
      </w:r>
    </w:p>
    <w:p w14:paraId="7162EEA9" w14:textId="77777777" w:rsidR="00591C41" w:rsidRDefault="00591C41" w:rsidP="00496A65">
      <w:pPr>
        <w:pStyle w:val="Titre5"/>
      </w:pPr>
      <w:bookmarkStart w:id="330" w:name="_Toc389729116"/>
      <w:bookmarkStart w:id="331" w:name="_Toc403472801"/>
      <w:bookmarkStart w:id="332" w:name="_Toc8296552"/>
      <w:r w:rsidRPr="00FD2055">
        <w:lastRenderedPageBreak/>
        <w:t>Calculated PEC values</w:t>
      </w:r>
      <w:bookmarkEnd w:id="330"/>
      <w:bookmarkEnd w:id="331"/>
      <w:bookmarkEnd w:id="332"/>
    </w:p>
    <w:p w14:paraId="7B6AB7E9" w14:textId="77777777" w:rsidR="00591C41" w:rsidRDefault="00591C41" w:rsidP="00496A65">
      <w:r>
        <w:t xml:space="preserve">Neither for scenario 1, nor for scenario 2, </w:t>
      </w:r>
      <w:proofErr w:type="gramStart"/>
      <w:r>
        <w:t>calculations were</w:t>
      </w:r>
      <w:proofErr w:type="gramEnd"/>
      <w:r>
        <w:t xml:space="preserve"> made for the sediment, since the </w:t>
      </w:r>
      <w:proofErr w:type="spellStart"/>
      <w:r>
        <w:t>PNEC</w:t>
      </w:r>
      <w:r>
        <w:rPr>
          <w:vertAlign w:val="subscript"/>
        </w:rPr>
        <w:t>sediment</w:t>
      </w:r>
      <w:proofErr w:type="spellEnd"/>
      <w:r>
        <w:t xml:space="preserve"> was determined through the EPM-method. This means that the risk assessment for water is applicable for the sediment as well.</w:t>
      </w:r>
    </w:p>
    <w:p w14:paraId="481E62D9" w14:textId="77777777" w:rsidR="00591C41" w:rsidRDefault="00591C41" w:rsidP="00496A65"/>
    <w:p w14:paraId="50C30CC0" w14:textId="77777777" w:rsidR="00591C41" w:rsidRDefault="00591C41" w:rsidP="00496A65">
      <w:r>
        <w:t>As mentioned before, for the scenario 2, possible degradation in surface water is not taken into account as a worst-case evaluation.</w:t>
      </w:r>
    </w:p>
    <w:p w14:paraId="65CD0D7F" w14:textId="77777777" w:rsidR="00591C41" w:rsidRPr="00873FD6" w:rsidRDefault="00591C41"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880"/>
        <w:gridCol w:w="1880"/>
        <w:gridCol w:w="3212"/>
      </w:tblGrid>
      <w:tr w:rsidR="00591C41" w:rsidRPr="00351A9A" w14:paraId="35EA6D4D" w14:textId="77777777" w:rsidTr="00A34679">
        <w:trPr>
          <w:trHeight w:val="249"/>
        </w:trPr>
        <w:tc>
          <w:tcPr>
            <w:tcW w:w="5000" w:type="pct"/>
            <w:gridSpan w:val="4"/>
            <w:tcBorders>
              <w:top w:val="single" w:sz="4" w:space="0" w:color="auto"/>
              <w:left w:val="single" w:sz="4" w:space="0" w:color="auto"/>
              <w:bottom w:val="single" w:sz="4" w:space="0" w:color="auto"/>
            </w:tcBorders>
            <w:shd w:val="clear" w:color="auto" w:fill="FFFFCC"/>
          </w:tcPr>
          <w:p w14:paraId="068BA29F" w14:textId="77777777" w:rsidR="00591C41" w:rsidRPr="00351A9A" w:rsidRDefault="00591C41" w:rsidP="00496A65">
            <w:pPr>
              <w:pStyle w:val="Standaard-Tabellen"/>
              <w:rPr>
                <w:b/>
                <w:color w:val="000000"/>
              </w:rPr>
            </w:pPr>
            <w:r w:rsidRPr="00351A9A">
              <w:rPr>
                <w:b/>
              </w:rPr>
              <w:t>Summary table on calculated PEC values</w:t>
            </w:r>
          </w:p>
        </w:tc>
      </w:tr>
      <w:tr w:rsidR="00591C41" w:rsidRPr="00351A9A" w14:paraId="6013AE32" w14:textId="77777777" w:rsidTr="00A34679">
        <w:trPr>
          <w:trHeight w:val="249"/>
        </w:trPr>
        <w:tc>
          <w:tcPr>
            <w:tcW w:w="1292" w:type="pct"/>
            <w:vMerge w:val="restart"/>
            <w:shd w:val="clear" w:color="auto" w:fill="FFFFFF"/>
            <w:vAlign w:val="center"/>
          </w:tcPr>
          <w:p w14:paraId="7D6FFE02" w14:textId="77777777" w:rsidR="00591C41" w:rsidRPr="00351A9A" w:rsidRDefault="00591C41" w:rsidP="00496A65">
            <w:pPr>
              <w:pStyle w:val="Standaard-Tabellen"/>
              <w:rPr>
                <w:b/>
              </w:rPr>
            </w:pPr>
          </w:p>
        </w:tc>
        <w:tc>
          <w:tcPr>
            <w:tcW w:w="1000" w:type="pct"/>
            <w:vMerge w:val="restart"/>
            <w:shd w:val="clear" w:color="auto" w:fill="FFFFFF" w:themeFill="background1"/>
          </w:tcPr>
          <w:p w14:paraId="4C70872A" w14:textId="77777777" w:rsidR="00591C41" w:rsidRPr="00351A9A" w:rsidRDefault="00591C41" w:rsidP="00496A65">
            <w:pPr>
              <w:pStyle w:val="Standaard-Tabellen"/>
              <w:rPr>
                <w:b/>
              </w:rPr>
            </w:pPr>
          </w:p>
        </w:tc>
        <w:tc>
          <w:tcPr>
            <w:tcW w:w="1000" w:type="pct"/>
            <w:shd w:val="clear" w:color="auto" w:fill="BFBFBF" w:themeFill="background1" w:themeFillShade="BF"/>
            <w:vAlign w:val="center"/>
          </w:tcPr>
          <w:p w14:paraId="13FE3A97" w14:textId="77777777" w:rsidR="00591C41" w:rsidRPr="00351A9A" w:rsidRDefault="00591C41" w:rsidP="00496A65">
            <w:pPr>
              <w:pStyle w:val="Standaard-Tabellen"/>
              <w:rPr>
                <w:b/>
                <w:sz w:val="16"/>
                <w:szCs w:val="16"/>
              </w:rPr>
            </w:pPr>
            <w:r w:rsidRPr="00351A9A">
              <w:rPr>
                <w:b/>
              </w:rPr>
              <w:t>PEC</w:t>
            </w:r>
            <w:r w:rsidRPr="00351A9A">
              <w:rPr>
                <w:b/>
                <w:vertAlign w:val="subscript"/>
              </w:rPr>
              <w:t>STP</w:t>
            </w:r>
          </w:p>
        </w:tc>
        <w:tc>
          <w:tcPr>
            <w:tcW w:w="1708" w:type="pct"/>
            <w:shd w:val="clear" w:color="auto" w:fill="BFBFBF" w:themeFill="background1" w:themeFillShade="BF"/>
            <w:vAlign w:val="center"/>
          </w:tcPr>
          <w:p w14:paraId="1B1A6EA7" w14:textId="77777777" w:rsidR="00591C41" w:rsidRPr="00351A9A" w:rsidRDefault="00591C41" w:rsidP="00496A65">
            <w:pPr>
              <w:pStyle w:val="Standaard-Tabellen"/>
              <w:rPr>
                <w:b/>
                <w:color w:val="000000"/>
              </w:rPr>
            </w:pPr>
            <w:proofErr w:type="spellStart"/>
            <w:r w:rsidRPr="00351A9A">
              <w:rPr>
                <w:b/>
              </w:rPr>
              <w:t>PEC</w:t>
            </w:r>
            <w:r w:rsidRPr="00351A9A">
              <w:rPr>
                <w:b/>
                <w:vertAlign w:val="subscript"/>
              </w:rPr>
              <w:t>water</w:t>
            </w:r>
            <w:proofErr w:type="spellEnd"/>
          </w:p>
        </w:tc>
      </w:tr>
      <w:tr w:rsidR="00591C41" w:rsidRPr="00351A9A" w14:paraId="76FAD194" w14:textId="77777777" w:rsidTr="00A34679">
        <w:trPr>
          <w:trHeight w:val="249"/>
        </w:trPr>
        <w:tc>
          <w:tcPr>
            <w:tcW w:w="1292" w:type="pct"/>
            <w:vMerge/>
            <w:shd w:val="clear" w:color="auto" w:fill="FFFFFF"/>
            <w:vAlign w:val="center"/>
          </w:tcPr>
          <w:p w14:paraId="6E0E9079" w14:textId="77777777" w:rsidR="00591C41" w:rsidRPr="00351A9A" w:rsidRDefault="00591C41" w:rsidP="00496A65">
            <w:pPr>
              <w:pStyle w:val="Standaard-Tabellen"/>
              <w:rPr>
                <w:b/>
              </w:rPr>
            </w:pPr>
          </w:p>
        </w:tc>
        <w:tc>
          <w:tcPr>
            <w:tcW w:w="1000" w:type="pct"/>
            <w:vMerge/>
            <w:shd w:val="clear" w:color="auto" w:fill="FFFFFF" w:themeFill="background1"/>
          </w:tcPr>
          <w:p w14:paraId="3FC969C5" w14:textId="77777777" w:rsidR="00591C41" w:rsidRPr="00351A9A" w:rsidRDefault="00591C41" w:rsidP="00496A65">
            <w:pPr>
              <w:pStyle w:val="Standaard-Tabellen"/>
              <w:rPr>
                <w:b/>
              </w:rPr>
            </w:pPr>
          </w:p>
        </w:tc>
        <w:tc>
          <w:tcPr>
            <w:tcW w:w="1000" w:type="pct"/>
            <w:shd w:val="clear" w:color="auto" w:fill="BFBFBF" w:themeFill="background1" w:themeFillShade="BF"/>
          </w:tcPr>
          <w:p w14:paraId="2CEB6F21" w14:textId="3217827A" w:rsidR="00591C41" w:rsidRPr="00351A9A" w:rsidRDefault="00591C41" w:rsidP="00496A65">
            <w:pPr>
              <w:pStyle w:val="Standaard-Tabellen"/>
              <w:rPr>
                <w:b/>
              </w:rPr>
            </w:pPr>
            <w:r w:rsidRPr="00351A9A">
              <w:rPr>
                <w:b/>
              </w:rPr>
              <w:t>[mg/</w:t>
            </w:r>
            <w:r w:rsidR="00216556" w:rsidRPr="00351A9A">
              <w:rPr>
                <w:b/>
              </w:rPr>
              <w:t>l</w:t>
            </w:r>
            <w:r w:rsidRPr="00351A9A">
              <w:rPr>
                <w:b/>
              </w:rPr>
              <w:t>]</w:t>
            </w:r>
          </w:p>
        </w:tc>
        <w:tc>
          <w:tcPr>
            <w:tcW w:w="1708" w:type="pct"/>
            <w:shd w:val="clear" w:color="auto" w:fill="BFBFBF" w:themeFill="background1" w:themeFillShade="BF"/>
            <w:vAlign w:val="center"/>
          </w:tcPr>
          <w:p w14:paraId="5F13002E" w14:textId="77777777" w:rsidR="00591C41" w:rsidRPr="00351A9A" w:rsidRDefault="00591C41" w:rsidP="00496A65">
            <w:pPr>
              <w:pStyle w:val="Standaard-Tabellen"/>
              <w:rPr>
                <w:b/>
              </w:rPr>
            </w:pPr>
            <w:r w:rsidRPr="00351A9A">
              <w:rPr>
                <w:b/>
              </w:rPr>
              <w:t>[mg/l]</w:t>
            </w:r>
          </w:p>
        </w:tc>
      </w:tr>
      <w:tr w:rsidR="00591C41" w:rsidRPr="00FD2055" w14:paraId="4DBA4BDA" w14:textId="77777777" w:rsidTr="00A34679">
        <w:trPr>
          <w:trHeight w:val="75"/>
        </w:trPr>
        <w:tc>
          <w:tcPr>
            <w:tcW w:w="1292" w:type="pct"/>
            <w:vMerge w:val="restart"/>
            <w:shd w:val="clear" w:color="auto" w:fill="FFFFFF"/>
          </w:tcPr>
          <w:p w14:paraId="0F47180D" w14:textId="77777777" w:rsidR="00591C41" w:rsidRPr="00351A9A" w:rsidRDefault="00591C41" w:rsidP="00496A65">
            <w:pPr>
              <w:pStyle w:val="Standaard-Tabellen"/>
              <w:rPr>
                <w:b/>
              </w:rPr>
            </w:pPr>
            <w:r w:rsidRPr="00351A9A">
              <w:rPr>
                <w:b/>
              </w:rPr>
              <w:t>Scenario 1</w:t>
            </w:r>
          </w:p>
        </w:tc>
        <w:tc>
          <w:tcPr>
            <w:tcW w:w="1000" w:type="pct"/>
            <w:shd w:val="clear" w:color="auto" w:fill="FFFFFF"/>
          </w:tcPr>
          <w:p w14:paraId="357252CF" w14:textId="77777777" w:rsidR="00591C41" w:rsidRDefault="00591C41" w:rsidP="00496A65">
            <w:pPr>
              <w:pStyle w:val="Standaard-Tabellen"/>
            </w:pPr>
            <w:r>
              <w:t>TIER 1</w:t>
            </w:r>
          </w:p>
        </w:tc>
        <w:tc>
          <w:tcPr>
            <w:tcW w:w="1000" w:type="pct"/>
            <w:shd w:val="clear" w:color="auto" w:fill="FFFFFF"/>
          </w:tcPr>
          <w:p w14:paraId="7DDFAFDA" w14:textId="641BE710" w:rsidR="00591C41" w:rsidRPr="00FD2055" w:rsidRDefault="008D40D3" w:rsidP="00496A65">
            <w:pPr>
              <w:pStyle w:val="Standaard-Tabellen"/>
            </w:pPr>
            <w:r>
              <w:t>1.</w:t>
            </w:r>
            <w:r w:rsidR="000949F7">
              <w:t>21</w:t>
            </w:r>
          </w:p>
        </w:tc>
        <w:tc>
          <w:tcPr>
            <w:tcW w:w="1708" w:type="pct"/>
            <w:shd w:val="clear" w:color="auto" w:fill="FFFFFF"/>
          </w:tcPr>
          <w:p w14:paraId="096A4A8A" w14:textId="4454029A" w:rsidR="00591C41" w:rsidRPr="00FD2055" w:rsidRDefault="00591C41" w:rsidP="00496A65">
            <w:pPr>
              <w:pStyle w:val="Standaard-Tabellen"/>
            </w:pPr>
            <w:r>
              <w:t>0.</w:t>
            </w:r>
            <w:r w:rsidR="000949F7">
              <w:t>121</w:t>
            </w:r>
          </w:p>
        </w:tc>
      </w:tr>
      <w:tr w:rsidR="00591C41" w:rsidRPr="00FD2055" w14:paraId="36B24607" w14:textId="77777777" w:rsidTr="00A34679">
        <w:trPr>
          <w:trHeight w:val="75"/>
        </w:trPr>
        <w:tc>
          <w:tcPr>
            <w:tcW w:w="1292" w:type="pct"/>
            <w:vMerge/>
            <w:shd w:val="clear" w:color="auto" w:fill="FFFFFF"/>
          </w:tcPr>
          <w:p w14:paraId="7EFCBB1D" w14:textId="77777777" w:rsidR="00591C41" w:rsidRPr="00351A9A" w:rsidRDefault="00591C41" w:rsidP="00496A65">
            <w:pPr>
              <w:pStyle w:val="Standaard-Tabellen"/>
              <w:rPr>
                <w:b/>
              </w:rPr>
            </w:pPr>
          </w:p>
        </w:tc>
        <w:tc>
          <w:tcPr>
            <w:tcW w:w="1000" w:type="pct"/>
            <w:shd w:val="clear" w:color="auto" w:fill="FFFFFF"/>
          </w:tcPr>
          <w:p w14:paraId="40A34E55" w14:textId="77777777" w:rsidR="00591C41" w:rsidRDefault="00591C41" w:rsidP="00496A65">
            <w:pPr>
              <w:pStyle w:val="Standaard-Tabellen"/>
            </w:pPr>
            <w:r>
              <w:t>TIER 2</w:t>
            </w:r>
          </w:p>
        </w:tc>
        <w:tc>
          <w:tcPr>
            <w:tcW w:w="1000" w:type="pct"/>
            <w:shd w:val="clear" w:color="auto" w:fill="FFFFFF"/>
          </w:tcPr>
          <w:p w14:paraId="5400E406" w14:textId="740C9040" w:rsidR="00591C41" w:rsidRPr="002F3EED" w:rsidRDefault="00591C41" w:rsidP="00496A65">
            <w:pPr>
              <w:pStyle w:val="Standaard-Tabellen"/>
              <w:rPr>
                <w:vertAlign w:val="superscript"/>
              </w:rPr>
            </w:pPr>
            <w:r>
              <w:t>1.</w:t>
            </w:r>
            <w:r w:rsidR="000949F7">
              <w:t>2</w:t>
            </w:r>
            <w:r w:rsidR="008D40D3">
              <w:t>2x10</w:t>
            </w:r>
            <w:r>
              <w:rPr>
                <w:vertAlign w:val="superscript"/>
              </w:rPr>
              <w:t>-2</w:t>
            </w:r>
          </w:p>
        </w:tc>
        <w:tc>
          <w:tcPr>
            <w:tcW w:w="1708" w:type="pct"/>
            <w:shd w:val="clear" w:color="auto" w:fill="FFFFFF"/>
          </w:tcPr>
          <w:p w14:paraId="4138AF85" w14:textId="214EBA70" w:rsidR="00591C41" w:rsidRPr="002F3EED" w:rsidRDefault="00591C41" w:rsidP="00496A65">
            <w:pPr>
              <w:pStyle w:val="Standaard-Tabellen"/>
              <w:rPr>
                <w:vertAlign w:val="superscript"/>
              </w:rPr>
            </w:pPr>
            <w:r>
              <w:t>1.</w:t>
            </w:r>
            <w:r w:rsidR="000949F7">
              <w:t>2</w:t>
            </w:r>
            <w:r w:rsidR="008D40D3">
              <w:t>2x10</w:t>
            </w:r>
            <w:r>
              <w:rPr>
                <w:vertAlign w:val="superscript"/>
              </w:rPr>
              <w:t>-3</w:t>
            </w:r>
          </w:p>
        </w:tc>
      </w:tr>
      <w:tr w:rsidR="00591C41" w:rsidRPr="00FD2055" w14:paraId="463C6F4F" w14:textId="77777777" w:rsidTr="00A34679">
        <w:trPr>
          <w:trHeight w:val="75"/>
        </w:trPr>
        <w:tc>
          <w:tcPr>
            <w:tcW w:w="1292" w:type="pct"/>
            <w:vMerge w:val="restart"/>
            <w:shd w:val="clear" w:color="auto" w:fill="FFFFFF"/>
          </w:tcPr>
          <w:p w14:paraId="703543AC" w14:textId="77777777" w:rsidR="00591C41" w:rsidRPr="00351A9A" w:rsidRDefault="00591C41" w:rsidP="00496A65">
            <w:pPr>
              <w:pStyle w:val="Standaard-Tabellen"/>
              <w:rPr>
                <w:b/>
              </w:rPr>
            </w:pPr>
            <w:r w:rsidRPr="00351A9A">
              <w:rPr>
                <w:b/>
              </w:rPr>
              <w:t>Scenario 2</w:t>
            </w:r>
          </w:p>
        </w:tc>
        <w:tc>
          <w:tcPr>
            <w:tcW w:w="1000" w:type="pct"/>
            <w:shd w:val="clear" w:color="auto" w:fill="FFFFFF"/>
          </w:tcPr>
          <w:p w14:paraId="4672021D" w14:textId="77777777" w:rsidR="00591C41" w:rsidRPr="00FD2055" w:rsidRDefault="00591C41" w:rsidP="00496A65">
            <w:pPr>
              <w:pStyle w:val="Standaard-Tabellen"/>
            </w:pPr>
            <w:r>
              <w:t>Day 1</w:t>
            </w:r>
          </w:p>
        </w:tc>
        <w:tc>
          <w:tcPr>
            <w:tcW w:w="1000" w:type="pct"/>
            <w:shd w:val="clear" w:color="auto" w:fill="FFFFFF"/>
          </w:tcPr>
          <w:p w14:paraId="1EC7EA47" w14:textId="77777777" w:rsidR="00591C41" w:rsidRPr="00FD2055" w:rsidRDefault="00591C41" w:rsidP="00496A65">
            <w:pPr>
              <w:pStyle w:val="Standaard-Tabellen"/>
            </w:pPr>
            <w:r>
              <w:t>n/a</w:t>
            </w:r>
          </w:p>
        </w:tc>
        <w:tc>
          <w:tcPr>
            <w:tcW w:w="1708" w:type="pct"/>
            <w:shd w:val="clear" w:color="auto" w:fill="FFFFFF"/>
          </w:tcPr>
          <w:p w14:paraId="7673742A" w14:textId="552D02B8" w:rsidR="00591C41" w:rsidRPr="002F3EED" w:rsidRDefault="000949F7" w:rsidP="00496A65">
            <w:pPr>
              <w:pStyle w:val="Standaard-Tabellen"/>
              <w:rPr>
                <w:vertAlign w:val="superscript"/>
              </w:rPr>
            </w:pPr>
            <w:r>
              <w:t>7.67</w:t>
            </w:r>
            <w:r w:rsidR="00591C41">
              <w:t>x10</w:t>
            </w:r>
            <w:r w:rsidR="00591C41">
              <w:rPr>
                <w:vertAlign w:val="superscript"/>
              </w:rPr>
              <w:t>-</w:t>
            </w:r>
            <w:r w:rsidR="000075C1">
              <w:rPr>
                <w:vertAlign w:val="superscript"/>
              </w:rPr>
              <w:t>4</w:t>
            </w:r>
          </w:p>
        </w:tc>
      </w:tr>
      <w:tr w:rsidR="00591C41" w:rsidRPr="00FD2055" w14:paraId="73321ECD" w14:textId="77777777" w:rsidTr="00A34679">
        <w:trPr>
          <w:trHeight w:val="75"/>
        </w:trPr>
        <w:tc>
          <w:tcPr>
            <w:tcW w:w="1292" w:type="pct"/>
            <w:vMerge/>
            <w:shd w:val="clear" w:color="auto" w:fill="FFFFFF"/>
          </w:tcPr>
          <w:p w14:paraId="178713E0" w14:textId="77777777" w:rsidR="00591C41" w:rsidRDefault="00591C41" w:rsidP="00496A65">
            <w:pPr>
              <w:pStyle w:val="Standaard-Tabellen"/>
            </w:pPr>
          </w:p>
        </w:tc>
        <w:tc>
          <w:tcPr>
            <w:tcW w:w="1000" w:type="pct"/>
            <w:shd w:val="clear" w:color="auto" w:fill="FFFFFF"/>
          </w:tcPr>
          <w:p w14:paraId="34123A9D" w14:textId="77777777" w:rsidR="00591C41" w:rsidRDefault="00591C41" w:rsidP="00496A65">
            <w:pPr>
              <w:pStyle w:val="Standaard-Tabellen"/>
            </w:pPr>
            <w:r>
              <w:t>Day 91</w:t>
            </w:r>
          </w:p>
        </w:tc>
        <w:tc>
          <w:tcPr>
            <w:tcW w:w="1000" w:type="pct"/>
            <w:shd w:val="clear" w:color="auto" w:fill="FFFFFF"/>
          </w:tcPr>
          <w:p w14:paraId="3A5F6264" w14:textId="77777777" w:rsidR="00591C41" w:rsidRPr="00FD2055" w:rsidRDefault="00591C41" w:rsidP="00496A65">
            <w:pPr>
              <w:pStyle w:val="Standaard-Tabellen"/>
            </w:pPr>
            <w:r>
              <w:t>n/a</w:t>
            </w:r>
          </w:p>
        </w:tc>
        <w:tc>
          <w:tcPr>
            <w:tcW w:w="1708" w:type="pct"/>
            <w:shd w:val="clear" w:color="auto" w:fill="FFFFFF"/>
          </w:tcPr>
          <w:p w14:paraId="784E697F" w14:textId="383C1A8A" w:rsidR="00591C41" w:rsidRPr="002F3EED" w:rsidRDefault="00591C41" w:rsidP="00496A65">
            <w:pPr>
              <w:pStyle w:val="Standaard-Tabellen"/>
              <w:rPr>
                <w:vertAlign w:val="superscript"/>
              </w:rPr>
            </w:pPr>
            <w:r>
              <w:t>6.</w:t>
            </w:r>
            <w:r w:rsidR="000949F7">
              <w:t>98</w:t>
            </w:r>
            <w:r>
              <w:t>x10</w:t>
            </w:r>
            <w:r>
              <w:rPr>
                <w:vertAlign w:val="superscript"/>
              </w:rPr>
              <w:t>-</w:t>
            </w:r>
            <w:r w:rsidR="000075C1">
              <w:rPr>
                <w:vertAlign w:val="superscript"/>
              </w:rPr>
              <w:t>2</w:t>
            </w:r>
          </w:p>
        </w:tc>
      </w:tr>
    </w:tbl>
    <w:p w14:paraId="64D48D71" w14:textId="77777777" w:rsidR="00591C41" w:rsidRPr="00FD2055" w:rsidRDefault="00591C41" w:rsidP="00496A65"/>
    <w:p w14:paraId="49430257" w14:textId="77777777" w:rsidR="00591C41" w:rsidRPr="00FD2055" w:rsidRDefault="00591C41" w:rsidP="00496A65">
      <w:pPr>
        <w:pStyle w:val="Titre5"/>
      </w:pPr>
      <w:bookmarkStart w:id="333" w:name="_Toc377651047"/>
      <w:bookmarkStart w:id="334" w:name="_Toc389729117"/>
      <w:bookmarkStart w:id="335" w:name="_Toc403472802"/>
      <w:bookmarkStart w:id="336" w:name="_Toc8296553"/>
      <w:r w:rsidRPr="00FD2055">
        <w:t>Primary and secondary poisoning</w:t>
      </w:r>
      <w:bookmarkEnd w:id="333"/>
      <w:bookmarkEnd w:id="334"/>
      <w:bookmarkEnd w:id="335"/>
      <w:bookmarkEnd w:id="336"/>
    </w:p>
    <w:p w14:paraId="2ABD98BA" w14:textId="77777777" w:rsidR="00591C41" w:rsidRPr="00FD2055" w:rsidRDefault="00591C41" w:rsidP="00496A65"/>
    <w:p w14:paraId="4698D83C" w14:textId="77777777" w:rsidR="00591C41" w:rsidRPr="00140213" w:rsidRDefault="00591C41" w:rsidP="00496A65">
      <w:pPr>
        <w:pStyle w:val="Titre6"/>
        <w:numPr>
          <w:ilvl w:val="0"/>
          <w:numId w:val="6"/>
        </w:numPr>
      </w:pPr>
      <w:r w:rsidRPr="00140213">
        <w:t xml:space="preserve">Primary </w:t>
      </w:r>
      <w:proofErr w:type="spellStart"/>
      <w:r w:rsidRPr="00140213">
        <w:t>poisoning</w:t>
      </w:r>
      <w:proofErr w:type="spellEnd"/>
      <w:r w:rsidRPr="00140213">
        <w:t xml:space="preserve"> </w:t>
      </w:r>
    </w:p>
    <w:p w14:paraId="70AC4644" w14:textId="77777777" w:rsidR="00591C41" w:rsidRPr="002F3EED" w:rsidRDefault="00591C41" w:rsidP="00496A65">
      <w:r w:rsidRPr="002F3EED">
        <w:t>Not applicable, since this product is a repellent and has no intention of killing.</w:t>
      </w:r>
    </w:p>
    <w:p w14:paraId="1C10A20E" w14:textId="77777777" w:rsidR="00591C41" w:rsidRPr="002F3EED" w:rsidRDefault="00591C41" w:rsidP="00496A65"/>
    <w:p w14:paraId="4525B699" w14:textId="77777777" w:rsidR="00591C41" w:rsidRPr="00FD2055" w:rsidRDefault="00591C41" w:rsidP="00496A65">
      <w:pPr>
        <w:pStyle w:val="Titre6"/>
        <w:numPr>
          <w:ilvl w:val="0"/>
          <w:numId w:val="6"/>
        </w:numPr>
      </w:pPr>
      <w:proofErr w:type="spellStart"/>
      <w:r w:rsidRPr="00FD2055">
        <w:t>Secondary</w:t>
      </w:r>
      <w:proofErr w:type="spellEnd"/>
      <w:r w:rsidRPr="00FD2055">
        <w:t xml:space="preserve"> </w:t>
      </w:r>
      <w:proofErr w:type="spellStart"/>
      <w:r w:rsidRPr="00FD2055">
        <w:t>poisoning</w:t>
      </w:r>
      <w:proofErr w:type="spellEnd"/>
    </w:p>
    <w:p w14:paraId="52DAD84F" w14:textId="77777777" w:rsidR="00591C41" w:rsidRPr="002F3EED" w:rsidRDefault="00591C41" w:rsidP="00496A65">
      <w:r w:rsidRPr="002F3EED">
        <w:t xml:space="preserve">Not relevant, since </w:t>
      </w:r>
      <w:r>
        <w:t xml:space="preserve">no </w:t>
      </w:r>
      <w:r w:rsidRPr="002F3EED">
        <w:t xml:space="preserve">bioaccumulation </w:t>
      </w:r>
      <w:r>
        <w:t xml:space="preserve">is </w:t>
      </w:r>
      <w:r w:rsidRPr="002F3EED">
        <w:t>expected.</w:t>
      </w:r>
    </w:p>
    <w:p w14:paraId="30A9288A" w14:textId="77777777" w:rsidR="00591C41" w:rsidRPr="002F3EED" w:rsidRDefault="00591C41" w:rsidP="00496A65"/>
    <w:p w14:paraId="648507CE" w14:textId="77777777" w:rsidR="00591C41" w:rsidRDefault="00591C41" w:rsidP="00496A65"/>
    <w:p w14:paraId="5E894339" w14:textId="77777777" w:rsidR="00591C41" w:rsidRDefault="00591C41" w:rsidP="00496A65">
      <w:r>
        <w:br w:type="page"/>
      </w:r>
    </w:p>
    <w:p w14:paraId="52E4D64B" w14:textId="77777777" w:rsidR="00591C41" w:rsidRDefault="00591C41" w:rsidP="00496A65">
      <w:pPr>
        <w:pStyle w:val="Titre4"/>
      </w:pPr>
      <w:bookmarkStart w:id="337" w:name="_Toc8296554"/>
      <w:r>
        <w:lastRenderedPageBreak/>
        <w:t xml:space="preserve">Risk </w:t>
      </w:r>
      <w:proofErr w:type="spellStart"/>
      <w:r>
        <w:t>characterisation</w:t>
      </w:r>
      <w:bookmarkEnd w:id="337"/>
      <w:proofErr w:type="spellEnd"/>
    </w:p>
    <w:p w14:paraId="2FFDED5D" w14:textId="77777777" w:rsidR="00591C41" w:rsidRPr="00E94ED0" w:rsidRDefault="00591C41" w:rsidP="00496A65">
      <w:pPr>
        <w:pStyle w:val="Titre5"/>
        <w:numPr>
          <w:ilvl w:val="0"/>
          <w:numId w:val="23"/>
        </w:numPr>
      </w:pPr>
      <w:bookmarkStart w:id="338" w:name="_Toc8296555"/>
      <w:r>
        <w:t>Atmosphere</w:t>
      </w:r>
      <w:bookmarkEnd w:id="338"/>
    </w:p>
    <w:p w14:paraId="3B87D4C3" w14:textId="77777777" w:rsidR="00591C41" w:rsidRPr="00351A9A" w:rsidRDefault="00591C41" w:rsidP="00496A65">
      <w:pPr>
        <w:rPr>
          <w:u w:val="single"/>
        </w:rPr>
      </w:pPr>
      <w:r w:rsidRPr="00351A9A">
        <w:rPr>
          <w:u w:val="single"/>
        </w:rPr>
        <w:t xml:space="preserve">Conclusion: </w:t>
      </w:r>
    </w:p>
    <w:p w14:paraId="64FA1DB8" w14:textId="77777777" w:rsidR="00591C41" w:rsidRPr="00FD2055" w:rsidRDefault="00591C41" w:rsidP="00496A65">
      <w:r>
        <w:t>Only negligible exposure to the atmosphere is expected and no threat to the atmosphere is expected.</w:t>
      </w:r>
    </w:p>
    <w:p w14:paraId="6A5316B9" w14:textId="77777777" w:rsidR="00591C41" w:rsidRPr="00FD2055" w:rsidRDefault="00591C41" w:rsidP="00496A65">
      <w:pPr>
        <w:pStyle w:val="Titre5"/>
      </w:pPr>
      <w:bookmarkStart w:id="339" w:name="_Toc377651051"/>
      <w:bookmarkStart w:id="340" w:name="_Toc389729120"/>
      <w:bookmarkStart w:id="341" w:name="_Toc403472804"/>
      <w:bookmarkStart w:id="342" w:name="_Toc8296556"/>
      <w:r w:rsidRPr="00FD2055">
        <w:t>Sewage treatment plant (STP</w:t>
      </w:r>
      <w:bookmarkEnd w:id="339"/>
      <w:r w:rsidRPr="00FD2055">
        <w:t>)</w:t>
      </w:r>
      <w:bookmarkEnd w:id="340"/>
      <w:bookmarkEnd w:id="341"/>
      <w:bookmarkEnd w:id="342"/>
      <w:r w:rsidRPr="00FD20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1632"/>
        <w:gridCol w:w="5540"/>
      </w:tblGrid>
      <w:tr w:rsidR="00591C41" w:rsidRPr="00351A9A" w14:paraId="4037100F" w14:textId="77777777" w:rsidTr="00A34679">
        <w:trPr>
          <w:trHeight w:val="249"/>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14:paraId="109BB337" w14:textId="77777777" w:rsidR="00591C41" w:rsidRPr="00351A9A" w:rsidRDefault="00591C41" w:rsidP="00496A65">
            <w:pPr>
              <w:pStyle w:val="Standaard-Tabellen"/>
              <w:rPr>
                <w:b/>
              </w:rPr>
            </w:pPr>
            <w:r w:rsidRPr="00351A9A">
              <w:rPr>
                <w:b/>
              </w:rPr>
              <w:t>Summary table on calculated PEC/PNEC values</w:t>
            </w:r>
          </w:p>
        </w:tc>
      </w:tr>
      <w:tr w:rsidR="00591C41" w:rsidRPr="00351A9A" w14:paraId="14353A74" w14:textId="77777777" w:rsidTr="00A34679">
        <w:trPr>
          <w:trHeight w:val="471"/>
        </w:trPr>
        <w:tc>
          <w:tcPr>
            <w:tcW w:w="1186" w:type="pct"/>
            <w:shd w:val="clear" w:color="auto" w:fill="BFBFBF" w:themeFill="background1" w:themeFillShade="BF"/>
            <w:vAlign w:val="center"/>
          </w:tcPr>
          <w:p w14:paraId="1B6FE971" w14:textId="77777777" w:rsidR="00591C41" w:rsidRPr="00351A9A" w:rsidRDefault="00591C41" w:rsidP="00496A65">
            <w:pPr>
              <w:pStyle w:val="Standaard-Tabellen"/>
              <w:rPr>
                <w:b/>
              </w:rPr>
            </w:pPr>
          </w:p>
        </w:tc>
        <w:tc>
          <w:tcPr>
            <w:tcW w:w="868" w:type="pct"/>
            <w:shd w:val="clear" w:color="auto" w:fill="BFBFBF" w:themeFill="background1" w:themeFillShade="BF"/>
          </w:tcPr>
          <w:p w14:paraId="2F5B4D4C" w14:textId="77777777" w:rsidR="00591C41" w:rsidRPr="00351A9A" w:rsidRDefault="00591C41" w:rsidP="00496A65">
            <w:pPr>
              <w:pStyle w:val="Standaard-Tabellen"/>
              <w:rPr>
                <w:b/>
              </w:rPr>
            </w:pPr>
          </w:p>
        </w:tc>
        <w:tc>
          <w:tcPr>
            <w:tcW w:w="2946" w:type="pct"/>
            <w:shd w:val="clear" w:color="auto" w:fill="BFBFBF" w:themeFill="background1" w:themeFillShade="BF"/>
            <w:vAlign w:val="center"/>
          </w:tcPr>
          <w:p w14:paraId="5CB12DC1" w14:textId="77777777" w:rsidR="00591C41" w:rsidRPr="00351A9A" w:rsidRDefault="00591C41" w:rsidP="00496A65">
            <w:pPr>
              <w:pStyle w:val="Standaard-Tabellen"/>
              <w:rPr>
                <w:b/>
              </w:rPr>
            </w:pPr>
            <w:r w:rsidRPr="00351A9A">
              <w:rPr>
                <w:b/>
              </w:rPr>
              <w:t>PEC/PNEC</w:t>
            </w:r>
            <w:r w:rsidRPr="00351A9A">
              <w:rPr>
                <w:b/>
                <w:vertAlign w:val="subscript"/>
              </w:rPr>
              <w:t>STP</w:t>
            </w:r>
          </w:p>
        </w:tc>
      </w:tr>
      <w:tr w:rsidR="00591C41" w:rsidRPr="00FD2055" w14:paraId="383B8053" w14:textId="77777777" w:rsidTr="00A34679">
        <w:trPr>
          <w:trHeight w:val="75"/>
        </w:trPr>
        <w:tc>
          <w:tcPr>
            <w:tcW w:w="1186" w:type="pct"/>
            <w:vMerge w:val="restart"/>
            <w:shd w:val="clear" w:color="auto" w:fill="FFFFFF"/>
          </w:tcPr>
          <w:p w14:paraId="591038D9" w14:textId="77777777" w:rsidR="00591C41" w:rsidRPr="00FD2055" w:rsidRDefault="00591C41" w:rsidP="00496A65">
            <w:pPr>
              <w:pStyle w:val="Standaard-Tabellen"/>
            </w:pPr>
            <w:r>
              <w:t>Scenario 1</w:t>
            </w:r>
          </w:p>
        </w:tc>
        <w:tc>
          <w:tcPr>
            <w:tcW w:w="868" w:type="pct"/>
            <w:shd w:val="clear" w:color="auto" w:fill="FFFFFF"/>
          </w:tcPr>
          <w:p w14:paraId="5E61CC53" w14:textId="77777777" w:rsidR="00591C41" w:rsidRPr="00FD2055" w:rsidRDefault="00591C41" w:rsidP="00496A65">
            <w:pPr>
              <w:pStyle w:val="Standaard-Tabellen"/>
            </w:pPr>
            <w:r>
              <w:t>TIER 1</w:t>
            </w:r>
          </w:p>
        </w:tc>
        <w:tc>
          <w:tcPr>
            <w:tcW w:w="2946" w:type="pct"/>
            <w:shd w:val="clear" w:color="auto" w:fill="FFFFFF"/>
          </w:tcPr>
          <w:p w14:paraId="68E870C7" w14:textId="57E6CD38" w:rsidR="00591C41" w:rsidRPr="0046760C" w:rsidRDefault="00591C41" w:rsidP="00496A65">
            <w:pPr>
              <w:pStyle w:val="Standaard-Tabellen"/>
              <w:rPr>
                <w:vertAlign w:val="superscript"/>
              </w:rPr>
            </w:pPr>
            <w:r w:rsidRPr="0046760C">
              <w:t>1.</w:t>
            </w:r>
            <w:r w:rsidR="000949F7" w:rsidRPr="0046760C">
              <w:t>21</w:t>
            </w:r>
            <w:r w:rsidR="008D40D3" w:rsidRPr="0046760C">
              <w:t>x10</w:t>
            </w:r>
            <w:r w:rsidRPr="0046760C">
              <w:rPr>
                <w:vertAlign w:val="superscript"/>
              </w:rPr>
              <w:t>-2</w:t>
            </w:r>
          </w:p>
        </w:tc>
      </w:tr>
      <w:tr w:rsidR="00591C41" w:rsidRPr="00FD2055" w14:paraId="31928BAF" w14:textId="77777777" w:rsidTr="00A34679">
        <w:trPr>
          <w:trHeight w:val="75"/>
        </w:trPr>
        <w:tc>
          <w:tcPr>
            <w:tcW w:w="1186" w:type="pct"/>
            <w:vMerge/>
            <w:shd w:val="clear" w:color="auto" w:fill="FFFFFF"/>
          </w:tcPr>
          <w:p w14:paraId="5DB6B78F" w14:textId="77777777" w:rsidR="00591C41" w:rsidRPr="00FD2055" w:rsidRDefault="00591C41" w:rsidP="00496A65">
            <w:pPr>
              <w:pStyle w:val="Standaard-Tabellen"/>
            </w:pPr>
          </w:p>
        </w:tc>
        <w:tc>
          <w:tcPr>
            <w:tcW w:w="868" w:type="pct"/>
            <w:shd w:val="clear" w:color="auto" w:fill="FFFFFF"/>
          </w:tcPr>
          <w:p w14:paraId="45ACC6C2" w14:textId="77777777" w:rsidR="00591C41" w:rsidRPr="00FD2055" w:rsidRDefault="00591C41" w:rsidP="00496A65">
            <w:pPr>
              <w:pStyle w:val="Standaard-Tabellen"/>
            </w:pPr>
            <w:r>
              <w:t>TIER 2</w:t>
            </w:r>
          </w:p>
        </w:tc>
        <w:tc>
          <w:tcPr>
            <w:tcW w:w="2946" w:type="pct"/>
            <w:shd w:val="clear" w:color="auto" w:fill="FFFFFF"/>
          </w:tcPr>
          <w:p w14:paraId="1051EA34" w14:textId="4C5BB349" w:rsidR="00591C41" w:rsidRPr="0046760C" w:rsidRDefault="00591C41" w:rsidP="00496A65">
            <w:pPr>
              <w:pStyle w:val="Standaard-Tabellen"/>
              <w:rPr>
                <w:vertAlign w:val="superscript"/>
              </w:rPr>
            </w:pPr>
            <w:r w:rsidRPr="0046760C">
              <w:t>1.</w:t>
            </w:r>
            <w:r w:rsidR="000949F7" w:rsidRPr="0046760C">
              <w:t>22</w:t>
            </w:r>
            <w:r w:rsidR="008D40D3" w:rsidRPr="0046760C">
              <w:t>x10</w:t>
            </w:r>
            <w:r w:rsidRPr="0046760C">
              <w:rPr>
                <w:vertAlign w:val="superscript"/>
              </w:rPr>
              <w:t>-4</w:t>
            </w:r>
          </w:p>
        </w:tc>
      </w:tr>
      <w:tr w:rsidR="00591C41" w:rsidRPr="00FD2055" w14:paraId="7E33F628" w14:textId="77777777" w:rsidTr="00A34679">
        <w:trPr>
          <w:trHeight w:val="75"/>
        </w:trPr>
        <w:tc>
          <w:tcPr>
            <w:tcW w:w="1186" w:type="pct"/>
            <w:vMerge w:val="restart"/>
            <w:shd w:val="clear" w:color="auto" w:fill="FFFFFF"/>
          </w:tcPr>
          <w:p w14:paraId="5E05744A" w14:textId="77777777" w:rsidR="00591C41" w:rsidRPr="00FD2055" w:rsidRDefault="00591C41" w:rsidP="00496A65">
            <w:pPr>
              <w:pStyle w:val="Standaard-Tabellen"/>
            </w:pPr>
            <w:r>
              <w:t>Scenario 2</w:t>
            </w:r>
          </w:p>
        </w:tc>
        <w:tc>
          <w:tcPr>
            <w:tcW w:w="868" w:type="pct"/>
            <w:shd w:val="clear" w:color="auto" w:fill="FFFFFF"/>
          </w:tcPr>
          <w:p w14:paraId="124B322C" w14:textId="77777777" w:rsidR="00591C41" w:rsidRDefault="00591C41" w:rsidP="00496A65">
            <w:pPr>
              <w:pStyle w:val="Standaard-Tabellen"/>
            </w:pPr>
            <w:r>
              <w:t>Day 1</w:t>
            </w:r>
          </w:p>
        </w:tc>
        <w:tc>
          <w:tcPr>
            <w:tcW w:w="2946" w:type="pct"/>
            <w:shd w:val="clear" w:color="auto" w:fill="FFFFFF"/>
          </w:tcPr>
          <w:p w14:paraId="69D07C0D" w14:textId="77777777" w:rsidR="00591C41" w:rsidRPr="00BD5A49" w:rsidRDefault="00591C41" w:rsidP="00496A65">
            <w:pPr>
              <w:pStyle w:val="Standaard-Tabellen"/>
            </w:pPr>
            <w:r>
              <w:t>Not relevant</w:t>
            </w:r>
          </w:p>
        </w:tc>
      </w:tr>
      <w:tr w:rsidR="00591C41" w:rsidRPr="00FD2055" w14:paraId="073CC4E8" w14:textId="77777777" w:rsidTr="00A34679">
        <w:trPr>
          <w:trHeight w:val="75"/>
        </w:trPr>
        <w:tc>
          <w:tcPr>
            <w:tcW w:w="1186" w:type="pct"/>
            <w:vMerge/>
            <w:shd w:val="clear" w:color="auto" w:fill="FFFFFF"/>
          </w:tcPr>
          <w:p w14:paraId="2A774AE7" w14:textId="77777777" w:rsidR="00591C41" w:rsidRDefault="00591C41" w:rsidP="00496A65">
            <w:pPr>
              <w:pStyle w:val="Standaard-Tabellen"/>
            </w:pPr>
          </w:p>
        </w:tc>
        <w:tc>
          <w:tcPr>
            <w:tcW w:w="868" w:type="pct"/>
            <w:shd w:val="clear" w:color="auto" w:fill="FFFFFF"/>
          </w:tcPr>
          <w:p w14:paraId="3D8148D3" w14:textId="77777777" w:rsidR="00591C41" w:rsidRDefault="00591C41" w:rsidP="00496A65">
            <w:pPr>
              <w:pStyle w:val="Standaard-Tabellen"/>
            </w:pPr>
            <w:r>
              <w:t>Day 91</w:t>
            </w:r>
          </w:p>
        </w:tc>
        <w:tc>
          <w:tcPr>
            <w:tcW w:w="2946" w:type="pct"/>
            <w:shd w:val="clear" w:color="auto" w:fill="FFFFFF"/>
          </w:tcPr>
          <w:p w14:paraId="23D39661" w14:textId="77777777" w:rsidR="00591C41" w:rsidRPr="00BD5A49" w:rsidRDefault="00591C41" w:rsidP="00496A65">
            <w:pPr>
              <w:pStyle w:val="Standaard-Tabellen"/>
            </w:pPr>
            <w:r>
              <w:t>Not relevant</w:t>
            </w:r>
          </w:p>
        </w:tc>
      </w:tr>
    </w:tbl>
    <w:p w14:paraId="415ABE90" w14:textId="77777777" w:rsidR="00591C41" w:rsidRPr="00FD2055" w:rsidRDefault="00591C41" w:rsidP="00496A65"/>
    <w:p w14:paraId="514D82B0" w14:textId="77777777" w:rsidR="00591C41" w:rsidRPr="00351A9A" w:rsidRDefault="00591C41" w:rsidP="00496A65">
      <w:pPr>
        <w:rPr>
          <w:u w:val="single"/>
        </w:rPr>
      </w:pPr>
      <w:r w:rsidRPr="00351A9A">
        <w:rPr>
          <w:u w:val="single"/>
        </w:rPr>
        <w:t xml:space="preserve">Conclusion: </w:t>
      </w:r>
    </w:p>
    <w:p w14:paraId="259B74C1" w14:textId="77777777" w:rsidR="00591C41" w:rsidRPr="00FD2055" w:rsidRDefault="00591C41" w:rsidP="00496A65">
      <w:r>
        <w:t>No adverse effect for the STP is expected</w:t>
      </w:r>
    </w:p>
    <w:p w14:paraId="57DAC948" w14:textId="77777777" w:rsidR="00591C41" w:rsidRDefault="00591C41" w:rsidP="00496A65">
      <w:pPr>
        <w:pStyle w:val="Titre5"/>
      </w:pPr>
      <w:bookmarkStart w:id="343" w:name="_Toc377651052"/>
      <w:bookmarkStart w:id="344" w:name="_Toc389729121"/>
      <w:bookmarkStart w:id="345" w:name="_Toc403472805"/>
      <w:bookmarkStart w:id="346" w:name="_Toc8296557"/>
      <w:r w:rsidRPr="00FD2055">
        <w:t>Aquatic compartment</w:t>
      </w:r>
      <w:bookmarkEnd w:id="343"/>
      <w:bookmarkEnd w:id="344"/>
      <w:bookmarkEnd w:id="345"/>
      <w:bookmarkEnd w:id="346"/>
    </w:p>
    <w:p w14:paraId="7F68BFB2" w14:textId="77777777" w:rsidR="00591C41" w:rsidRDefault="00591C41" w:rsidP="00496A65">
      <w:r>
        <w:t xml:space="preserve">Neither for scenario 1, nor for scenario 2, </w:t>
      </w:r>
      <w:proofErr w:type="gramStart"/>
      <w:r>
        <w:t>calculations were</w:t>
      </w:r>
      <w:proofErr w:type="gramEnd"/>
      <w:r>
        <w:t xml:space="preserve"> made for the sediment, since the </w:t>
      </w:r>
      <w:proofErr w:type="spellStart"/>
      <w:r>
        <w:t>PNEC</w:t>
      </w:r>
      <w:r>
        <w:rPr>
          <w:vertAlign w:val="subscript"/>
        </w:rPr>
        <w:t>sediment</w:t>
      </w:r>
      <w:proofErr w:type="spellEnd"/>
      <w:r>
        <w:t xml:space="preserve"> was determined through the EPM-method. This means that the risk assessment for water is applicable for the sediment as well.</w:t>
      </w:r>
    </w:p>
    <w:p w14:paraId="708F091F" w14:textId="77777777" w:rsidR="00591C41" w:rsidRDefault="00591C41" w:rsidP="00496A65">
      <w:r>
        <w:t>For the scenario 2, possible degradation in surface water is not taken into account as a worst-case evaluation.</w:t>
      </w:r>
    </w:p>
    <w:p w14:paraId="3A5DD509" w14:textId="77777777" w:rsidR="00591C41" w:rsidRPr="00BD5A49" w:rsidRDefault="00591C41" w:rsidP="00496A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1651"/>
        <w:gridCol w:w="5498"/>
      </w:tblGrid>
      <w:tr w:rsidR="00591C41" w:rsidRPr="00351A9A" w14:paraId="0ECD1274" w14:textId="77777777" w:rsidTr="00A34679">
        <w:trPr>
          <w:trHeight w:val="249"/>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tcPr>
          <w:p w14:paraId="3CC28DF7" w14:textId="77777777" w:rsidR="00591C41" w:rsidRPr="00351A9A" w:rsidRDefault="00591C41" w:rsidP="00496A65">
            <w:pPr>
              <w:pStyle w:val="Standaard-Tabellen"/>
              <w:rPr>
                <w:b/>
              </w:rPr>
            </w:pPr>
            <w:bookmarkStart w:id="347" w:name="_Toc377651053"/>
            <w:r w:rsidRPr="00351A9A">
              <w:rPr>
                <w:b/>
              </w:rPr>
              <w:t>Summary table on calculated PEC/PNEC values</w:t>
            </w:r>
          </w:p>
        </w:tc>
      </w:tr>
      <w:tr w:rsidR="00591C41" w:rsidRPr="00351A9A" w14:paraId="188FF458" w14:textId="77777777" w:rsidTr="00A34679">
        <w:trPr>
          <w:trHeight w:val="473"/>
        </w:trPr>
        <w:tc>
          <w:tcPr>
            <w:tcW w:w="1198" w:type="pct"/>
            <w:shd w:val="clear" w:color="auto" w:fill="BFBFBF" w:themeFill="background1" w:themeFillShade="BF"/>
            <w:vAlign w:val="center"/>
          </w:tcPr>
          <w:p w14:paraId="6C4997D2" w14:textId="77777777" w:rsidR="00591C41" w:rsidRPr="00351A9A" w:rsidRDefault="00591C41" w:rsidP="00496A65">
            <w:pPr>
              <w:pStyle w:val="Standaard-Tabellen"/>
              <w:rPr>
                <w:b/>
              </w:rPr>
            </w:pPr>
          </w:p>
        </w:tc>
        <w:tc>
          <w:tcPr>
            <w:tcW w:w="878" w:type="pct"/>
            <w:shd w:val="clear" w:color="auto" w:fill="BFBFBF" w:themeFill="background1" w:themeFillShade="BF"/>
          </w:tcPr>
          <w:p w14:paraId="5E524F85" w14:textId="77777777" w:rsidR="00591C41" w:rsidRPr="00351A9A" w:rsidRDefault="00591C41" w:rsidP="00496A65">
            <w:pPr>
              <w:pStyle w:val="Standaard-Tabellen"/>
              <w:rPr>
                <w:b/>
              </w:rPr>
            </w:pPr>
          </w:p>
        </w:tc>
        <w:tc>
          <w:tcPr>
            <w:tcW w:w="2924" w:type="pct"/>
            <w:shd w:val="clear" w:color="auto" w:fill="BFBFBF" w:themeFill="background1" w:themeFillShade="BF"/>
            <w:vAlign w:val="center"/>
          </w:tcPr>
          <w:p w14:paraId="16C18174" w14:textId="77777777" w:rsidR="00591C41" w:rsidRPr="00351A9A" w:rsidRDefault="00591C41" w:rsidP="00496A65">
            <w:pPr>
              <w:pStyle w:val="Standaard-Tabellen"/>
              <w:rPr>
                <w:b/>
              </w:rPr>
            </w:pPr>
            <w:r w:rsidRPr="00351A9A">
              <w:rPr>
                <w:b/>
              </w:rPr>
              <w:t>PEC/</w:t>
            </w:r>
            <w:proofErr w:type="spellStart"/>
            <w:r w:rsidRPr="00351A9A">
              <w:rPr>
                <w:b/>
              </w:rPr>
              <w:t>PNEC</w:t>
            </w:r>
            <w:r w:rsidRPr="00351A9A">
              <w:rPr>
                <w:b/>
                <w:vertAlign w:val="subscript"/>
              </w:rPr>
              <w:t>water</w:t>
            </w:r>
            <w:proofErr w:type="spellEnd"/>
          </w:p>
        </w:tc>
      </w:tr>
      <w:tr w:rsidR="00591C41" w:rsidRPr="00FD2055" w14:paraId="23AA4D2E" w14:textId="77777777" w:rsidTr="00A34679">
        <w:trPr>
          <w:trHeight w:val="75"/>
        </w:trPr>
        <w:tc>
          <w:tcPr>
            <w:tcW w:w="1198" w:type="pct"/>
            <w:vMerge w:val="restart"/>
            <w:shd w:val="clear" w:color="auto" w:fill="FFFFFF"/>
          </w:tcPr>
          <w:p w14:paraId="659D8618" w14:textId="77777777" w:rsidR="00591C41" w:rsidRPr="00FD2055" w:rsidRDefault="00591C41" w:rsidP="00496A65">
            <w:pPr>
              <w:pStyle w:val="Standaard-Tabellen"/>
            </w:pPr>
            <w:r w:rsidRPr="00FD2055">
              <w:t>Scenario 1</w:t>
            </w:r>
          </w:p>
        </w:tc>
        <w:tc>
          <w:tcPr>
            <w:tcW w:w="878" w:type="pct"/>
            <w:shd w:val="clear" w:color="auto" w:fill="FFFFFF"/>
          </w:tcPr>
          <w:p w14:paraId="672E3469" w14:textId="77777777" w:rsidR="00591C41" w:rsidRPr="00FD2055" w:rsidRDefault="00591C41" w:rsidP="00496A65">
            <w:pPr>
              <w:pStyle w:val="Standaard-Tabellen"/>
            </w:pPr>
            <w:r>
              <w:t>TIER 1</w:t>
            </w:r>
          </w:p>
        </w:tc>
        <w:tc>
          <w:tcPr>
            <w:tcW w:w="2924" w:type="pct"/>
            <w:shd w:val="clear" w:color="auto" w:fill="FFFFFF"/>
            <w:vAlign w:val="center"/>
          </w:tcPr>
          <w:p w14:paraId="729D9D59" w14:textId="74F9DE78" w:rsidR="00591C41" w:rsidRPr="00FD2055" w:rsidRDefault="00591C41" w:rsidP="00496A65">
            <w:pPr>
              <w:pStyle w:val="Standaard-Tabellen"/>
            </w:pPr>
            <w:r w:rsidRPr="00BD5A49">
              <w:rPr>
                <w:b/>
                <w:color w:val="C00000"/>
              </w:rPr>
              <w:t>1.</w:t>
            </w:r>
            <w:r w:rsidR="000949F7">
              <w:rPr>
                <w:b/>
                <w:color w:val="C00000"/>
              </w:rPr>
              <w:t>21</w:t>
            </w:r>
          </w:p>
        </w:tc>
      </w:tr>
      <w:tr w:rsidR="00591C41" w:rsidRPr="00FD2055" w14:paraId="0726EF8D" w14:textId="77777777" w:rsidTr="00A34679">
        <w:trPr>
          <w:trHeight w:val="75"/>
        </w:trPr>
        <w:tc>
          <w:tcPr>
            <w:tcW w:w="1198" w:type="pct"/>
            <w:vMerge/>
            <w:shd w:val="clear" w:color="auto" w:fill="FFFFFF"/>
          </w:tcPr>
          <w:p w14:paraId="575F9C46" w14:textId="77777777" w:rsidR="00591C41" w:rsidRPr="00FD2055" w:rsidRDefault="00591C41" w:rsidP="00496A65">
            <w:pPr>
              <w:pStyle w:val="Standaard-Tabellen"/>
            </w:pPr>
          </w:p>
        </w:tc>
        <w:tc>
          <w:tcPr>
            <w:tcW w:w="878" w:type="pct"/>
            <w:shd w:val="clear" w:color="auto" w:fill="FFFFFF"/>
          </w:tcPr>
          <w:p w14:paraId="09FB1CF9" w14:textId="77777777" w:rsidR="00591C41" w:rsidRPr="00FD2055" w:rsidRDefault="00591C41" w:rsidP="00496A65">
            <w:pPr>
              <w:pStyle w:val="Standaard-Tabellen"/>
            </w:pPr>
            <w:r>
              <w:t>TIER 2</w:t>
            </w:r>
          </w:p>
        </w:tc>
        <w:tc>
          <w:tcPr>
            <w:tcW w:w="2924" w:type="pct"/>
            <w:shd w:val="clear" w:color="auto" w:fill="FFFFFF"/>
            <w:vAlign w:val="center"/>
          </w:tcPr>
          <w:p w14:paraId="01933362" w14:textId="30D89177" w:rsidR="00591C41" w:rsidRPr="0046760C" w:rsidRDefault="00591C41" w:rsidP="00496A65">
            <w:pPr>
              <w:pStyle w:val="Standaard-Tabellen"/>
              <w:rPr>
                <w:vertAlign w:val="superscript"/>
              </w:rPr>
            </w:pPr>
            <w:r w:rsidRPr="0046760C">
              <w:t>1.</w:t>
            </w:r>
            <w:r w:rsidR="000949F7" w:rsidRPr="0046760C">
              <w:t>2</w:t>
            </w:r>
            <w:r w:rsidR="008D40D3" w:rsidRPr="0046760C">
              <w:t>2x10</w:t>
            </w:r>
            <w:r w:rsidRPr="0046760C">
              <w:rPr>
                <w:vertAlign w:val="superscript"/>
              </w:rPr>
              <w:t>-2</w:t>
            </w:r>
          </w:p>
        </w:tc>
      </w:tr>
      <w:tr w:rsidR="00591C41" w:rsidRPr="00FD2055" w14:paraId="4EDECD1D" w14:textId="77777777" w:rsidTr="00A34679">
        <w:trPr>
          <w:trHeight w:val="75"/>
        </w:trPr>
        <w:tc>
          <w:tcPr>
            <w:tcW w:w="1198" w:type="pct"/>
            <w:vMerge w:val="restart"/>
            <w:shd w:val="clear" w:color="auto" w:fill="FFFFFF"/>
          </w:tcPr>
          <w:p w14:paraId="7BC0A97F" w14:textId="77777777" w:rsidR="00591C41" w:rsidRPr="00FD2055" w:rsidRDefault="00591C41" w:rsidP="00496A65">
            <w:pPr>
              <w:pStyle w:val="Standaard-Tabellen"/>
            </w:pPr>
            <w:r>
              <w:t>Scenario 2</w:t>
            </w:r>
          </w:p>
        </w:tc>
        <w:tc>
          <w:tcPr>
            <w:tcW w:w="878" w:type="pct"/>
            <w:shd w:val="clear" w:color="auto" w:fill="FFFFFF"/>
          </w:tcPr>
          <w:p w14:paraId="29335819" w14:textId="77777777" w:rsidR="00591C41" w:rsidRDefault="00591C41" w:rsidP="00496A65">
            <w:pPr>
              <w:pStyle w:val="Standaard-Tabellen"/>
            </w:pPr>
            <w:r>
              <w:t>Day 1</w:t>
            </w:r>
          </w:p>
        </w:tc>
        <w:tc>
          <w:tcPr>
            <w:tcW w:w="2924" w:type="pct"/>
            <w:shd w:val="clear" w:color="auto" w:fill="FFFFFF"/>
          </w:tcPr>
          <w:p w14:paraId="31C788FB" w14:textId="7F513D0C" w:rsidR="00591C41" w:rsidRPr="0046760C" w:rsidRDefault="000949F7" w:rsidP="00496A65">
            <w:pPr>
              <w:pStyle w:val="Standaard-Tabellen"/>
              <w:rPr>
                <w:vertAlign w:val="superscript"/>
              </w:rPr>
            </w:pPr>
            <w:r w:rsidRPr="0046760C">
              <w:t>7.67</w:t>
            </w:r>
            <w:r w:rsidR="00A6239B" w:rsidRPr="0046760C">
              <w:t>x10</w:t>
            </w:r>
            <w:r w:rsidR="00A6239B" w:rsidRPr="0046760C">
              <w:rPr>
                <w:vertAlign w:val="superscript"/>
              </w:rPr>
              <w:t>-3</w:t>
            </w:r>
          </w:p>
        </w:tc>
      </w:tr>
      <w:tr w:rsidR="00591C41" w:rsidRPr="00FD2055" w14:paraId="739ABB67" w14:textId="77777777" w:rsidTr="00A34679">
        <w:trPr>
          <w:trHeight w:val="75"/>
        </w:trPr>
        <w:tc>
          <w:tcPr>
            <w:tcW w:w="1198" w:type="pct"/>
            <w:vMerge/>
            <w:shd w:val="clear" w:color="auto" w:fill="FFFFFF"/>
          </w:tcPr>
          <w:p w14:paraId="546FB9C2" w14:textId="77777777" w:rsidR="00591C41" w:rsidRDefault="00591C41" w:rsidP="00496A65">
            <w:pPr>
              <w:pStyle w:val="Standaard-Tabellen"/>
            </w:pPr>
          </w:p>
        </w:tc>
        <w:tc>
          <w:tcPr>
            <w:tcW w:w="878" w:type="pct"/>
            <w:shd w:val="clear" w:color="auto" w:fill="FFFFFF"/>
          </w:tcPr>
          <w:p w14:paraId="5D363AB7" w14:textId="77777777" w:rsidR="00591C41" w:rsidRDefault="00591C41" w:rsidP="00496A65">
            <w:pPr>
              <w:pStyle w:val="Standaard-Tabellen"/>
            </w:pPr>
            <w:r>
              <w:t>Day 91</w:t>
            </w:r>
          </w:p>
        </w:tc>
        <w:tc>
          <w:tcPr>
            <w:tcW w:w="2924" w:type="pct"/>
            <w:shd w:val="clear" w:color="auto" w:fill="FFFFFF"/>
          </w:tcPr>
          <w:p w14:paraId="04776643" w14:textId="6A9FE5C0" w:rsidR="00591C41" w:rsidRPr="0046760C" w:rsidRDefault="00591C41" w:rsidP="00496A65">
            <w:pPr>
              <w:pStyle w:val="Standaard-Tabellen"/>
              <w:rPr>
                <w:vertAlign w:val="superscript"/>
              </w:rPr>
            </w:pPr>
            <w:r w:rsidRPr="0046760C">
              <w:t>6.</w:t>
            </w:r>
            <w:r w:rsidR="000949F7" w:rsidRPr="0046760C">
              <w:t>98</w:t>
            </w:r>
            <w:r w:rsidRPr="0046760C">
              <w:t>x10</w:t>
            </w:r>
            <w:r w:rsidRPr="0046760C">
              <w:rPr>
                <w:vertAlign w:val="superscript"/>
              </w:rPr>
              <w:t>-</w:t>
            </w:r>
            <w:r w:rsidR="000075C1" w:rsidRPr="0046760C">
              <w:rPr>
                <w:vertAlign w:val="superscript"/>
              </w:rPr>
              <w:t>1</w:t>
            </w:r>
          </w:p>
        </w:tc>
      </w:tr>
    </w:tbl>
    <w:p w14:paraId="12145EEC" w14:textId="77777777" w:rsidR="00591C41" w:rsidRDefault="00591C41" w:rsidP="00496A65"/>
    <w:p w14:paraId="328A4AFE" w14:textId="73EE86A5" w:rsidR="00591C41" w:rsidRDefault="00591C41" w:rsidP="00496A65">
      <w:r>
        <w:t>For the scenario 1, when considering the worst-case assessment where no elimination from the STP is taken into account, then an adverse effect for the surface water is calculated. However when considering the TIER 2, where 99 % elimination from the STP is considered, no adve</w:t>
      </w:r>
      <w:r w:rsidR="006A497C">
        <w:t>r</w:t>
      </w:r>
      <w:r>
        <w:t>se effects are calculated.</w:t>
      </w:r>
    </w:p>
    <w:p w14:paraId="7E6BC225" w14:textId="77777777" w:rsidR="00591C41" w:rsidRDefault="00591C41" w:rsidP="00496A65">
      <w:pPr>
        <w:rPr>
          <w:u w:val="single"/>
        </w:rPr>
      </w:pPr>
      <w:r>
        <w:t>For the scenario 2, no adverse effects are expected, neither at day 1 nor at day 91, without considering degradation in the surface water.</w:t>
      </w:r>
    </w:p>
    <w:p w14:paraId="0703F769" w14:textId="77777777" w:rsidR="00591C41" w:rsidRDefault="00591C41" w:rsidP="00496A65"/>
    <w:p w14:paraId="3E373543" w14:textId="77777777" w:rsidR="00591C41" w:rsidRPr="00351A9A" w:rsidRDefault="00591C41" w:rsidP="00496A65">
      <w:pPr>
        <w:rPr>
          <w:u w:val="single"/>
        </w:rPr>
      </w:pPr>
      <w:r w:rsidRPr="00351A9A">
        <w:rPr>
          <w:u w:val="single"/>
        </w:rPr>
        <w:t xml:space="preserve">Conclusion: </w:t>
      </w:r>
    </w:p>
    <w:p w14:paraId="67031511" w14:textId="77777777" w:rsidR="00591C41" w:rsidRDefault="00591C41" w:rsidP="00496A65">
      <w:pPr>
        <w:rPr>
          <w:rFonts w:ascii="Times New Roman" w:hAnsi="Times New Roman"/>
          <w:i/>
        </w:rPr>
      </w:pPr>
      <w:r>
        <w:t>No adverse effect for the aquatic compartment is expected</w:t>
      </w:r>
    </w:p>
    <w:p w14:paraId="1653E38B" w14:textId="4CC1B998" w:rsidR="000A1162" w:rsidRDefault="000A1162" w:rsidP="00496A65">
      <w:pPr>
        <w:pStyle w:val="Titre5"/>
      </w:pPr>
      <w:bookmarkStart w:id="348" w:name="_Toc8296558"/>
      <w:bookmarkEnd w:id="347"/>
      <w:r>
        <w:t>Terrestrial</w:t>
      </w:r>
      <w:r w:rsidRPr="00FD2055">
        <w:t xml:space="preserve"> compartment</w:t>
      </w:r>
      <w:bookmarkEnd w:id="348"/>
    </w:p>
    <w:p w14:paraId="27E90E91" w14:textId="77777777" w:rsidR="00230946" w:rsidRDefault="00230946" w:rsidP="00230946">
      <w:pPr>
        <w:spacing w:before="0" w:after="160" w:line="259" w:lineRule="auto"/>
      </w:pPr>
      <w:r>
        <w:t>The terrestrial compartment is not considered a relevant receiving compartment (see point (III) above).</w:t>
      </w:r>
    </w:p>
    <w:p w14:paraId="32E09144" w14:textId="77777777" w:rsidR="00230946" w:rsidRDefault="00230946" w:rsidP="00230946">
      <w:pPr>
        <w:spacing w:before="0" w:after="160" w:line="259" w:lineRule="auto"/>
      </w:pPr>
      <w:r>
        <w:t>Exposure through sludge application is highly unlikely, since IR3535 almost completely degrades in the STP.</w:t>
      </w:r>
    </w:p>
    <w:p w14:paraId="6C31A735" w14:textId="77777777" w:rsidR="00230946" w:rsidRDefault="00230946" w:rsidP="00230946">
      <w:pPr>
        <w:spacing w:before="0" w:after="160" w:line="259" w:lineRule="auto"/>
      </w:pPr>
    </w:p>
    <w:p w14:paraId="47E87D5C" w14:textId="77777777" w:rsidR="00230946" w:rsidRDefault="00230946" w:rsidP="00230946">
      <w:pPr>
        <w:spacing w:before="0" w:after="160" w:line="259" w:lineRule="auto"/>
        <w:rPr>
          <w:u w:val="single"/>
        </w:rPr>
      </w:pPr>
      <w:r>
        <w:rPr>
          <w:u w:val="single"/>
        </w:rPr>
        <w:lastRenderedPageBreak/>
        <w:t>Conclusion</w:t>
      </w:r>
    </w:p>
    <w:p w14:paraId="3D1E1BD9" w14:textId="77777777" w:rsidR="00230946" w:rsidRPr="00D453DA" w:rsidRDefault="00230946" w:rsidP="00230946">
      <w:pPr>
        <w:spacing w:before="0" w:after="160" w:line="259" w:lineRule="auto"/>
      </w:pPr>
      <w:r w:rsidRPr="00D453DA">
        <w:t>No adverse effects for the terrestrial compartment are expected</w:t>
      </w:r>
    </w:p>
    <w:p w14:paraId="00D6DF19" w14:textId="37D478E1" w:rsidR="00287459" w:rsidRDefault="00287459" w:rsidP="00496A65">
      <w:pPr>
        <w:pStyle w:val="Titre5"/>
      </w:pPr>
      <w:bookmarkStart w:id="349" w:name="_Toc8296559"/>
      <w:r>
        <w:t>Groundwater</w:t>
      </w:r>
      <w:bookmarkEnd w:id="349"/>
    </w:p>
    <w:p w14:paraId="4E397C73" w14:textId="134A766F" w:rsidR="00287459" w:rsidRDefault="00287459" w:rsidP="00496A65">
      <w:r>
        <w:t>Since no exposure of the terrestrial compartment is expected, it follows that neither exposure to the groundwater is expected.</w:t>
      </w:r>
    </w:p>
    <w:p w14:paraId="0E6834BA" w14:textId="77777777" w:rsidR="00287459" w:rsidRDefault="00287459" w:rsidP="00496A65"/>
    <w:p w14:paraId="4EBB868E" w14:textId="77777777" w:rsidR="00287459" w:rsidRPr="00230946" w:rsidRDefault="00287459" w:rsidP="00496A65">
      <w:pPr>
        <w:rPr>
          <w:u w:val="single"/>
        </w:rPr>
      </w:pPr>
      <w:r w:rsidRPr="00230946">
        <w:rPr>
          <w:u w:val="single"/>
        </w:rPr>
        <w:t>Conclusion</w:t>
      </w:r>
    </w:p>
    <w:p w14:paraId="0B25DE44" w14:textId="5448A9DB" w:rsidR="00287459" w:rsidRPr="00D453DA" w:rsidRDefault="00287459" w:rsidP="00496A65">
      <w:r w:rsidRPr="00D453DA">
        <w:t>No adverse effects for the groundwater are expected.</w:t>
      </w:r>
    </w:p>
    <w:p w14:paraId="123E7080" w14:textId="77777777" w:rsidR="005E3D91" w:rsidRPr="00FD2055" w:rsidRDefault="005E3D91" w:rsidP="00496A65">
      <w:pPr>
        <w:pStyle w:val="Titre5"/>
      </w:pPr>
      <w:bookmarkStart w:id="350" w:name="_Toc8296560"/>
      <w:r w:rsidRPr="00FD2055">
        <w:t>Primary and secondary poisoning</w:t>
      </w:r>
      <w:bookmarkEnd w:id="350"/>
    </w:p>
    <w:p w14:paraId="14530355" w14:textId="77777777" w:rsidR="00ED460A" w:rsidRDefault="00ED460A" w:rsidP="00496A65">
      <w:r>
        <w:t>Primary poisoning is n</w:t>
      </w:r>
      <w:r w:rsidR="005E3D91" w:rsidRPr="002F3EED">
        <w:t>ot applicable, since this product is a repellent and has no intention of killing</w:t>
      </w:r>
      <w:r>
        <w:t>.</w:t>
      </w:r>
    </w:p>
    <w:p w14:paraId="5AC02C96" w14:textId="22C54F4D" w:rsidR="005E3D91" w:rsidRPr="002F3EED" w:rsidRDefault="00ED460A" w:rsidP="00496A65">
      <w:r>
        <w:t>Secondary poisoning is not relevant, since</w:t>
      </w:r>
      <w:r w:rsidR="005E3D91">
        <w:t xml:space="preserve"> no bioaccumulation is expected</w:t>
      </w:r>
      <w:r w:rsidR="005E3D91" w:rsidRPr="002F3EED">
        <w:t>.</w:t>
      </w:r>
    </w:p>
    <w:p w14:paraId="7684057B" w14:textId="5F77C285" w:rsidR="000A6258" w:rsidRPr="00FD2055" w:rsidRDefault="000A6258" w:rsidP="00496A65">
      <w:pPr>
        <w:pStyle w:val="Titre5"/>
      </w:pPr>
      <w:bookmarkStart w:id="351" w:name="_Toc8296561"/>
      <w:r>
        <w:t>Mixture toxicity</w:t>
      </w:r>
      <w:bookmarkEnd w:id="351"/>
    </w:p>
    <w:p w14:paraId="2A00D444" w14:textId="66C78299" w:rsidR="000A6258" w:rsidRPr="005E3D91" w:rsidRDefault="000A6258" w:rsidP="00496A65">
      <w:r>
        <w:t>Not relevant, since the product does not contain other components other than the active substance that could give a risk to the environment.</w:t>
      </w:r>
    </w:p>
    <w:p w14:paraId="0FEEC580" w14:textId="77777777" w:rsidR="002F75CF" w:rsidRDefault="002F75CF" w:rsidP="00496A65">
      <w:r>
        <w:br w:type="page"/>
      </w:r>
    </w:p>
    <w:p w14:paraId="561B8A0D" w14:textId="77777777" w:rsidR="005B60B4" w:rsidRDefault="002F75CF" w:rsidP="00496A65">
      <w:pPr>
        <w:pStyle w:val="Titre3"/>
      </w:pPr>
      <w:bookmarkStart w:id="352" w:name="_Toc8296562"/>
      <w:r>
        <w:lastRenderedPageBreak/>
        <w:t>Measures to protect man, animals and the environment</w:t>
      </w:r>
      <w:bookmarkEnd w:id="352"/>
    </w:p>
    <w:p w14:paraId="798C0AA8" w14:textId="77777777" w:rsidR="00824F95" w:rsidRDefault="00D10B2F" w:rsidP="00496A65">
      <w:r>
        <w:t>Please see §2.1.4 and §2.1.5 above.</w:t>
      </w:r>
    </w:p>
    <w:p w14:paraId="0C81CB7E" w14:textId="77777777" w:rsidR="00D10B2F" w:rsidRPr="00FD2055" w:rsidRDefault="00D10B2F" w:rsidP="00496A65"/>
    <w:p w14:paraId="6A684902" w14:textId="77777777" w:rsidR="00824F95" w:rsidRPr="00824F95" w:rsidRDefault="00824F95" w:rsidP="00496A65">
      <w:pPr>
        <w:pStyle w:val="Titre3"/>
      </w:pPr>
      <w:bookmarkStart w:id="353" w:name="_Toc377649077"/>
      <w:bookmarkStart w:id="354" w:name="_Toc377650930"/>
      <w:bookmarkStart w:id="355" w:name="_Toc377651057"/>
      <w:bookmarkStart w:id="356" w:name="_Toc377653327"/>
      <w:bookmarkStart w:id="357" w:name="_Toc378351636"/>
      <w:bookmarkStart w:id="358" w:name="_Toc378681385"/>
      <w:bookmarkStart w:id="359" w:name="_Toc378682305"/>
      <w:bookmarkStart w:id="360" w:name="_Toc378683752"/>
      <w:bookmarkStart w:id="361" w:name="_Toc378685440"/>
      <w:bookmarkStart w:id="362" w:name="_Toc378685576"/>
      <w:bookmarkStart w:id="363" w:name="_Toc378691786"/>
      <w:bookmarkStart w:id="364" w:name="_Toc378692244"/>
      <w:bookmarkStart w:id="365" w:name="_Toc378692381"/>
      <w:bookmarkStart w:id="366" w:name="_Toc378692518"/>
      <w:bookmarkStart w:id="367" w:name="_Toc378682321"/>
      <w:bookmarkStart w:id="368" w:name="_Toc389729181"/>
      <w:bookmarkStart w:id="369" w:name="_Toc403472819"/>
      <w:bookmarkStart w:id="370" w:name="_Toc403566591"/>
      <w:bookmarkStart w:id="371" w:name="_Toc425344125"/>
      <w:bookmarkStart w:id="372" w:name="_Toc829656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24F95">
        <w:t>Assessment of a combination of biocidal products</w:t>
      </w:r>
      <w:bookmarkEnd w:id="368"/>
      <w:bookmarkEnd w:id="369"/>
      <w:bookmarkEnd w:id="370"/>
      <w:bookmarkEnd w:id="371"/>
      <w:bookmarkEnd w:id="372"/>
    </w:p>
    <w:p w14:paraId="3DC5C052" w14:textId="77777777" w:rsidR="00824F95" w:rsidRDefault="00664CD2" w:rsidP="00496A65">
      <w:r>
        <w:t>Not applicable</w:t>
      </w:r>
    </w:p>
    <w:p w14:paraId="666FE786" w14:textId="77777777" w:rsidR="00D10B2F" w:rsidRPr="00FD2055" w:rsidRDefault="00D10B2F" w:rsidP="00496A65"/>
    <w:p w14:paraId="6E11E26F" w14:textId="77777777" w:rsidR="00824F95" w:rsidRPr="00824F95" w:rsidRDefault="00824F95" w:rsidP="00496A65">
      <w:pPr>
        <w:pStyle w:val="Titre3"/>
      </w:pPr>
      <w:bookmarkStart w:id="373" w:name="_Toc378685456"/>
      <w:bookmarkStart w:id="374" w:name="_Toc378685592"/>
      <w:bookmarkStart w:id="375" w:name="_Toc378691801"/>
      <w:bookmarkStart w:id="376" w:name="_Toc378692259"/>
      <w:bookmarkStart w:id="377" w:name="_Toc378692396"/>
      <w:bookmarkStart w:id="378" w:name="_Toc378692533"/>
      <w:bookmarkStart w:id="379" w:name="_Toc389729182"/>
      <w:bookmarkStart w:id="380" w:name="_Toc403472820"/>
      <w:bookmarkStart w:id="381" w:name="_Toc403566592"/>
      <w:bookmarkStart w:id="382" w:name="_Toc425344126"/>
      <w:bookmarkStart w:id="383" w:name="_Toc8296564"/>
      <w:bookmarkEnd w:id="373"/>
      <w:bookmarkEnd w:id="374"/>
      <w:bookmarkEnd w:id="375"/>
      <w:bookmarkEnd w:id="376"/>
      <w:bookmarkEnd w:id="377"/>
      <w:bookmarkEnd w:id="378"/>
      <w:r w:rsidRPr="00824F95">
        <w:t>Comparative assessment</w:t>
      </w:r>
      <w:bookmarkEnd w:id="379"/>
      <w:bookmarkEnd w:id="380"/>
      <w:bookmarkEnd w:id="381"/>
      <w:bookmarkEnd w:id="382"/>
      <w:bookmarkEnd w:id="383"/>
    </w:p>
    <w:p w14:paraId="3F28A599" w14:textId="77777777" w:rsidR="00C442A7" w:rsidRPr="007547B6" w:rsidRDefault="00664CD2" w:rsidP="00496A65">
      <w:r>
        <w:t>Not applicable</w:t>
      </w:r>
    </w:p>
    <w:p w14:paraId="1565C05E" w14:textId="77777777" w:rsidR="00C1028B" w:rsidRPr="00E94ED0" w:rsidRDefault="00C1028B" w:rsidP="00496A65"/>
    <w:p w14:paraId="7B918B32" w14:textId="77777777" w:rsidR="002058C4" w:rsidRDefault="002058C4" w:rsidP="00496A65">
      <w:pPr>
        <w:sectPr w:rsidR="002058C4" w:rsidSect="00727A75">
          <w:pgSz w:w="11906" w:h="16838"/>
          <w:pgMar w:top="1247" w:right="1247" w:bottom="1247" w:left="1247" w:header="709" w:footer="709" w:gutter="0"/>
          <w:cols w:space="708"/>
          <w:docGrid w:linePitch="360"/>
        </w:sectPr>
      </w:pPr>
    </w:p>
    <w:p w14:paraId="1995EE15" w14:textId="77777777" w:rsidR="00F65B8F" w:rsidRPr="00F65B8F" w:rsidRDefault="00F65B8F" w:rsidP="00F65B8F">
      <w:pPr>
        <w:pStyle w:val="Titre1"/>
      </w:pPr>
      <w:bookmarkStart w:id="384" w:name="_Toc425344132"/>
      <w:bookmarkStart w:id="385" w:name="_Toc8296565"/>
      <w:r w:rsidRPr="00F65B8F">
        <w:lastRenderedPageBreak/>
        <w:t>Annexes</w:t>
      </w:r>
      <w:bookmarkEnd w:id="384"/>
      <w:bookmarkEnd w:id="385"/>
    </w:p>
    <w:p w14:paraId="27DB6B48" w14:textId="77777777" w:rsidR="00F65B8F" w:rsidRPr="00F65B8F" w:rsidRDefault="00F65B8F" w:rsidP="00496A65">
      <w:pPr>
        <w:pStyle w:val="Titre2"/>
      </w:pPr>
      <w:bookmarkStart w:id="386" w:name="_Toc389729189"/>
      <w:bookmarkStart w:id="387" w:name="_Toc403472827"/>
      <w:bookmarkStart w:id="388" w:name="_Toc425344133"/>
      <w:bookmarkStart w:id="389" w:name="_Toc8296566"/>
      <w:r w:rsidRPr="00F65B8F">
        <w:t>List of studies for the biocidal product</w:t>
      </w:r>
      <w:bookmarkEnd w:id="386"/>
      <w:bookmarkEnd w:id="387"/>
      <w:bookmarkEnd w:id="388"/>
      <w:bookmarkEnd w:id="3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679"/>
        <w:gridCol w:w="3725"/>
        <w:gridCol w:w="1516"/>
        <w:gridCol w:w="1217"/>
        <w:gridCol w:w="942"/>
      </w:tblGrid>
      <w:tr w:rsidR="002058C4" w:rsidRPr="007D7CD6" w14:paraId="6BDCFAB5" w14:textId="77777777" w:rsidTr="007D7CD6">
        <w:tc>
          <w:tcPr>
            <w:tcW w:w="704" w:type="pct"/>
            <w:shd w:val="clear" w:color="auto" w:fill="BFBFBF" w:themeFill="background1" w:themeFillShade="BF"/>
          </w:tcPr>
          <w:p w14:paraId="27AF5FDB" w14:textId="77777777" w:rsidR="002058C4" w:rsidRPr="007D7CD6" w:rsidRDefault="002058C4" w:rsidP="00496A65">
            <w:pPr>
              <w:pStyle w:val="Standaard-Tabellen"/>
            </w:pPr>
            <w:r w:rsidRPr="007D7CD6">
              <w:t>Author(s)</w:t>
            </w:r>
          </w:p>
        </w:tc>
        <w:tc>
          <w:tcPr>
            <w:tcW w:w="361" w:type="pct"/>
            <w:shd w:val="clear" w:color="auto" w:fill="BFBFBF" w:themeFill="background1" w:themeFillShade="BF"/>
          </w:tcPr>
          <w:p w14:paraId="0DFD1EF7" w14:textId="77777777" w:rsidR="002058C4" w:rsidRPr="007D7CD6" w:rsidRDefault="002058C4" w:rsidP="00496A65">
            <w:pPr>
              <w:pStyle w:val="Standaard-Tabellen"/>
            </w:pPr>
            <w:r w:rsidRPr="007D7CD6">
              <w:t>Year</w:t>
            </w:r>
          </w:p>
        </w:tc>
        <w:tc>
          <w:tcPr>
            <w:tcW w:w="1981" w:type="pct"/>
            <w:shd w:val="clear" w:color="auto" w:fill="BFBFBF" w:themeFill="background1" w:themeFillShade="BF"/>
          </w:tcPr>
          <w:p w14:paraId="4299AB5E" w14:textId="77777777" w:rsidR="002058C4" w:rsidRPr="007D7CD6" w:rsidRDefault="002058C4" w:rsidP="00496A65">
            <w:pPr>
              <w:pStyle w:val="Standaard-Tabellen"/>
            </w:pPr>
            <w:r w:rsidRPr="007D7CD6">
              <w:t>Title</w:t>
            </w:r>
          </w:p>
        </w:tc>
        <w:tc>
          <w:tcPr>
            <w:tcW w:w="806" w:type="pct"/>
            <w:shd w:val="clear" w:color="auto" w:fill="BFBFBF" w:themeFill="background1" w:themeFillShade="BF"/>
          </w:tcPr>
          <w:p w14:paraId="1C50137C" w14:textId="77777777" w:rsidR="002058C4" w:rsidRPr="007D7CD6" w:rsidRDefault="002058C4" w:rsidP="00496A65">
            <w:pPr>
              <w:pStyle w:val="Standaard-Tabellen"/>
            </w:pPr>
            <w:r w:rsidRPr="007D7CD6">
              <w:t>Report No.</w:t>
            </w:r>
          </w:p>
        </w:tc>
        <w:tc>
          <w:tcPr>
            <w:tcW w:w="647" w:type="pct"/>
            <w:shd w:val="clear" w:color="auto" w:fill="BFBFBF" w:themeFill="background1" w:themeFillShade="BF"/>
          </w:tcPr>
          <w:p w14:paraId="470849D3" w14:textId="77777777" w:rsidR="002058C4" w:rsidRPr="007D7CD6" w:rsidRDefault="002058C4" w:rsidP="00496A65">
            <w:pPr>
              <w:pStyle w:val="Standaard-Tabellen"/>
            </w:pPr>
            <w:r w:rsidRPr="007D7CD6">
              <w:t>Owner Company</w:t>
            </w:r>
          </w:p>
        </w:tc>
        <w:tc>
          <w:tcPr>
            <w:tcW w:w="501" w:type="pct"/>
            <w:shd w:val="clear" w:color="auto" w:fill="BFBFBF" w:themeFill="background1" w:themeFillShade="BF"/>
          </w:tcPr>
          <w:p w14:paraId="2404EBF6" w14:textId="77777777" w:rsidR="002058C4" w:rsidRPr="007D7CD6" w:rsidRDefault="002058C4" w:rsidP="00496A65">
            <w:pPr>
              <w:pStyle w:val="Standaard-Tabellen"/>
            </w:pPr>
            <w:r w:rsidRPr="007D7CD6">
              <w:t xml:space="preserve">Report date </w:t>
            </w:r>
          </w:p>
        </w:tc>
      </w:tr>
      <w:tr w:rsidR="007D7CD6" w:rsidRPr="007D7CD6" w14:paraId="315AB6E2"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178AD064" w14:textId="77777777" w:rsidR="007D7CD6" w:rsidRPr="007D7CD6" w:rsidRDefault="007D7CD6" w:rsidP="00496A65">
            <w:pPr>
              <w:pStyle w:val="Standaard-Tabellen"/>
            </w:pPr>
            <w:proofErr w:type="spellStart"/>
            <w:r w:rsidRPr="007D7CD6">
              <w:t>Meinerling</w:t>
            </w:r>
            <w:proofErr w:type="spellEnd"/>
            <w:r w:rsidRPr="007D7CD6">
              <w:t xml:space="preserve">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3694FB0" w14:textId="77777777" w:rsidR="007D7CD6" w:rsidRPr="007D7CD6" w:rsidRDefault="007D7CD6" w:rsidP="00496A65">
            <w:pPr>
              <w:pStyle w:val="Standaard-Tabellen"/>
            </w:pPr>
            <w:r w:rsidRPr="007D7CD6">
              <w:t>2009</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3A22F817" w14:textId="77777777" w:rsidR="007D7CD6" w:rsidRPr="007D7CD6" w:rsidRDefault="007D7CD6" w:rsidP="00496A65">
            <w:pPr>
              <w:pStyle w:val="Standaard-Tabellen"/>
            </w:pPr>
            <w:r w:rsidRPr="007D7CD6">
              <w:t xml:space="preserve">EUS26-15 INSECT REPELLENT SPRAY – DETERMINATION OF THE STORAGE STABILITY AT AMBIENT </w:t>
            </w:r>
            <w:r w:rsidR="00366A63" w:rsidRPr="007D7CD6">
              <w:t>TEMPERATURES</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A946C6F" w14:textId="77777777" w:rsidR="007D7CD6" w:rsidRPr="007D7CD6" w:rsidRDefault="007D7CD6" w:rsidP="00496A65">
            <w:pPr>
              <w:pStyle w:val="Standaard-Tabellen"/>
            </w:pPr>
            <w:r w:rsidRPr="007D7CD6">
              <w:t>31232204</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B10D59C"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FDFA21B" w14:textId="77777777" w:rsidR="007D7CD6" w:rsidRPr="007D7CD6" w:rsidRDefault="007D7CD6" w:rsidP="00496A65">
            <w:pPr>
              <w:pStyle w:val="Standaard-Tabellen"/>
            </w:pPr>
            <w:r w:rsidRPr="007D7CD6">
              <w:t>2009-05-27</w:t>
            </w:r>
          </w:p>
        </w:tc>
      </w:tr>
      <w:tr w:rsidR="006D1E64" w:rsidRPr="007D7CD6" w14:paraId="582512BB"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0026C41D" w14:textId="7FE86FEB" w:rsidR="006D1E64" w:rsidRPr="007D7CD6" w:rsidRDefault="006D1E64" w:rsidP="00496A65">
            <w:pPr>
              <w:pStyle w:val="Standaard-Tabellen"/>
            </w:pPr>
            <w:proofErr w:type="spellStart"/>
            <w:r>
              <w:t>Meinerling</w:t>
            </w:r>
            <w:proofErr w:type="spellEnd"/>
            <w:r>
              <w:t xml:space="preserve"> M., </w:t>
            </w:r>
            <w:proofErr w:type="spellStart"/>
            <w:r>
              <w:t>Fieseler</w:t>
            </w:r>
            <w:proofErr w:type="spellEnd"/>
            <w:r>
              <w:t xml:space="preserve">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A3E2F00" w14:textId="77777777" w:rsidR="006D1E64" w:rsidRPr="007D7CD6" w:rsidRDefault="006D1E64" w:rsidP="00496A65">
            <w:pPr>
              <w:pStyle w:val="Standaard-Tabellen"/>
            </w:pPr>
            <w:r>
              <w:t>2016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6E9E021E" w14:textId="77777777" w:rsidR="006D1E64" w:rsidRPr="007D7CD6" w:rsidRDefault="006D1E64" w:rsidP="00496A65">
            <w:pPr>
              <w:pStyle w:val="Standaard-Tabellen"/>
            </w:pPr>
            <w:r>
              <w:t>Statement to IBACON project</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3EC42F6F" w14:textId="77777777" w:rsidR="006D1E64" w:rsidRPr="007D7CD6" w:rsidRDefault="006D1E64" w:rsidP="00496A65">
            <w:pPr>
              <w:pStyle w:val="Standaard-Tabellen"/>
            </w:pPr>
            <w: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75C9CF4" w14:textId="77777777" w:rsidR="006D1E64" w:rsidRPr="007D7CD6" w:rsidRDefault="006D1E64" w:rsidP="00496A65">
            <w:pPr>
              <w:pStyle w:val="Standaard-Tabellen"/>
            </w:pPr>
            <w: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6FDF823" w14:textId="77777777" w:rsidR="006D1E64" w:rsidRPr="007D7CD6" w:rsidRDefault="006D1E64" w:rsidP="00496A65">
            <w:pPr>
              <w:pStyle w:val="Standaard-Tabellen"/>
            </w:pPr>
            <w:r>
              <w:t>2016-21-06</w:t>
            </w:r>
          </w:p>
        </w:tc>
      </w:tr>
      <w:tr w:rsidR="006D1E64" w:rsidRPr="007D7CD6" w14:paraId="619A23A8"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214C7CBB" w14:textId="77777777" w:rsidR="006D1E64" w:rsidRPr="007D7CD6" w:rsidRDefault="006D1E64" w:rsidP="00496A65">
            <w:pPr>
              <w:pStyle w:val="Standaard-Tabellen"/>
            </w:pPr>
            <w:proofErr w:type="spellStart"/>
            <w:r>
              <w:t>Fieseler</w:t>
            </w:r>
            <w:proofErr w:type="spellEnd"/>
            <w:r>
              <w:t xml:space="preserve">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E59E1E3" w14:textId="77777777" w:rsidR="006D1E64" w:rsidRPr="007D7CD6" w:rsidRDefault="006D1E64" w:rsidP="00496A65">
            <w:pPr>
              <w:pStyle w:val="Standaard-Tabellen"/>
            </w:pPr>
            <w:r>
              <w:t>2015</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293B6DAD" w14:textId="77777777" w:rsidR="006D1E64" w:rsidRPr="007D7CD6" w:rsidRDefault="006D1E64" w:rsidP="00496A65">
            <w:pPr>
              <w:pStyle w:val="Standaard-Tabellen"/>
            </w:pPr>
            <w:r w:rsidRPr="00DB63BA">
              <w:t xml:space="preserve">MDA-A-197-01 </w:t>
            </w:r>
            <w:proofErr w:type="spellStart"/>
            <w:r w:rsidRPr="00DB63BA">
              <w:t>Verum</w:t>
            </w:r>
            <w:proofErr w:type="spellEnd"/>
            <w:r w:rsidRPr="00DB63BA">
              <w:t xml:space="preserve"> 1: Accelerated Storage Stability</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7EB3FC4" w14:textId="77777777" w:rsidR="006D1E64" w:rsidRPr="007D7CD6" w:rsidRDefault="006D1E64" w:rsidP="00496A65">
            <w:pPr>
              <w:pStyle w:val="Standaard-Tabellen"/>
            </w:pPr>
            <w:r>
              <w:t>98322204</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6FA2BB4" w14:textId="77777777" w:rsidR="006D1E64" w:rsidRPr="007D7CD6" w:rsidRDefault="006D1E64"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66B68A5" w14:textId="77777777" w:rsidR="006D1E64" w:rsidRPr="007D7CD6" w:rsidRDefault="006D1E64" w:rsidP="00496A65">
            <w:pPr>
              <w:pStyle w:val="Standaard-Tabellen"/>
            </w:pPr>
            <w:r>
              <w:t>2015-08-04</w:t>
            </w:r>
          </w:p>
        </w:tc>
      </w:tr>
      <w:tr w:rsidR="007D7CD6" w:rsidRPr="007D7CD6" w14:paraId="4D0F7D68"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7156DA31" w14:textId="77777777" w:rsidR="007D7CD6" w:rsidRPr="007D7CD6" w:rsidRDefault="007D7CD6" w:rsidP="00496A65">
            <w:pPr>
              <w:pStyle w:val="Standaard-Tabellen"/>
            </w:pPr>
            <w:proofErr w:type="spellStart"/>
            <w:r w:rsidRPr="007D7CD6">
              <w:t>Meinerling</w:t>
            </w:r>
            <w:proofErr w:type="spellEnd"/>
            <w:r w:rsidRPr="007D7CD6">
              <w:t xml:space="preserve">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BFD74CD" w14:textId="77777777" w:rsidR="007D7CD6" w:rsidRPr="007D7CD6" w:rsidRDefault="007D7CD6" w:rsidP="00496A65">
            <w:pPr>
              <w:pStyle w:val="Standaard-Tabellen"/>
            </w:pPr>
            <w:r w:rsidRPr="007D7CD6">
              <w:t>2007</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35769EA3" w14:textId="77777777" w:rsidR="007D7CD6" w:rsidRPr="007D7CD6" w:rsidRDefault="007D7CD6" w:rsidP="00496A65">
            <w:pPr>
              <w:pStyle w:val="Standaard-Tabellen"/>
            </w:pPr>
            <w:r w:rsidRPr="007D7CD6">
              <w:t>EUS26-15 INSECT REPELLENT SPRAY – DETERMINATION OF THE ACCELERATED STORAGE STABILITY</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22B0959A" w14:textId="77777777" w:rsidR="007D7CD6" w:rsidRPr="007D7CD6" w:rsidRDefault="007D7CD6" w:rsidP="00496A65">
            <w:pPr>
              <w:pStyle w:val="Standaard-Tabellen"/>
            </w:pPr>
            <w:r w:rsidRPr="007D7CD6">
              <w:t>31231204</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B680C3C"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1AA4B17" w14:textId="77777777" w:rsidR="007D7CD6" w:rsidRPr="007D7CD6" w:rsidRDefault="007D7CD6" w:rsidP="00496A65">
            <w:pPr>
              <w:pStyle w:val="Standaard-Tabellen"/>
            </w:pPr>
            <w:r w:rsidRPr="007D7CD6">
              <w:t>2007-02-28</w:t>
            </w:r>
          </w:p>
        </w:tc>
      </w:tr>
      <w:tr w:rsidR="007D7CD6" w:rsidRPr="007D7CD6" w14:paraId="1FE6BCA9"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664AE6A1" w14:textId="77777777" w:rsidR="007D7CD6" w:rsidRPr="007D7CD6" w:rsidRDefault="007D7CD6" w:rsidP="00496A65">
            <w:pPr>
              <w:pStyle w:val="Standaard-Tabellen"/>
            </w:pPr>
            <w:proofErr w:type="spellStart"/>
            <w:r w:rsidRPr="007D7CD6">
              <w:t>Fieseler</w:t>
            </w:r>
            <w:proofErr w:type="spellEnd"/>
            <w:r w:rsidRPr="007D7CD6">
              <w:t xml:space="preserve">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27EA53F" w14:textId="77777777" w:rsidR="007D7CD6" w:rsidRPr="007D7CD6" w:rsidRDefault="007D7CD6" w:rsidP="00496A65">
            <w:pPr>
              <w:pStyle w:val="Standaard-Tabellen"/>
            </w:pPr>
            <w:r w:rsidRPr="007D7CD6">
              <w:t>2011</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2F965E45" w14:textId="77777777" w:rsidR="007D7CD6" w:rsidRPr="007D7CD6" w:rsidRDefault="007D7CD6" w:rsidP="00496A65">
            <w:pPr>
              <w:pStyle w:val="Standaard-Tabellen"/>
            </w:pPr>
            <w:r w:rsidRPr="007D7CD6">
              <w:t>Determination of the Relative Density of Pump Spray IR 3535® 20 %</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36AB44A0" w14:textId="77777777" w:rsidR="007D7CD6" w:rsidRPr="007D7CD6" w:rsidRDefault="007D7CD6" w:rsidP="00496A65">
            <w:pPr>
              <w:pStyle w:val="Standaard-Tabellen"/>
            </w:pPr>
            <w:r w:rsidRPr="007D7CD6">
              <w:t>63163182</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3747382"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58023B6" w14:textId="77777777" w:rsidR="007D7CD6" w:rsidRPr="007D7CD6" w:rsidRDefault="007D7CD6" w:rsidP="00496A65">
            <w:pPr>
              <w:pStyle w:val="Standaard-Tabellen"/>
            </w:pPr>
            <w:r w:rsidRPr="007D7CD6">
              <w:t>2011-06-27</w:t>
            </w:r>
          </w:p>
        </w:tc>
      </w:tr>
      <w:tr w:rsidR="007D7CD6" w:rsidRPr="007D7CD6" w14:paraId="6B05D503"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71E05411" w14:textId="77777777" w:rsidR="007D7CD6" w:rsidRPr="007D7CD6" w:rsidRDefault="007D7CD6" w:rsidP="00496A65">
            <w:pPr>
              <w:pStyle w:val="Standaard-Tabellen"/>
            </w:pPr>
            <w:proofErr w:type="spellStart"/>
            <w:r w:rsidRPr="007D7CD6">
              <w:t>Meinerling</w:t>
            </w:r>
            <w:proofErr w:type="spellEnd"/>
            <w:r w:rsidRPr="007D7CD6">
              <w:t xml:space="preserve">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606049D" w14:textId="77777777" w:rsidR="007D7CD6" w:rsidRPr="007D7CD6" w:rsidRDefault="007D7CD6" w:rsidP="00496A65">
            <w:pPr>
              <w:pStyle w:val="Standaard-Tabellen"/>
            </w:pPr>
            <w:r w:rsidRPr="007D7CD6">
              <w:t>2011</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6FEBDF5D" w14:textId="77777777" w:rsidR="007D7CD6" w:rsidRPr="007D7CD6" w:rsidRDefault="007D7CD6" w:rsidP="00496A65">
            <w:pPr>
              <w:pStyle w:val="Standaard-Tabellen"/>
            </w:pPr>
            <w:r w:rsidRPr="007D7CD6">
              <w:t>Determination of the Low Temperature Stability of Pump Spray IR 3535® 20 %</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46E4D4F1" w14:textId="77777777" w:rsidR="007D7CD6" w:rsidRPr="007D7CD6" w:rsidRDefault="007D7CD6" w:rsidP="00496A65">
            <w:pPr>
              <w:pStyle w:val="Standaard-Tabellen"/>
            </w:pPr>
            <w:r w:rsidRPr="007D7CD6">
              <w:t>63164204</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3C9F997"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679001C" w14:textId="77777777" w:rsidR="007D7CD6" w:rsidRPr="007D7CD6" w:rsidRDefault="007D7CD6" w:rsidP="00496A65">
            <w:pPr>
              <w:pStyle w:val="Standaard-Tabellen"/>
            </w:pPr>
            <w:r w:rsidRPr="007D7CD6">
              <w:t>2011-06-27</w:t>
            </w:r>
          </w:p>
        </w:tc>
      </w:tr>
      <w:tr w:rsidR="007D7CD6" w:rsidRPr="007D7CD6" w14:paraId="44B24918"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59C9BFB0" w14:textId="77777777" w:rsidR="007D7CD6" w:rsidRPr="007D7CD6" w:rsidRDefault="007D7CD6" w:rsidP="00496A65">
            <w:pPr>
              <w:pStyle w:val="Standaard-Tabellen"/>
            </w:pPr>
            <w:proofErr w:type="spellStart"/>
            <w:r w:rsidRPr="007D7CD6">
              <w:t>Fieseler</w:t>
            </w:r>
            <w:proofErr w:type="spellEnd"/>
            <w:r w:rsidRPr="007D7CD6">
              <w:t xml:space="preserve"> A.</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BCB967C" w14:textId="77777777" w:rsidR="007D7CD6" w:rsidRPr="007D7CD6" w:rsidRDefault="007D7CD6" w:rsidP="00496A65">
            <w:pPr>
              <w:pStyle w:val="Standaard-Tabellen"/>
            </w:pPr>
            <w:r w:rsidRPr="007D7CD6">
              <w:t>2011</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3C58DAD4" w14:textId="77777777" w:rsidR="007D7CD6" w:rsidRPr="007D7CD6" w:rsidRDefault="007D7CD6" w:rsidP="00496A65">
            <w:pPr>
              <w:pStyle w:val="Standaard-Tabellen"/>
            </w:pPr>
            <w:r w:rsidRPr="007D7CD6">
              <w:t>Determination of the Flash Point of Pump Spray IR 3535® 20 %</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37CFD14E" w14:textId="77777777" w:rsidR="007D7CD6" w:rsidRPr="007D7CD6" w:rsidRDefault="007D7CD6" w:rsidP="00496A65">
            <w:pPr>
              <w:pStyle w:val="Standaard-Tabellen"/>
            </w:pPr>
            <w:r w:rsidRPr="007D7CD6">
              <w:t>63161189</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A9D7275"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53CB32B" w14:textId="77777777" w:rsidR="007D7CD6" w:rsidRPr="007D7CD6" w:rsidRDefault="007D7CD6" w:rsidP="00496A65">
            <w:pPr>
              <w:pStyle w:val="Standaard-Tabellen"/>
            </w:pPr>
            <w:r w:rsidRPr="007D7CD6">
              <w:t>2011-06-28</w:t>
            </w:r>
          </w:p>
        </w:tc>
      </w:tr>
      <w:tr w:rsidR="007D7CD6" w:rsidRPr="007D7CD6" w14:paraId="7E5BEBB2"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06AAFAB5" w14:textId="77777777" w:rsidR="007D7CD6" w:rsidRPr="007D7CD6" w:rsidRDefault="007D7CD6" w:rsidP="00496A65">
            <w:pPr>
              <w:pStyle w:val="Standaard-Tabellen"/>
            </w:pPr>
            <w:proofErr w:type="spellStart"/>
            <w:r w:rsidRPr="007D7CD6">
              <w:t>Batz</w:t>
            </w:r>
            <w:proofErr w:type="spellEnd"/>
            <w:r w:rsidRPr="007D7CD6">
              <w:t xml:space="preserve"> B.</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860B530" w14:textId="77777777" w:rsidR="007D7CD6" w:rsidRPr="007D7CD6" w:rsidRDefault="007D7CD6" w:rsidP="00496A65">
            <w:pPr>
              <w:pStyle w:val="Standaard-Tabellen"/>
            </w:pPr>
            <w:r w:rsidRPr="007D7CD6">
              <w:t>2016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6113DE8F" w14:textId="77777777" w:rsidR="007D7CD6" w:rsidRPr="001515F7" w:rsidRDefault="007D7CD6" w:rsidP="00496A65">
            <w:pPr>
              <w:pStyle w:val="Standaard-Tabellen"/>
              <w:rPr>
                <w:lang w:val="de-DE"/>
              </w:rPr>
            </w:pPr>
            <w:r w:rsidRPr="001515F7">
              <w:rPr>
                <w:lang w:val="de-DE"/>
              </w:rPr>
              <w:t xml:space="preserve">Bestimmung der </w:t>
            </w:r>
            <w:proofErr w:type="spellStart"/>
            <w:r w:rsidRPr="001515F7">
              <w:rPr>
                <w:lang w:val="de-DE"/>
              </w:rPr>
              <w:t>Tröpfchengrößenverteilung</w:t>
            </w:r>
            <w:proofErr w:type="spellEnd"/>
            <w:r w:rsidRPr="001515F7">
              <w:rPr>
                <w:lang w:val="de-DE"/>
              </w:rPr>
              <w:t xml:space="preserve"> per Laserbeugung Merck Prüfauftrag vom 30.03.2016</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524DF1E9" w14:textId="77777777" w:rsidR="007D7CD6" w:rsidRPr="007D7CD6" w:rsidRDefault="007D7CD6" w:rsidP="00496A65">
            <w:pPr>
              <w:pStyle w:val="Standaard-Tabellen"/>
            </w:pPr>
            <w:r w:rsidRPr="007D7CD6">
              <w:t>2016_04_26</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34648F2"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A692277" w14:textId="77777777" w:rsidR="007D7CD6" w:rsidRPr="007D7CD6" w:rsidRDefault="007D7CD6" w:rsidP="00496A65">
            <w:pPr>
              <w:pStyle w:val="Standaard-Tabellen"/>
            </w:pPr>
            <w:r w:rsidRPr="007D7CD6">
              <w:t>2016-04-26</w:t>
            </w:r>
          </w:p>
        </w:tc>
      </w:tr>
      <w:tr w:rsidR="007D7CD6" w:rsidRPr="007D7CD6" w14:paraId="185B9FBB"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276DFBE9" w14:textId="77777777" w:rsidR="007D7CD6" w:rsidRPr="007D7CD6" w:rsidRDefault="007D7CD6" w:rsidP="00496A65">
            <w:pPr>
              <w:pStyle w:val="Standaard-Tabellen"/>
            </w:pPr>
            <w:proofErr w:type="spellStart"/>
            <w:r w:rsidRPr="007D7CD6">
              <w:t>Zur</w:t>
            </w:r>
            <w:proofErr w:type="spellEnd"/>
            <w:r w:rsidRPr="007D7CD6">
              <w:t xml:space="preserve"> </w:t>
            </w:r>
            <w:proofErr w:type="spellStart"/>
            <w:r w:rsidRPr="007D7CD6">
              <w:t>Lage</w:t>
            </w:r>
            <w:proofErr w:type="spellEnd"/>
            <w:r w:rsidRPr="007D7CD6">
              <w:t xml:space="preserve"> J.</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165D104" w14:textId="77777777" w:rsidR="007D7CD6" w:rsidRPr="007D7CD6" w:rsidRDefault="007D7CD6" w:rsidP="00496A65">
            <w:pPr>
              <w:pStyle w:val="Standaard-Tabellen"/>
            </w:pPr>
            <w:r w:rsidRPr="007D7CD6">
              <w:t>2016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7A106935" w14:textId="77777777" w:rsidR="007D7CD6" w:rsidRPr="007D7CD6" w:rsidRDefault="007D7CD6" w:rsidP="00496A65">
            <w:pPr>
              <w:pStyle w:val="Standaard-Tabellen"/>
            </w:pPr>
            <w:r w:rsidRPr="007D7CD6">
              <w:t xml:space="preserve">IR3535_Ref Formulations surface tension </w:t>
            </w:r>
            <w:proofErr w:type="spellStart"/>
            <w:r w:rsidRPr="007D7CD6">
              <w:t>visco_Reg.Aff</w:t>
            </w:r>
            <w:proofErr w:type="spellEnd"/>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2A0FF87" w14:textId="77777777" w:rsidR="007D7CD6" w:rsidRPr="007D7CD6" w:rsidRDefault="007D7CD6" w:rsidP="00496A65">
            <w:pPr>
              <w:pStyle w:val="Standaard-Tabellen"/>
            </w:pPr>
            <w:r w:rsidRPr="007D7CD6">
              <w:t>009093 – PM – PFC - RT</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5577BFD3"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E06DD10" w14:textId="77777777" w:rsidR="007D7CD6" w:rsidRPr="007D7CD6" w:rsidRDefault="007D7CD6" w:rsidP="00496A65">
            <w:pPr>
              <w:pStyle w:val="Standaard-Tabellen"/>
            </w:pPr>
          </w:p>
        </w:tc>
      </w:tr>
      <w:tr w:rsidR="007D7CD6" w:rsidRPr="007D7CD6" w14:paraId="785B08C6"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0E0B9896" w14:textId="77777777" w:rsidR="007D7CD6" w:rsidRPr="007D7CD6" w:rsidRDefault="007D7CD6" w:rsidP="00496A65">
            <w:pPr>
              <w:pStyle w:val="Standaard-Tabellen"/>
            </w:pPr>
            <w:proofErr w:type="spellStart"/>
            <w:r w:rsidRPr="007D7CD6">
              <w:t>Dornhagen</w:t>
            </w:r>
            <w:proofErr w:type="spellEnd"/>
            <w:r w:rsidRPr="007D7CD6">
              <w:t xml:space="preserve"> J.</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DE96930" w14:textId="77777777" w:rsidR="007D7CD6" w:rsidRPr="007D7CD6" w:rsidRDefault="007D7CD6" w:rsidP="00496A65">
            <w:pPr>
              <w:pStyle w:val="Standaard-Tabellen"/>
            </w:pPr>
            <w:r w:rsidRPr="007D7CD6">
              <w:t>2011</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2E754735" w14:textId="77777777" w:rsidR="007D7CD6" w:rsidRPr="007D7CD6" w:rsidRDefault="007D7CD6" w:rsidP="00496A65">
            <w:pPr>
              <w:pStyle w:val="Standaard-Tabellen"/>
            </w:pPr>
            <w:r w:rsidRPr="007D7CD6">
              <w:t>FINAL REPORT (1st Original of 3) Pump Spray IR 3535® 20 % Batch No.: SM-0-1-1/090211 AUTO-IGNITION TEMPERATURE (LIQUIDS AND GASES) A.15</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4397DF7" w14:textId="77777777" w:rsidR="007D7CD6" w:rsidRPr="007D7CD6" w:rsidRDefault="007D7CD6" w:rsidP="00496A65">
            <w:pPr>
              <w:pStyle w:val="Standaard-Tabellen"/>
            </w:pPr>
            <w:r w:rsidRPr="007D7CD6">
              <w:t>20110103.01</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CA25209"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A31ECEC" w14:textId="77777777" w:rsidR="007D7CD6" w:rsidRPr="007D7CD6" w:rsidRDefault="007D7CD6" w:rsidP="00496A65">
            <w:pPr>
              <w:pStyle w:val="Standaard-Tabellen"/>
            </w:pPr>
            <w:r w:rsidRPr="007D7CD6">
              <w:t>2011-07-04</w:t>
            </w:r>
          </w:p>
        </w:tc>
      </w:tr>
      <w:tr w:rsidR="007D7CD6" w:rsidRPr="007D7CD6" w14:paraId="61CAF19C"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576C9B79" w14:textId="77777777" w:rsidR="007D7CD6" w:rsidRPr="007D7CD6" w:rsidRDefault="007D7CD6" w:rsidP="00496A65">
            <w:pPr>
              <w:pStyle w:val="Standaard-Tabellen"/>
            </w:pPr>
            <w:proofErr w:type="spellStart"/>
            <w:r w:rsidRPr="007D7CD6">
              <w:t>Meinerling</w:t>
            </w:r>
            <w:proofErr w:type="spellEnd"/>
            <w:r w:rsidRPr="007D7CD6">
              <w:t xml:space="preserve"> M.</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C95616C" w14:textId="77777777" w:rsidR="007D7CD6" w:rsidRPr="007D7CD6" w:rsidRDefault="007D7CD6" w:rsidP="00496A65">
            <w:pPr>
              <w:pStyle w:val="Standaard-Tabellen"/>
            </w:pPr>
            <w:r w:rsidRPr="007D7CD6">
              <w:t>2007</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09C75EBA" w14:textId="77777777" w:rsidR="007D7CD6" w:rsidRPr="007D7CD6" w:rsidRDefault="007D7CD6" w:rsidP="00496A65">
            <w:pPr>
              <w:pStyle w:val="Standaard-Tabellen"/>
            </w:pPr>
            <w:r w:rsidRPr="007D7CD6">
              <w:t xml:space="preserve">IR3535® - VALIDATION OF AN ANALYTICAL METHOD FOR THE DETERMINATION OF IR3535® AND ITS HYDROLYSIS PRODUCT IN DIFFERENT </w:t>
            </w:r>
            <w:r w:rsidR="00366A63" w:rsidRPr="007D7CD6">
              <w:t>FORMULATIONS</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4089CE07" w14:textId="77777777" w:rsidR="007D7CD6" w:rsidRPr="007D7CD6" w:rsidRDefault="007D7CD6" w:rsidP="00496A65">
            <w:pPr>
              <w:pStyle w:val="Standaard-Tabellen"/>
            </w:pPr>
            <w:r w:rsidRPr="007D7CD6">
              <w:t>31211101</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01B1AED3"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88C84AF" w14:textId="77777777" w:rsidR="007D7CD6" w:rsidRPr="007D7CD6" w:rsidRDefault="007D7CD6" w:rsidP="00496A65">
            <w:pPr>
              <w:pStyle w:val="Standaard-Tabellen"/>
            </w:pPr>
            <w:r w:rsidRPr="007D7CD6">
              <w:t>2007-03-19</w:t>
            </w:r>
          </w:p>
        </w:tc>
      </w:tr>
      <w:tr w:rsidR="007D7CD6" w:rsidRPr="007D7CD6" w14:paraId="7C555696"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41A3DBD1" w14:textId="77777777" w:rsidR="007D7CD6" w:rsidRPr="007D7CD6" w:rsidRDefault="007D7CD6" w:rsidP="00496A65">
            <w:pPr>
              <w:pStyle w:val="Standaard-Tabellen"/>
            </w:pPr>
            <w:r w:rsidRPr="007D7CD6">
              <w:t>Carroll, S.P.</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634BB37" w14:textId="77777777" w:rsidR="007D7CD6" w:rsidRPr="007D7CD6" w:rsidRDefault="007D7CD6" w:rsidP="00496A65">
            <w:pPr>
              <w:pStyle w:val="Standaard-Tabellen"/>
            </w:pPr>
            <w:r w:rsidRPr="007D7CD6">
              <w:t>2006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6FFF0219" w14:textId="77777777" w:rsidR="007D7CD6" w:rsidRPr="007D7CD6" w:rsidRDefault="007D7CD6" w:rsidP="00496A65">
            <w:pPr>
              <w:pStyle w:val="Standaard-Tabellen"/>
            </w:pPr>
            <w:r w:rsidRPr="007D7CD6">
              <w:t>“Test of Personal Insect Repellents: Study EMD 003.2 -</w:t>
            </w:r>
          </w:p>
          <w:p w14:paraId="2500601C" w14:textId="77777777" w:rsidR="007D7CD6" w:rsidRPr="007D7CD6" w:rsidRDefault="007D7CD6" w:rsidP="00496A65">
            <w:pPr>
              <w:pStyle w:val="Standaard-Tabellen"/>
            </w:pPr>
            <w:r w:rsidRPr="007D7CD6">
              <w:t>Replacement for MRID 46979002 - Volume 11”</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1A73E2B9" w14:textId="77777777" w:rsidR="007D7CD6" w:rsidRPr="007D7CD6" w:rsidRDefault="007D7CD6" w:rsidP="00496A65">
            <w:pPr>
              <w:pStyle w:val="Standaard-Tabellen"/>
            </w:pPr>
            <w:r w:rsidRPr="007D7CD6">
              <w:t>336-1918</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ACD90CC"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B38C7C9" w14:textId="77777777" w:rsidR="007D7CD6" w:rsidRPr="007D7CD6" w:rsidRDefault="007D7CD6" w:rsidP="00496A65">
            <w:pPr>
              <w:pStyle w:val="Standaard-Tabellen"/>
            </w:pPr>
            <w:r w:rsidRPr="007D7CD6">
              <w:t>2006-11-08</w:t>
            </w:r>
          </w:p>
        </w:tc>
      </w:tr>
      <w:tr w:rsidR="007D7CD6" w:rsidRPr="007D7CD6" w14:paraId="1E4A5BA9"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70E7C056" w14:textId="77777777" w:rsidR="007D7CD6" w:rsidRPr="007D7CD6" w:rsidRDefault="007D7CD6" w:rsidP="00496A65">
            <w:pPr>
              <w:pStyle w:val="Standaard-Tabellen"/>
            </w:pPr>
            <w:r w:rsidRPr="007D7CD6">
              <w:t>Carroll, S.P.</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5CA8939" w14:textId="77777777" w:rsidR="007D7CD6" w:rsidRPr="007D7CD6" w:rsidRDefault="007D7CD6" w:rsidP="00496A65">
            <w:pPr>
              <w:pStyle w:val="Standaard-Tabellen"/>
            </w:pPr>
            <w:r w:rsidRPr="007D7CD6">
              <w:t>2006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45FF0B6D" w14:textId="77777777" w:rsidR="007D7CD6" w:rsidRPr="007D7CD6" w:rsidRDefault="007D7CD6" w:rsidP="00496A65">
            <w:pPr>
              <w:pStyle w:val="Standaard-Tabellen"/>
            </w:pPr>
            <w:r w:rsidRPr="007D7CD6">
              <w:t>“Test of Personal Insect Repellents: EMD 004.2 Replacement for MRID 46979004”</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4662585" w14:textId="77777777" w:rsidR="007D7CD6" w:rsidRPr="007D7CD6" w:rsidRDefault="007D7CD6" w:rsidP="00496A65">
            <w:pPr>
              <w:pStyle w:val="Standaard-Tabellen"/>
            </w:pPr>
            <w:r w:rsidRPr="007D7CD6">
              <w:t>336-1919</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3DBA3FC0"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D2C79D3" w14:textId="77777777" w:rsidR="007D7CD6" w:rsidRPr="007D7CD6" w:rsidRDefault="007D7CD6" w:rsidP="00496A65">
            <w:pPr>
              <w:pStyle w:val="Standaard-Tabellen"/>
            </w:pPr>
            <w:r w:rsidRPr="007D7CD6">
              <w:t>2006-11-06</w:t>
            </w:r>
          </w:p>
        </w:tc>
      </w:tr>
      <w:tr w:rsidR="007D7CD6" w:rsidRPr="007D7CD6" w14:paraId="7242470A"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25AB2B3A" w14:textId="77777777" w:rsidR="007D7CD6" w:rsidRPr="007D7CD6" w:rsidRDefault="007D7CD6" w:rsidP="00496A65">
            <w:pPr>
              <w:pStyle w:val="Standaard-Tabellen"/>
            </w:pPr>
            <w:proofErr w:type="spellStart"/>
            <w:r w:rsidRPr="007D7CD6">
              <w:t>Dippel</w:t>
            </w:r>
            <w:proofErr w:type="spellEnd"/>
            <w:r w:rsidRPr="007D7CD6">
              <w:t xml:space="preserve">, C. and </w:t>
            </w:r>
            <w:proofErr w:type="spellStart"/>
            <w:r w:rsidRPr="007D7CD6">
              <w:t>Dautel</w:t>
            </w:r>
            <w:proofErr w:type="spellEnd"/>
            <w:r w:rsidRPr="007D7CD6">
              <w:t>, H.</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2A618D4" w14:textId="77777777" w:rsidR="007D7CD6" w:rsidRPr="007D7CD6" w:rsidRDefault="007D7CD6" w:rsidP="00496A65">
            <w:pPr>
              <w:pStyle w:val="Standaard-Tabellen"/>
            </w:pPr>
            <w:r w:rsidRPr="007D7CD6">
              <w:t>2006</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29133ECE" w14:textId="77777777" w:rsidR="007D7CD6" w:rsidRPr="007D7CD6" w:rsidRDefault="007D7CD6" w:rsidP="00496A65">
            <w:pPr>
              <w:pStyle w:val="Standaard-Tabellen"/>
            </w:pPr>
            <w:r w:rsidRPr="007D7CD6">
              <w:t xml:space="preserve">“Evaluation of 6 products against the European Sheep Tick, </w:t>
            </w:r>
            <w:proofErr w:type="spellStart"/>
            <w:r w:rsidRPr="007D7CD6">
              <w:t>Ixodes</w:t>
            </w:r>
            <w:proofErr w:type="spellEnd"/>
            <w:r w:rsidRPr="007D7CD6">
              <w:t xml:space="preserve"> </w:t>
            </w:r>
            <w:proofErr w:type="spellStart"/>
            <w:r w:rsidRPr="007D7CD6">
              <w:t>ricinus</w:t>
            </w:r>
            <w:proofErr w:type="spellEnd"/>
            <w:r w:rsidRPr="007D7CD6">
              <w:t>, on human volunteers according to the EPA guidelines”</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625D2ABE" w14:textId="77777777" w:rsidR="007D7CD6" w:rsidRPr="007D7CD6" w:rsidRDefault="007D7CD6" w:rsidP="00496A65">
            <w:pPr>
              <w:pStyle w:val="Standaard-Tabellen"/>
            </w:pPr>
            <w:r w:rsidRPr="007D7CD6">
              <w:t>336-1921</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2B3DA6EC"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73974C9" w14:textId="77777777" w:rsidR="007D7CD6" w:rsidRPr="007D7CD6" w:rsidRDefault="007D7CD6" w:rsidP="00496A65">
            <w:pPr>
              <w:pStyle w:val="Standaard-Tabellen"/>
            </w:pPr>
            <w:r w:rsidRPr="007D7CD6">
              <w:t>2006-04-27</w:t>
            </w:r>
          </w:p>
        </w:tc>
      </w:tr>
      <w:tr w:rsidR="007D7CD6" w:rsidRPr="007D7CD6" w14:paraId="7F7B2986" w14:textId="77777777" w:rsidTr="007D7CD6">
        <w:tc>
          <w:tcPr>
            <w:tcW w:w="704" w:type="pct"/>
            <w:tcBorders>
              <w:top w:val="single" w:sz="4" w:space="0" w:color="auto"/>
              <w:left w:val="single" w:sz="4" w:space="0" w:color="auto"/>
              <w:bottom w:val="single" w:sz="4" w:space="0" w:color="auto"/>
              <w:right w:val="single" w:sz="4" w:space="0" w:color="auto"/>
            </w:tcBorders>
            <w:shd w:val="clear" w:color="auto" w:fill="auto"/>
          </w:tcPr>
          <w:p w14:paraId="73AC4CEE" w14:textId="77777777" w:rsidR="007D7CD6" w:rsidRPr="007D7CD6" w:rsidRDefault="007D7CD6" w:rsidP="00496A65">
            <w:pPr>
              <w:pStyle w:val="Standaard-Tabellen"/>
            </w:pPr>
            <w:proofErr w:type="spellStart"/>
            <w:r w:rsidRPr="007D7CD6">
              <w:t>Lüpkes</w:t>
            </w:r>
            <w:proofErr w:type="spellEnd"/>
            <w:r w:rsidRPr="007D7CD6">
              <w:t>, K.-H.</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341041DE" w14:textId="77777777" w:rsidR="007D7CD6" w:rsidRPr="007D7CD6" w:rsidRDefault="007D7CD6" w:rsidP="00496A65">
            <w:pPr>
              <w:pStyle w:val="Standaard-Tabellen"/>
            </w:pPr>
            <w:r w:rsidRPr="007D7CD6">
              <w:t>2011</w:t>
            </w:r>
          </w:p>
        </w:tc>
        <w:tc>
          <w:tcPr>
            <w:tcW w:w="1981" w:type="pct"/>
            <w:tcBorders>
              <w:top w:val="single" w:sz="4" w:space="0" w:color="auto"/>
              <w:left w:val="single" w:sz="4" w:space="0" w:color="auto"/>
              <w:bottom w:val="single" w:sz="4" w:space="0" w:color="auto"/>
              <w:right w:val="single" w:sz="4" w:space="0" w:color="auto"/>
            </w:tcBorders>
            <w:shd w:val="clear" w:color="auto" w:fill="auto"/>
          </w:tcPr>
          <w:p w14:paraId="6EBBC1C7" w14:textId="77777777" w:rsidR="007D7CD6" w:rsidRPr="007D7CD6" w:rsidRDefault="007D7CD6" w:rsidP="00496A65">
            <w:pPr>
              <w:pStyle w:val="Standaard-Tabellen"/>
            </w:pPr>
            <w:r w:rsidRPr="007D7CD6">
              <w:t>“Repellent Efficacy of Six Repellent Formulations on Human Arms against Mosquitoes”</w:t>
            </w:r>
          </w:p>
        </w:tc>
        <w:tc>
          <w:tcPr>
            <w:tcW w:w="806" w:type="pct"/>
            <w:tcBorders>
              <w:top w:val="single" w:sz="4" w:space="0" w:color="auto"/>
              <w:left w:val="single" w:sz="4" w:space="0" w:color="auto"/>
              <w:bottom w:val="single" w:sz="4" w:space="0" w:color="auto"/>
              <w:right w:val="single" w:sz="4" w:space="0" w:color="auto"/>
            </w:tcBorders>
            <w:shd w:val="clear" w:color="auto" w:fill="auto"/>
          </w:tcPr>
          <w:p w14:paraId="3405F138" w14:textId="77777777" w:rsidR="007D7CD6" w:rsidRPr="007D7CD6" w:rsidRDefault="007D7CD6" w:rsidP="00496A65">
            <w:pPr>
              <w:pStyle w:val="Standaard-Tabellen"/>
            </w:pPr>
            <w:r w:rsidRPr="007D7CD6">
              <w:t>336-1922</w:t>
            </w: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6303C9FB" w14:textId="77777777" w:rsidR="007D7CD6" w:rsidRPr="007D7CD6" w:rsidRDefault="007D7CD6" w:rsidP="00496A65">
            <w:pPr>
              <w:pStyle w:val="Standaard-Tabellen"/>
            </w:pPr>
            <w:r w:rsidRPr="007D7CD6">
              <w:t xml:space="preserve">Merck </w:t>
            </w:r>
            <w:proofErr w:type="spellStart"/>
            <w:r w:rsidRPr="007D7CD6">
              <w:t>KGaA</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3689DD1" w14:textId="77777777" w:rsidR="007D7CD6" w:rsidRPr="007D7CD6" w:rsidRDefault="007D7CD6" w:rsidP="00496A65">
            <w:pPr>
              <w:pStyle w:val="Standaard-Tabellen"/>
            </w:pPr>
            <w:r w:rsidRPr="007D7CD6">
              <w:t>2011-07-04</w:t>
            </w:r>
          </w:p>
        </w:tc>
      </w:tr>
      <w:tr w:rsidR="002058C4" w:rsidRPr="007D7CD6" w14:paraId="1E0A2EE2" w14:textId="77777777" w:rsidTr="007D7CD6">
        <w:tc>
          <w:tcPr>
            <w:tcW w:w="704" w:type="pct"/>
            <w:shd w:val="clear" w:color="auto" w:fill="auto"/>
          </w:tcPr>
          <w:p w14:paraId="32F4E846" w14:textId="77777777" w:rsidR="002058C4" w:rsidRPr="007D7CD6" w:rsidRDefault="002058C4" w:rsidP="00496A65">
            <w:pPr>
              <w:pStyle w:val="Standaard-Tabellen"/>
            </w:pPr>
            <w:r w:rsidRPr="007D7CD6">
              <w:t>Hurley, J.M. (a)</w:t>
            </w:r>
          </w:p>
        </w:tc>
        <w:tc>
          <w:tcPr>
            <w:tcW w:w="361" w:type="pct"/>
            <w:shd w:val="clear" w:color="auto" w:fill="auto"/>
          </w:tcPr>
          <w:p w14:paraId="787FA329" w14:textId="77777777" w:rsidR="002058C4" w:rsidRPr="007D7CD6" w:rsidRDefault="002058C4" w:rsidP="00496A65">
            <w:pPr>
              <w:pStyle w:val="Standaard-Tabellen"/>
            </w:pPr>
            <w:r w:rsidRPr="007D7CD6">
              <w:t>2006</w:t>
            </w:r>
          </w:p>
        </w:tc>
        <w:tc>
          <w:tcPr>
            <w:tcW w:w="1981" w:type="pct"/>
            <w:shd w:val="clear" w:color="auto" w:fill="auto"/>
          </w:tcPr>
          <w:p w14:paraId="53A36503" w14:textId="77777777" w:rsidR="002058C4" w:rsidRPr="007D7CD6" w:rsidRDefault="002058C4" w:rsidP="00496A65">
            <w:pPr>
              <w:pStyle w:val="Standaard-Tabellen"/>
            </w:pPr>
            <w:r w:rsidRPr="007D7CD6">
              <w:t>Acute dermal irritation study of EUS26-15 Insect Repellent Spray in albino rabbits.</w:t>
            </w:r>
          </w:p>
        </w:tc>
        <w:tc>
          <w:tcPr>
            <w:tcW w:w="806" w:type="pct"/>
            <w:shd w:val="clear" w:color="auto" w:fill="auto"/>
          </w:tcPr>
          <w:p w14:paraId="3E670D84" w14:textId="77777777" w:rsidR="002058C4" w:rsidRPr="007D7CD6" w:rsidRDefault="002058C4" w:rsidP="00496A65">
            <w:pPr>
              <w:pStyle w:val="Standaard-Tabellen"/>
            </w:pPr>
            <w:r w:rsidRPr="007D7CD6">
              <w:t>WIL-</w:t>
            </w:r>
          </w:p>
          <w:p w14:paraId="127E4A3C" w14:textId="77777777" w:rsidR="002058C4" w:rsidRPr="007D7CD6" w:rsidRDefault="002058C4" w:rsidP="00496A65">
            <w:pPr>
              <w:pStyle w:val="Standaard-Tabellen"/>
            </w:pPr>
            <w:r w:rsidRPr="007D7CD6">
              <w:t>585006</w:t>
            </w:r>
          </w:p>
        </w:tc>
        <w:tc>
          <w:tcPr>
            <w:tcW w:w="647" w:type="pct"/>
            <w:shd w:val="clear" w:color="auto" w:fill="auto"/>
          </w:tcPr>
          <w:p w14:paraId="11F2AC01" w14:textId="77777777" w:rsidR="002058C4" w:rsidRPr="007D7CD6" w:rsidRDefault="002058C4" w:rsidP="00496A65">
            <w:pPr>
              <w:pStyle w:val="Standaard-Tabellen"/>
            </w:pPr>
            <w:r w:rsidRPr="007D7CD6">
              <w:t>Merck</w:t>
            </w:r>
          </w:p>
          <w:p w14:paraId="25BD4B6D" w14:textId="77777777" w:rsidR="002058C4" w:rsidRPr="007D7CD6" w:rsidRDefault="002058C4" w:rsidP="00496A65">
            <w:pPr>
              <w:pStyle w:val="Standaard-Tabellen"/>
            </w:pPr>
            <w:proofErr w:type="spellStart"/>
            <w:r w:rsidRPr="007D7CD6">
              <w:t>KGaA</w:t>
            </w:r>
            <w:proofErr w:type="spellEnd"/>
          </w:p>
        </w:tc>
        <w:tc>
          <w:tcPr>
            <w:tcW w:w="501" w:type="pct"/>
            <w:shd w:val="clear" w:color="auto" w:fill="auto"/>
          </w:tcPr>
          <w:p w14:paraId="6A035CC0" w14:textId="77777777" w:rsidR="002058C4" w:rsidRPr="007D7CD6" w:rsidRDefault="002058C4" w:rsidP="00496A65">
            <w:pPr>
              <w:pStyle w:val="Standaard-Tabellen"/>
            </w:pPr>
            <w:r w:rsidRPr="007D7CD6">
              <w:t>2006-09-15</w:t>
            </w:r>
          </w:p>
        </w:tc>
      </w:tr>
      <w:tr w:rsidR="002058C4" w:rsidRPr="007D7CD6" w14:paraId="0D23B088" w14:textId="77777777" w:rsidTr="007D7CD6">
        <w:tc>
          <w:tcPr>
            <w:tcW w:w="704" w:type="pct"/>
            <w:shd w:val="clear" w:color="auto" w:fill="auto"/>
          </w:tcPr>
          <w:p w14:paraId="07B5549E" w14:textId="77777777" w:rsidR="002058C4" w:rsidRPr="007D7CD6" w:rsidRDefault="002058C4" w:rsidP="00496A65">
            <w:pPr>
              <w:pStyle w:val="Standaard-Tabellen"/>
            </w:pPr>
            <w:r w:rsidRPr="007D7CD6">
              <w:t>Hurley, J.M. (b)</w:t>
            </w:r>
          </w:p>
        </w:tc>
        <w:tc>
          <w:tcPr>
            <w:tcW w:w="361" w:type="pct"/>
            <w:shd w:val="clear" w:color="auto" w:fill="auto"/>
          </w:tcPr>
          <w:p w14:paraId="527BF3EF" w14:textId="77777777" w:rsidR="002058C4" w:rsidRPr="007D7CD6" w:rsidRDefault="002058C4" w:rsidP="00496A65">
            <w:pPr>
              <w:pStyle w:val="Standaard-Tabellen"/>
            </w:pPr>
            <w:r w:rsidRPr="007D7CD6">
              <w:t>2006</w:t>
            </w:r>
          </w:p>
        </w:tc>
        <w:tc>
          <w:tcPr>
            <w:tcW w:w="1981" w:type="pct"/>
            <w:shd w:val="clear" w:color="auto" w:fill="auto"/>
          </w:tcPr>
          <w:p w14:paraId="7849FD0D" w14:textId="77777777" w:rsidR="002058C4" w:rsidRPr="007D7CD6" w:rsidRDefault="002058C4" w:rsidP="00496A65">
            <w:pPr>
              <w:pStyle w:val="Standaard-Tabellen"/>
            </w:pPr>
            <w:r w:rsidRPr="007D7CD6">
              <w:t>Acute Eye Irritation Study of</w:t>
            </w:r>
          </w:p>
          <w:p w14:paraId="497DC4C6" w14:textId="77777777" w:rsidR="002058C4" w:rsidRPr="007D7CD6" w:rsidRDefault="002058C4" w:rsidP="00496A65">
            <w:pPr>
              <w:pStyle w:val="Standaard-Tabellen"/>
            </w:pPr>
            <w:r w:rsidRPr="007D7CD6">
              <w:t>EUS26-15 Insect Repellent</w:t>
            </w:r>
          </w:p>
          <w:p w14:paraId="78F2ACE1" w14:textId="77777777" w:rsidR="002058C4" w:rsidRPr="007D7CD6" w:rsidRDefault="002058C4" w:rsidP="00496A65">
            <w:pPr>
              <w:pStyle w:val="Standaard-Tabellen"/>
            </w:pPr>
            <w:r w:rsidRPr="007D7CD6">
              <w:t>Spray in albino rabbits.</w:t>
            </w:r>
          </w:p>
        </w:tc>
        <w:tc>
          <w:tcPr>
            <w:tcW w:w="806" w:type="pct"/>
            <w:shd w:val="clear" w:color="auto" w:fill="auto"/>
          </w:tcPr>
          <w:p w14:paraId="10DF227C" w14:textId="77777777" w:rsidR="002058C4" w:rsidRPr="007D7CD6" w:rsidRDefault="002058C4" w:rsidP="00496A65">
            <w:pPr>
              <w:pStyle w:val="Standaard-Tabellen"/>
            </w:pPr>
            <w:r w:rsidRPr="007D7CD6">
              <w:t>WIL-</w:t>
            </w:r>
          </w:p>
          <w:p w14:paraId="5B3AB481" w14:textId="77777777" w:rsidR="002058C4" w:rsidRPr="007D7CD6" w:rsidRDefault="002058C4" w:rsidP="00496A65">
            <w:pPr>
              <w:pStyle w:val="Standaard-Tabellen"/>
            </w:pPr>
            <w:r w:rsidRPr="007D7CD6">
              <w:t>585007</w:t>
            </w:r>
          </w:p>
        </w:tc>
        <w:tc>
          <w:tcPr>
            <w:tcW w:w="647" w:type="pct"/>
            <w:shd w:val="clear" w:color="auto" w:fill="auto"/>
          </w:tcPr>
          <w:p w14:paraId="762BA14F" w14:textId="77777777" w:rsidR="002058C4" w:rsidRPr="007D7CD6" w:rsidRDefault="002058C4" w:rsidP="00496A65">
            <w:pPr>
              <w:pStyle w:val="Standaard-Tabellen"/>
            </w:pPr>
            <w:r w:rsidRPr="007D7CD6">
              <w:t>Merck</w:t>
            </w:r>
          </w:p>
          <w:p w14:paraId="02D85BD9" w14:textId="77777777" w:rsidR="002058C4" w:rsidRPr="007D7CD6" w:rsidRDefault="002058C4" w:rsidP="00496A65">
            <w:pPr>
              <w:pStyle w:val="Standaard-Tabellen"/>
            </w:pPr>
            <w:proofErr w:type="spellStart"/>
            <w:r w:rsidRPr="007D7CD6">
              <w:t>KGaA</w:t>
            </w:r>
            <w:proofErr w:type="spellEnd"/>
          </w:p>
        </w:tc>
        <w:tc>
          <w:tcPr>
            <w:tcW w:w="501" w:type="pct"/>
            <w:shd w:val="clear" w:color="auto" w:fill="auto"/>
          </w:tcPr>
          <w:p w14:paraId="414848F5" w14:textId="77777777" w:rsidR="002058C4" w:rsidRPr="007D7CD6" w:rsidRDefault="002058C4" w:rsidP="00496A65">
            <w:pPr>
              <w:pStyle w:val="Standaard-Tabellen"/>
            </w:pPr>
            <w:r w:rsidRPr="007D7CD6">
              <w:t>2006-09-08</w:t>
            </w:r>
          </w:p>
        </w:tc>
      </w:tr>
      <w:tr w:rsidR="002058C4" w:rsidRPr="007D7CD6" w14:paraId="5251C1B3" w14:textId="77777777" w:rsidTr="007D7CD6">
        <w:tc>
          <w:tcPr>
            <w:tcW w:w="704" w:type="pct"/>
            <w:shd w:val="clear" w:color="auto" w:fill="auto"/>
          </w:tcPr>
          <w:p w14:paraId="2D380D80" w14:textId="77777777" w:rsidR="002058C4" w:rsidRPr="007D7CD6" w:rsidRDefault="002058C4" w:rsidP="00496A65">
            <w:pPr>
              <w:pStyle w:val="Standaard-Tabellen"/>
            </w:pPr>
            <w:r w:rsidRPr="007D7CD6">
              <w:lastRenderedPageBreak/>
              <w:t>Hurley, J.M. (c)</w:t>
            </w:r>
          </w:p>
        </w:tc>
        <w:tc>
          <w:tcPr>
            <w:tcW w:w="361" w:type="pct"/>
            <w:shd w:val="clear" w:color="auto" w:fill="auto"/>
          </w:tcPr>
          <w:p w14:paraId="5A6AB4E6" w14:textId="77777777" w:rsidR="002058C4" w:rsidRPr="007D7CD6" w:rsidRDefault="002058C4" w:rsidP="00496A65">
            <w:pPr>
              <w:pStyle w:val="Standaard-Tabellen"/>
            </w:pPr>
            <w:r w:rsidRPr="007D7CD6">
              <w:t>2006</w:t>
            </w:r>
          </w:p>
        </w:tc>
        <w:tc>
          <w:tcPr>
            <w:tcW w:w="1981" w:type="pct"/>
            <w:shd w:val="clear" w:color="auto" w:fill="auto"/>
          </w:tcPr>
          <w:p w14:paraId="4AAACDBF" w14:textId="77777777" w:rsidR="002058C4" w:rsidRPr="007D7CD6" w:rsidRDefault="002058C4" w:rsidP="00496A65">
            <w:pPr>
              <w:pStyle w:val="Standaard-Tabellen"/>
            </w:pPr>
            <w:r w:rsidRPr="007D7CD6">
              <w:t xml:space="preserve">Skin </w:t>
            </w:r>
            <w:proofErr w:type="spellStart"/>
            <w:r w:rsidRPr="007D7CD6">
              <w:t>Sensitisation</w:t>
            </w:r>
            <w:proofErr w:type="spellEnd"/>
            <w:r w:rsidRPr="007D7CD6">
              <w:t xml:space="preserve"> Study of EUS26-15 Insect Repellent Spray in albino guinea</w:t>
            </w:r>
          </w:p>
          <w:p w14:paraId="15A3EB56" w14:textId="77777777" w:rsidR="002058C4" w:rsidRPr="007D7CD6" w:rsidRDefault="002058C4" w:rsidP="00496A65">
            <w:pPr>
              <w:pStyle w:val="Standaard-Tabellen"/>
            </w:pPr>
            <w:proofErr w:type="gramStart"/>
            <w:r w:rsidRPr="007D7CD6">
              <w:t>pigs</w:t>
            </w:r>
            <w:proofErr w:type="gramEnd"/>
            <w:r w:rsidRPr="007D7CD6">
              <w:t xml:space="preserve"> (Modified Buehler Method).</w:t>
            </w:r>
          </w:p>
        </w:tc>
        <w:tc>
          <w:tcPr>
            <w:tcW w:w="806" w:type="pct"/>
            <w:shd w:val="clear" w:color="auto" w:fill="auto"/>
          </w:tcPr>
          <w:p w14:paraId="4C87F8A4" w14:textId="77777777" w:rsidR="002058C4" w:rsidRPr="007D7CD6" w:rsidRDefault="002058C4" w:rsidP="00496A65">
            <w:pPr>
              <w:pStyle w:val="Standaard-Tabellen"/>
            </w:pPr>
            <w:r w:rsidRPr="007D7CD6">
              <w:t>WIL-</w:t>
            </w:r>
          </w:p>
          <w:p w14:paraId="175A807A" w14:textId="77777777" w:rsidR="002058C4" w:rsidRPr="007D7CD6" w:rsidRDefault="002058C4" w:rsidP="00496A65">
            <w:pPr>
              <w:pStyle w:val="Standaard-Tabellen"/>
            </w:pPr>
            <w:r w:rsidRPr="007D7CD6">
              <w:t>585008</w:t>
            </w:r>
          </w:p>
        </w:tc>
        <w:tc>
          <w:tcPr>
            <w:tcW w:w="647" w:type="pct"/>
            <w:shd w:val="clear" w:color="auto" w:fill="auto"/>
          </w:tcPr>
          <w:p w14:paraId="05FF7415" w14:textId="77777777" w:rsidR="002058C4" w:rsidRPr="007D7CD6" w:rsidRDefault="002058C4" w:rsidP="00496A65">
            <w:pPr>
              <w:pStyle w:val="Standaard-Tabellen"/>
            </w:pPr>
            <w:r w:rsidRPr="007D7CD6">
              <w:t>Merck</w:t>
            </w:r>
          </w:p>
          <w:p w14:paraId="3415001A" w14:textId="77777777" w:rsidR="002058C4" w:rsidRPr="007D7CD6" w:rsidRDefault="002058C4" w:rsidP="00496A65">
            <w:pPr>
              <w:pStyle w:val="Standaard-Tabellen"/>
            </w:pPr>
            <w:proofErr w:type="spellStart"/>
            <w:r w:rsidRPr="007D7CD6">
              <w:t>KGaA</w:t>
            </w:r>
            <w:proofErr w:type="spellEnd"/>
          </w:p>
        </w:tc>
        <w:tc>
          <w:tcPr>
            <w:tcW w:w="501" w:type="pct"/>
            <w:shd w:val="clear" w:color="auto" w:fill="auto"/>
          </w:tcPr>
          <w:p w14:paraId="24B1C14F" w14:textId="77777777" w:rsidR="002058C4" w:rsidRPr="007D7CD6" w:rsidRDefault="002058C4" w:rsidP="00496A65">
            <w:pPr>
              <w:pStyle w:val="Standaard-Tabellen"/>
            </w:pPr>
            <w:r w:rsidRPr="007D7CD6">
              <w:t>2006-09-08</w:t>
            </w:r>
          </w:p>
        </w:tc>
      </w:tr>
      <w:tr w:rsidR="002058C4" w:rsidRPr="007D7CD6" w14:paraId="06E52DB0" w14:textId="77777777" w:rsidTr="007D7CD6">
        <w:tc>
          <w:tcPr>
            <w:tcW w:w="704" w:type="pct"/>
            <w:shd w:val="clear" w:color="auto" w:fill="auto"/>
          </w:tcPr>
          <w:p w14:paraId="2580CD3D" w14:textId="77777777" w:rsidR="002058C4" w:rsidRPr="007D7CD6" w:rsidRDefault="002058C4" w:rsidP="00496A65">
            <w:pPr>
              <w:pStyle w:val="Standaard-Tabellen"/>
            </w:pPr>
            <w:r w:rsidRPr="007D7CD6">
              <w:t>Hurley, J.M. (d)</w:t>
            </w:r>
          </w:p>
        </w:tc>
        <w:tc>
          <w:tcPr>
            <w:tcW w:w="361" w:type="pct"/>
            <w:shd w:val="clear" w:color="auto" w:fill="auto"/>
          </w:tcPr>
          <w:p w14:paraId="594E7580" w14:textId="77777777" w:rsidR="002058C4" w:rsidRPr="007D7CD6" w:rsidRDefault="002058C4" w:rsidP="00496A65">
            <w:pPr>
              <w:pStyle w:val="Standaard-Tabellen"/>
            </w:pPr>
            <w:r w:rsidRPr="007D7CD6">
              <w:t>2006</w:t>
            </w:r>
          </w:p>
        </w:tc>
        <w:tc>
          <w:tcPr>
            <w:tcW w:w="1981" w:type="pct"/>
            <w:shd w:val="clear" w:color="auto" w:fill="auto"/>
          </w:tcPr>
          <w:p w14:paraId="31FE8F42" w14:textId="77777777" w:rsidR="002058C4" w:rsidRPr="007D7CD6" w:rsidRDefault="002058C4" w:rsidP="00496A65">
            <w:pPr>
              <w:pStyle w:val="Standaard-Tabellen"/>
            </w:pPr>
            <w:r w:rsidRPr="007D7CD6">
              <w:t>Acute dermal toxicity study of EUS26-15 Insect Repellent Spray in albino rats.</w:t>
            </w:r>
          </w:p>
        </w:tc>
        <w:tc>
          <w:tcPr>
            <w:tcW w:w="806" w:type="pct"/>
            <w:shd w:val="clear" w:color="auto" w:fill="auto"/>
          </w:tcPr>
          <w:p w14:paraId="0DCAB610" w14:textId="77777777" w:rsidR="002058C4" w:rsidRPr="007D7CD6" w:rsidRDefault="002058C4" w:rsidP="00496A65">
            <w:pPr>
              <w:pStyle w:val="Standaard-Tabellen"/>
            </w:pPr>
            <w:r w:rsidRPr="007D7CD6">
              <w:t>WIL-</w:t>
            </w:r>
          </w:p>
          <w:p w14:paraId="34B74A8C" w14:textId="77777777" w:rsidR="002058C4" w:rsidRPr="007D7CD6" w:rsidRDefault="002058C4" w:rsidP="00496A65">
            <w:pPr>
              <w:pStyle w:val="Standaard-Tabellen"/>
            </w:pPr>
            <w:r w:rsidRPr="007D7CD6">
              <w:t>585005</w:t>
            </w:r>
          </w:p>
        </w:tc>
        <w:tc>
          <w:tcPr>
            <w:tcW w:w="647" w:type="pct"/>
            <w:shd w:val="clear" w:color="auto" w:fill="auto"/>
          </w:tcPr>
          <w:p w14:paraId="76B3A251" w14:textId="77777777" w:rsidR="002058C4" w:rsidRPr="007D7CD6" w:rsidRDefault="002058C4" w:rsidP="00496A65">
            <w:pPr>
              <w:pStyle w:val="Standaard-Tabellen"/>
            </w:pPr>
            <w:r w:rsidRPr="007D7CD6">
              <w:t>Merck</w:t>
            </w:r>
          </w:p>
          <w:p w14:paraId="6466E5E0" w14:textId="77777777" w:rsidR="002058C4" w:rsidRPr="007D7CD6" w:rsidRDefault="002058C4" w:rsidP="00496A65">
            <w:pPr>
              <w:pStyle w:val="Standaard-Tabellen"/>
            </w:pPr>
            <w:proofErr w:type="spellStart"/>
            <w:r w:rsidRPr="007D7CD6">
              <w:t>KGaA</w:t>
            </w:r>
            <w:proofErr w:type="spellEnd"/>
          </w:p>
        </w:tc>
        <w:tc>
          <w:tcPr>
            <w:tcW w:w="501" w:type="pct"/>
            <w:shd w:val="clear" w:color="auto" w:fill="auto"/>
          </w:tcPr>
          <w:p w14:paraId="5A8DA44E" w14:textId="77777777" w:rsidR="002058C4" w:rsidRPr="007D7CD6" w:rsidRDefault="002058C4" w:rsidP="00496A65">
            <w:pPr>
              <w:pStyle w:val="Standaard-Tabellen"/>
            </w:pPr>
            <w:r w:rsidRPr="007D7CD6">
              <w:t>2006-09-15</w:t>
            </w:r>
          </w:p>
        </w:tc>
      </w:tr>
    </w:tbl>
    <w:p w14:paraId="21167B40" w14:textId="77777777" w:rsidR="00F65B8F" w:rsidRPr="00017CF8" w:rsidRDefault="00F65B8F" w:rsidP="00496A65"/>
    <w:p w14:paraId="76831692" w14:textId="77777777" w:rsidR="00F65B8F" w:rsidRPr="00F65B8F" w:rsidRDefault="00F65B8F" w:rsidP="00496A65">
      <w:pPr>
        <w:pStyle w:val="Titre2"/>
      </w:pPr>
      <w:bookmarkStart w:id="390" w:name="_Toc389729190"/>
      <w:bookmarkStart w:id="391" w:name="_Toc403472828"/>
      <w:bookmarkStart w:id="392" w:name="_Toc425344134"/>
      <w:bookmarkStart w:id="393" w:name="_Toc8296567"/>
      <w:r w:rsidRPr="00F65B8F">
        <w:t>Output tables from exposure assessment tools</w:t>
      </w:r>
      <w:bookmarkEnd w:id="390"/>
      <w:bookmarkEnd w:id="391"/>
      <w:bookmarkEnd w:id="392"/>
      <w:bookmarkEnd w:id="393"/>
    </w:p>
    <w:p w14:paraId="1E05D474" w14:textId="77777777" w:rsidR="00045835" w:rsidRDefault="00430073" w:rsidP="00496A65">
      <w:pPr>
        <w:pStyle w:val="Titre3"/>
      </w:pPr>
      <w:bookmarkStart w:id="394" w:name="_Toc8296568"/>
      <w:r>
        <w:t>Human exposure calculations</w:t>
      </w:r>
      <w:bookmarkEnd w:id="394"/>
    </w:p>
    <w:bookmarkStart w:id="395" w:name="_MON_1599380999"/>
    <w:bookmarkEnd w:id="395"/>
    <w:p w14:paraId="3DA2AC99" w14:textId="77777777" w:rsidR="004C7F36" w:rsidRPr="00412894" w:rsidRDefault="00D6043D" w:rsidP="00496A65">
      <w:r>
        <w:object w:dxaOrig="1551" w:dyaOrig="1004" w14:anchorId="4C062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Excel.Sheet.12" ShapeID="_x0000_i1025" DrawAspect="Icon" ObjectID="_1654328422" r:id="rId18"/>
        </w:object>
      </w:r>
    </w:p>
    <w:p w14:paraId="0BCC3DD3" w14:textId="77777777" w:rsidR="00F65B8F" w:rsidRPr="00F65B8F" w:rsidRDefault="00F65B8F" w:rsidP="00496A65">
      <w:pPr>
        <w:pStyle w:val="Titre2"/>
      </w:pPr>
      <w:bookmarkStart w:id="396" w:name="_Toc389729191"/>
      <w:bookmarkStart w:id="397" w:name="_Toc403472829"/>
      <w:bookmarkStart w:id="398" w:name="_Toc425344135"/>
      <w:bookmarkStart w:id="399" w:name="_Toc8296569"/>
      <w:r w:rsidRPr="00F65B8F">
        <w:t>New information on the active substance</w:t>
      </w:r>
      <w:bookmarkEnd w:id="396"/>
      <w:bookmarkEnd w:id="397"/>
      <w:bookmarkEnd w:id="398"/>
      <w:bookmarkEnd w:id="399"/>
    </w:p>
    <w:p w14:paraId="356C78F5" w14:textId="77777777" w:rsidR="00B4326F" w:rsidRPr="00933CE9" w:rsidRDefault="00B4326F" w:rsidP="00496A65">
      <w:r>
        <w:t>Not applicable.</w:t>
      </w:r>
    </w:p>
    <w:p w14:paraId="1D69166A" w14:textId="77777777" w:rsidR="00F65B8F" w:rsidRPr="00F65B8F" w:rsidRDefault="00F65B8F" w:rsidP="00496A65">
      <w:pPr>
        <w:pStyle w:val="Titre2"/>
      </w:pPr>
      <w:bookmarkStart w:id="400" w:name="_Toc389729192"/>
      <w:bookmarkStart w:id="401" w:name="_Toc403472830"/>
      <w:bookmarkStart w:id="402" w:name="_Toc425344136"/>
      <w:bookmarkStart w:id="403" w:name="_Toc8296570"/>
      <w:r w:rsidRPr="00F65B8F">
        <w:t>Residue behaviour</w:t>
      </w:r>
      <w:bookmarkEnd w:id="400"/>
      <w:bookmarkEnd w:id="401"/>
      <w:bookmarkEnd w:id="402"/>
      <w:bookmarkEnd w:id="403"/>
    </w:p>
    <w:p w14:paraId="638D97F4" w14:textId="77777777" w:rsidR="00B4326F" w:rsidRPr="007D78DC" w:rsidRDefault="00B4326F" w:rsidP="00496A65">
      <w:pPr>
        <w:rPr>
          <w:lang w:val="de-DE"/>
        </w:rPr>
      </w:pPr>
      <w:r>
        <w:rPr>
          <w:lang w:val="de-DE"/>
        </w:rPr>
        <w:t xml:space="preserve">Not </w:t>
      </w:r>
      <w:proofErr w:type="spellStart"/>
      <w:r>
        <w:rPr>
          <w:lang w:val="de-DE"/>
        </w:rPr>
        <w:t>applicable</w:t>
      </w:r>
      <w:proofErr w:type="spellEnd"/>
      <w:r>
        <w:rPr>
          <w:lang w:val="de-DE"/>
        </w:rPr>
        <w:t>.</w:t>
      </w:r>
    </w:p>
    <w:p w14:paraId="4A0B555D" w14:textId="77777777" w:rsidR="00F65B8F" w:rsidRPr="00F65B8F" w:rsidRDefault="00F65B8F" w:rsidP="00496A65">
      <w:pPr>
        <w:pStyle w:val="Titre2"/>
      </w:pPr>
      <w:bookmarkStart w:id="404" w:name="_Toc389729193"/>
      <w:bookmarkStart w:id="405" w:name="_Toc403472831"/>
      <w:bookmarkStart w:id="406" w:name="_Toc425344137"/>
      <w:bookmarkStart w:id="407" w:name="_Toc8296571"/>
      <w:r w:rsidRPr="00F65B8F">
        <w:t>Summaries of the efficacy studies (B.5.10.1-xx)</w:t>
      </w:r>
      <w:bookmarkEnd w:id="404"/>
      <w:bookmarkEnd w:id="405"/>
      <w:bookmarkEnd w:id="406"/>
      <w:bookmarkEnd w:id="407"/>
    </w:p>
    <w:p w14:paraId="2FD6B5F1" w14:textId="77777777" w:rsidR="00F65B8F" w:rsidRPr="00305B11" w:rsidRDefault="00B9123F" w:rsidP="00496A65">
      <w:r>
        <w:t>Not relevant, IUCLID file available.</w:t>
      </w:r>
    </w:p>
    <w:p w14:paraId="5B0E9A44" w14:textId="77777777" w:rsidR="00F65B8F" w:rsidRPr="00F65B8F" w:rsidRDefault="00F65B8F" w:rsidP="00496A65">
      <w:pPr>
        <w:pStyle w:val="Titre2"/>
      </w:pPr>
      <w:bookmarkStart w:id="408" w:name="_Toc389729199"/>
      <w:bookmarkStart w:id="409" w:name="_Toc403472832"/>
      <w:bookmarkStart w:id="410" w:name="_Toc425344138"/>
      <w:bookmarkStart w:id="411" w:name="_Toc8296572"/>
      <w:r w:rsidRPr="00F65B8F">
        <w:t>Confidential annex</w:t>
      </w:r>
      <w:bookmarkEnd w:id="408"/>
      <w:bookmarkEnd w:id="409"/>
      <w:bookmarkEnd w:id="410"/>
      <w:bookmarkEnd w:id="411"/>
      <w:r w:rsidRPr="00F65B8F">
        <w:t xml:space="preserve"> </w:t>
      </w:r>
    </w:p>
    <w:p w14:paraId="5A4119FD" w14:textId="77777777" w:rsidR="00B4326F" w:rsidRPr="00017CF8" w:rsidRDefault="00B4326F" w:rsidP="00496A65">
      <w:pPr>
        <w:rPr>
          <w:lang w:val="de-DE"/>
        </w:rPr>
      </w:pPr>
      <w:r>
        <w:rPr>
          <w:lang w:val="de-DE"/>
        </w:rPr>
        <w:t>Yes</w:t>
      </w:r>
      <w:r w:rsidR="00B9123F">
        <w:rPr>
          <w:lang w:val="de-DE"/>
        </w:rPr>
        <w:t xml:space="preserve">, </w:t>
      </w:r>
      <w:proofErr w:type="spellStart"/>
      <w:r w:rsidR="00B9123F">
        <w:rPr>
          <w:lang w:val="de-DE"/>
        </w:rPr>
        <w:t>see</w:t>
      </w:r>
      <w:proofErr w:type="spellEnd"/>
      <w:r w:rsidR="00B9123F">
        <w:rPr>
          <w:lang w:val="de-DE"/>
        </w:rPr>
        <w:t xml:space="preserve"> </w:t>
      </w:r>
      <w:proofErr w:type="spellStart"/>
      <w:r w:rsidR="00B9123F">
        <w:rPr>
          <w:lang w:val="de-DE"/>
        </w:rPr>
        <w:t>seperate</w:t>
      </w:r>
      <w:proofErr w:type="spellEnd"/>
      <w:r w:rsidR="00B9123F">
        <w:rPr>
          <w:lang w:val="de-DE"/>
        </w:rPr>
        <w:t xml:space="preserve"> </w:t>
      </w:r>
      <w:proofErr w:type="spellStart"/>
      <w:r w:rsidR="00B9123F">
        <w:rPr>
          <w:lang w:val="de-DE"/>
        </w:rPr>
        <w:t>document</w:t>
      </w:r>
      <w:proofErr w:type="spellEnd"/>
      <w:r w:rsidR="00B9123F">
        <w:rPr>
          <w:lang w:val="de-DE"/>
        </w:rPr>
        <w:t>.</w:t>
      </w:r>
    </w:p>
    <w:p w14:paraId="0E8EDF59" w14:textId="77777777" w:rsidR="00F65B8F" w:rsidRPr="00F65B8F" w:rsidRDefault="00F65B8F" w:rsidP="00496A65">
      <w:pPr>
        <w:pStyle w:val="Titre2"/>
      </w:pPr>
      <w:bookmarkStart w:id="412" w:name="_Toc389729200"/>
      <w:bookmarkStart w:id="413" w:name="_Toc403472833"/>
      <w:bookmarkStart w:id="414" w:name="_Toc425344139"/>
      <w:bookmarkStart w:id="415" w:name="_Toc8296573"/>
      <w:r w:rsidRPr="00F65B8F">
        <w:t>Other</w:t>
      </w:r>
      <w:bookmarkEnd w:id="412"/>
      <w:bookmarkEnd w:id="413"/>
      <w:bookmarkEnd w:id="414"/>
      <w:bookmarkEnd w:id="415"/>
    </w:p>
    <w:p w14:paraId="1A1B040B" w14:textId="77777777" w:rsidR="00C442A7" w:rsidRDefault="00B4326F" w:rsidP="00496A65">
      <w:r>
        <w:t>Not applicable.</w:t>
      </w:r>
    </w:p>
    <w:p w14:paraId="1976E201" w14:textId="77777777" w:rsidR="00B4326F" w:rsidRPr="00957052" w:rsidRDefault="00B4326F" w:rsidP="00496A65"/>
    <w:sectPr w:rsidR="00B4326F" w:rsidRPr="00957052" w:rsidSect="002058C4">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48C9" w14:textId="77777777" w:rsidR="00DC6C3E" w:rsidRDefault="00DC6C3E" w:rsidP="00496A65">
      <w:r>
        <w:separator/>
      </w:r>
    </w:p>
  </w:endnote>
  <w:endnote w:type="continuationSeparator" w:id="0">
    <w:p w14:paraId="002A8691" w14:textId="77777777" w:rsidR="00DC6C3E" w:rsidRDefault="00DC6C3E" w:rsidP="0049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36jii">
    <w:panose1 w:val="00000000000000000000"/>
    <w:charset w:val="00"/>
    <w:family w:val="auto"/>
    <w:notTrueType/>
    <w:pitch w:val="default"/>
    <w:sig w:usb0="00000003" w:usb1="00000000" w:usb2="00000000" w:usb3="00000000" w:csb0="00000001" w:csb1="00000000"/>
  </w:font>
  <w:font w:name="06rbj">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D74B" w14:textId="7A63AFBF" w:rsidR="00DC6C3E" w:rsidRDefault="00DC6C3E" w:rsidP="005C1A2A">
    <w:pPr>
      <w:pStyle w:val="Pieddepage"/>
      <w:pBdr>
        <w:top w:val="single" w:sz="4" w:space="1" w:color="auto"/>
      </w:pBdr>
      <w:jc w:val="right"/>
    </w:pPr>
    <w:r>
      <w:fldChar w:fldCharType="begin"/>
    </w:r>
    <w:r>
      <w:instrText xml:space="preserve"> PAGE   \* MERGEFORMAT </w:instrText>
    </w:r>
    <w:r>
      <w:fldChar w:fldCharType="separate"/>
    </w:r>
    <w:r w:rsidR="00F26AF2">
      <w:rPr>
        <w:noProof/>
      </w:rPr>
      <w:t>14</w:t>
    </w:r>
    <w:r>
      <w:rPr>
        <w:noProof/>
      </w:rPr>
      <w:fldChar w:fldCharType="end"/>
    </w:r>
    <w:r>
      <w:t xml:space="preserve"> / </w:t>
    </w:r>
    <w:r>
      <w:rPr>
        <w:noProof/>
      </w:rPr>
      <w:fldChar w:fldCharType="begin"/>
    </w:r>
    <w:r>
      <w:rPr>
        <w:noProof/>
      </w:rPr>
      <w:instrText xml:space="preserve"> NUMPAGES   \* MERGEFORMAT </w:instrText>
    </w:r>
    <w:r>
      <w:rPr>
        <w:noProof/>
      </w:rPr>
      <w:fldChar w:fldCharType="separate"/>
    </w:r>
    <w:r w:rsidR="00F26AF2">
      <w:rPr>
        <w:noProof/>
      </w:rPr>
      <w:t>89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9C2A" w14:textId="33ECB664" w:rsidR="00DC6C3E" w:rsidRDefault="00DC6C3E" w:rsidP="00496A65">
    <w:pPr>
      <w:pStyle w:val="Pieddepage"/>
    </w:pPr>
    <w:r>
      <w:fldChar w:fldCharType="begin"/>
    </w:r>
    <w:r>
      <w:instrText xml:space="preserve"> PAGE   \* MERGEFORMAT </w:instrText>
    </w:r>
    <w:r>
      <w:fldChar w:fldCharType="separate"/>
    </w:r>
    <w:r w:rsidR="00F26AF2">
      <w:rPr>
        <w:noProof/>
      </w:rPr>
      <w:t>21</w:t>
    </w:r>
    <w:r>
      <w:rPr>
        <w:noProof/>
      </w:rPr>
      <w:fldChar w:fldCharType="end"/>
    </w:r>
    <w:r>
      <w:t xml:space="preserve"> / </w:t>
    </w:r>
    <w:r>
      <w:rPr>
        <w:noProof/>
      </w:rPr>
      <w:fldChar w:fldCharType="begin"/>
    </w:r>
    <w:r>
      <w:rPr>
        <w:noProof/>
      </w:rPr>
      <w:instrText xml:space="preserve"> NUMPAGES   \* MERGEFORMAT </w:instrText>
    </w:r>
    <w:r>
      <w:rPr>
        <w:noProof/>
      </w:rPr>
      <w:fldChar w:fldCharType="separate"/>
    </w:r>
    <w:r w:rsidR="00F26AF2">
      <w:rPr>
        <w:noProof/>
      </w:rPr>
      <w:t>89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91CF" w14:textId="77777777" w:rsidR="00DC6C3E" w:rsidRDefault="00DC6C3E" w:rsidP="00496A65">
      <w:r>
        <w:separator/>
      </w:r>
    </w:p>
  </w:footnote>
  <w:footnote w:type="continuationSeparator" w:id="0">
    <w:p w14:paraId="61686156" w14:textId="77777777" w:rsidR="00DC6C3E" w:rsidRDefault="00DC6C3E" w:rsidP="00496A65">
      <w:r>
        <w:continuationSeparator/>
      </w:r>
    </w:p>
  </w:footnote>
  <w:footnote w:id="1">
    <w:p w14:paraId="4CBB6CE2" w14:textId="74B646E9" w:rsidR="00DC6C3E" w:rsidRDefault="00DC6C3E" w:rsidP="009609F5">
      <w:pPr>
        <w:pStyle w:val="Notedebasdepage"/>
        <w:ind w:left="0" w:firstLine="0"/>
        <w:rPr>
          <w:rFonts w:cs="Verdana"/>
          <w:lang w:val="en-GB" w:eastAsia="zh-CN"/>
        </w:rPr>
      </w:pPr>
    </w:p>
  </w:footnote>
  <w:footnote w:id="2">
    <w:p w14:paraId="4D4D003A" w14:textId="77777777" w:rsidR="00DC6C3E" w:rsidRDefault="00DC6C3E" w:rsidP="00E92982">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5"/>
      <w:gridCol w:w="5394"/>
      <w:gridCol w:w="1787"/>
    </w:tblGrid>
    <w:tr w:rsidR="00DC6C3E" w14:paraId="370A3CCB" w14:textId="77777777" w:rsidTr="0028480A">
      <w:tc>
        <w:tcPr>
          <w:tcW w:w="1022" w:type="pct"/>
        </w:tcPr>
        <w:p w14:paraId="4051226F" w14:textId="4E30E12D" w:rsidR="00DC6C3E" w:rsidRDefault="00DC6C3E" w:rsidP="0003429D">
          <w:pPr>
            <w:pStyle w:val="En-tte"/>
            <w:jc w:val="center"/>
          </w:pPr>
          <w:r>
            <w:t>France</w:t>
          </w:r>
        </w:p>
      </w:tc>
      <w:tc>
        <w:tcPr>
          <w:tcW w:w="2988" w:type="pct"/>
        </w:tcPr>
        <w:p w14:paraId="03A2E1DB" w14:textId="0FE53A73" w:rsidR="00DC6C3E" w:rsidRDefault="00DC6C3E" w:rsidP="005C1A2A">
          <w:pPr>
            <w:pStyle w:val="En-tte"/>
            <w:jc w:val="center"/>
          </w:pPr>
          <w:r>
            <w:t>APAISYL REPULSIF MOUSTIQUES LOTION</w:t>
          </w:r>
        </w:p>
      </w:tc>
      <w:tc>
        <w:tcPr>
          <w:tcW w:w="990" w:type="pct"/>
        </w:tcPr>
        <w:p w14:paraId="1ABF46C2" w14:textId="77777777" w:rsidR="00DC6C3E" w:rsidRDefault="00DC6C3E" w:rsidP="005C1A2A">
          <w:pPr>
            <w:pStyle w:val="En-tte"/>
            <w:jc w:val="center"/>
          </w:pPr>
          <w:r>
            <w:t>PT19</w:t>
          </w:r>
        </w:p>
      </w:tc>
    </w:tr>
  </w:tbl>
  <w:p w14:paraId="1ECB1A0E" w14:textId="77777777" w:rsidR="00DC6C3E" w:rsidRPr="005C1A2A" w:rsidRDefault="00DC6C3E" w:rsidP="005C1A2A">
    <w:pPr>
      <w:pStyle w:val="En-tte"/>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23"/>
      <w:gridCol w:w="5625"/>
      <w:gridCol w:w="1864"/>
    </w:tblGrid>
    <w:tr w:rsidR="00DC6C3E" w14:paraId="6FF8EAB7" w14:textId="77777777" w:rsidTr="0028480A">
      <w:tc>
        <w:tcPr>
          <w:tcW w:w="1022" w:type="pct"/>
        </w:tcPr>
        <w:p w14:paraId="44C18E34" w14:textId="4A9749CB" w:rsidR="00DC6C3E" w:rsidRDefault="00DC6C3E" w:rsidP="00496A65">
          <w:pPr>
            <w:pStyle w:val="En-tte"/>
          </w:pPr>
          <w:r>
            <w:t>FR</w:t>
          </w:r>
        </w:p>
      </w:tc>
      <w:tc>
        <w:tcPr>
          <w:tcW w:w="2988" w:type="pct"/>
        </w:tcPr>
        <w:p w14:paraId="50794033" w14:textId="1231A3E9" w:rsidR="00DC6C3E" w:rsidRDefault="00DC6C3E" w:rsidP="00ED3131">
          <w:pPr>
            <w:pStyle w:val="En-tte"/>
          </w:pPr>
          <w:r>
            <w:t>APAISYL REPULSIF MOUSTIQUES LOTION</w:t>
          </w:r>
        </w:p>
      </w:tc>
      <w:tc>
        <w:tcPr>
          <w:tcW w:w="990" w:type="pct"/>
        </w:tcPr>
        <w:p w14:paraId="56A0C02A" w14:textId="77777777" w:rsidR="00DC6C3E" w:rsidRDefault="00DC6C3E" w:rsidP="00496A65">
          <w:pPr>
            <w:pStyle w:val="En-tte"/>
          </w:pPr>
          <w:r>
            <w:t>PT19</w:t>
          </w:r>
        </w:p>
      </w:tc>
    </w:tr>
  </w:tbl>
  <w:p w14:paraId="3B51580E" w14:textId="77777777" w:rsidR="00DC6C3E" w:rsidRPr="005C1A2A" w:rsidRDefault="00DC6C3E" w:rsidP="00496A65">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lvlText w:val="%1"/>
      <w:lvlJc w:val="left"/>
      <w:pPr>
        <w:tabs>
          <w:tab w:val="num" w:pos="0"/>
        </w:tabs>
        <w:ind w:left="432" w:hanging="432"/>
      </w:pPr>
      <w:rPr>
        <w:rFonts w:cs="Times New Roman"/>
        <w:b/>
        <w:bCs w:val="0"/>
        <w:i/>
        <w:iCs w:val="0"/>
        <w:caps w:val="0"/>
        <w:smallCaps w:val="0"/>
        <w:strike w:val="0"/>
        <w:dstrike w:val="0"/>
        <w:vanish w:val="0"/>
        <w:webHidden w:val="0"/>
        <w:color w:val="000000"/>
        <w:spacing w:val="0"/>
        <w:kern w:val="2"/>
        <w:position w:val="0"/>
        <w:sz w:val="28"/>
        <w:szCs w:val="24"/>
        <w:u w:val="none"/>
        <w:effect w:val="none"/>
        <w:vertAlign w:val="baseline"/>
        <w:em w:val="none"/>
        <w:lang w:val="en-GB"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576" w:hanging="576"/>
      </w:pPr>
      <w:rPr>
        <w:b/>
        <w:sz w:val="24"/>
        <w:lang w:val="de-DE"/>
      </w:rPr>
    </w:lvl>
    <w:lvl w:ilvl="2">
      <w:start w:val="1"/>
      <w:numFmt w:val="decimal"/>
      <w:lvlText w:val="%1.%2.%3"/>
      <w:lvlJc w:val="left"/>
      <w:pPr>
        <w:tabs>
          <w:tab w:val="num" w:pos="284"/>
        </w:tabs>
        <w:ind w:left="1004" w:hanging="720"/>
      </w:pPr>
    </w:lvl>
    <w:lvl w:ilvl="3">
      <w:start w:val="1"/>
      <w:numFmt w:val="decimal"/>
      <w:lvlText w:val="%1.%2.%3.%4"/>
      <w:lvlJc w:val="left"/>
      <w:pPr>
        <w:tabs>
          <w:tab w:val="num" w:pos="0"/>
        </w:tabs>
        <w:ind w:left="864" w:hanging="864"/>
      </w:pPr>
      <w:rPr>
        <w:rFonts w:ascii="Verdana" w:hAnsi="Verdana" w:hint="default"/>
        <w:b/>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84A356A"/>
    <w:multiLevelType w:val="hybridMultilevel"/>
    <w:tmpl w:val="8964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16C09"/>
    <w:multiLevelType w:val="hybridMultilevel"/>
    <w:tmpl w:val="CADA9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32668D"/>
    <w:multiLevelType w:val="hybridMultilevel"/>
    <w:tmpl w:val="BD2CE836"/>
    <w:lvl w:ilvl="0" w:tplc="A3A098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F630D8"/>
    <w:multiLevelType w:val="hybridMultilevel"/>
    <w:tmpl w:val="92AC7664"/>
    <w:lvl w:ilvl="0" w:tplc="AF4C6EB2">
      <w:start w:val="1"/>
      <w:numFmt w:val="upperRoman"/>
      <w:pStyle w:val="Titre5"/>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904091"/>
    <w:multiLevelType w:val="hybridMultilevel"/>
    <w:tmpl w:val="F82414AC"/>
    <w:lvl w:ilvl="0" w:tplc="2C3ED6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330BAA"/>
    <w:multiLevelType w:val="hybridMultilevel"/>
    <w:tmpl w:val="D680636C"/>
    <w:lvl w:ilvl="0" w:tplc="C6345C32">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FE3449"/>
    <w:multiLevelType w:val="hybridMultilevel"/>
    <w:tmpl w:val="DB725418"/>
    <w:lvl w:ilvl="0" w:tplc="1B3C2F4C">
      <w:start w:val="1"/>
      <w:numFmt w:val="bullet"/>
      <w:lvlText w:val="-"/>
      <w:lvlJc w:val="left"/>
      <w:pPr>
        <w:ind w:left="789" w:hanging="360"/>
      </w:pPr>
      <w:rPr>
        <w:rFonts w:ascii="Verdana" w:eastAsia="Times New Roman" w:hAnsi="Verdana" w:cs="Times New Roman"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8" w15:restartNumberingAfterBreak="0">
    <w:nsid w:val="20EF2968"/>
    <w:multiLevelType w:val="hybridMultilevel"/>
    <w:tmpl w:val="5B16DF72"/>
    <w:lvl w:ilvl="0" w:tplc="2C3ED6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E50980"/>
    <w:multiLevelType w:val="hybridMultilevel"/>
    <w:tmpl w:val="71A8A77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220706A"/>
    <w:multiLevelType w:val="hybridMultilevel"/>
    <w:tmpl w:val="D054C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4472A8"/>
    <w:multiLevelType w:val="multilevel"/>
    <w:tmpl w:val="94A4D5D2"/>
    <w:lvl w:ilvl="0">
      <w:start w:val="1"/>
      <w:numFmt w:val="decimal"/>
      <w:pStyle w:val="CurrentAuth1"/>
      <w:suff w:val="space"/>
      <w:lvlText w:val="%1."/>
      <w:lvlJc w:val="left"/>
      <w:pPr>
        <w:ind w:left="0" w:firstLine="0"/>
      </w:pPr>
      <w:rPr>
        <w:rFonts w:ascii="Arial Bold" w:hAnsi="Arial Bold" w:hint="default"/>
        <w:b/>
        <w:i w:val="0"/>
        <w:color w:val="auto"/>
        <w:sz w:val="28"/>
      </w:rPr>
    </w:lvl>
    <w:lvl w:ilvl="1">
      <w:start w:val="1"/>
      <w:numFmt w:val="decimal"/>
      <w:pStyle w:val="CurrentAuth2"/>
      <w:suff w:val="space"/>
      <w:lvlText w:val="%1.%2."/>
      <w:lvlJc w:val="left"/>
      <w:pPr>
        <w:ind w:left="0" w:firstLine="0"/>
      </w:pPr>
      <w:rPr>
        <w:rFonts w:ascii="Arial Bold" w:hAnsi="Arial Bold" w:hint="default"/>
        <w:b/>
        <w:i w:val="0"/>
        <w:color w:val="auto"/>
        <w:sz w:val="24"/>
      </w:rPr>
    </w:lvl>
    <w:lvl w:ilvl="2">
      <w:start w:val="1"/>
      <w:numFmt w:val="decimal"/>
      <w:pStyle w:val="CurrentAuth3"/>
      <w:suff w:val="space"/>
      <w:lvlText w:val="%1.%2.%3."/>
      <w:lvlJc w:val="left"/>
      <w:pPr>
        <w:ind w:left="0" w:firstLine="0"/>
      </w:pPr>
      <w:rPr>
        <w:rFonts w:ascii="Arial Bold" w:hAnsi="Arial Bold" w:hint="default"/>
        <w:b/>
        <w:i w:val="0"/>
        <w:color w:val="auto"/>
        <w:sz w:val="24"/>
      </w:rPr>
    </w:lvl>
    <w:lvl w:ilvl="3">
      <w:start w:val="1"/>
      <w:numFmt w:val="decimal"/>
      <w:pStyle w:val="CurrentAuth4"/>
      <w:suff w:val="space"/>
      <w:lvlText w:val="%1.%2.%3.%4."/>
      <w:lvlJc w:val="left"/>
      <w:pPr>
        <w:ind w:left="0" w:firstLine="0"/>
      </w:pPr>
      <w:rPr>
        <w:rFonts w:ascii="Arial Bold" w:hAnsi="Arial Bold"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B2D206F"/>
    <w:multiLevelType w:val="hybridMultilevel"/>
    <w:tmpl w:val="EB34CBD0"/>
    <w:lvl w:ilvl="0" w:tplc="5CDE181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0856BE"/>
    <w:multiLevelType w:val="hybridMultilevel"/>
    <w:tmpl w:val="1C262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9C0C7B"/>
    <w:multiLevelType w:val="hybridMultilevel"/>
    <w:tmpl w:val="19E85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246FCF"/>
    <w:multiLevelType w:val="hybridMultilevel"/>
    <w:tmpl w:val="4F968F34"/>
    <w:lvl w:ilvl="0" w:tplc="2C3ED654">
      <w:numFmt w:val="bullet"/>
      <w:lvlText w:val="-"/>
      <w:lvlJc w:val="left"/>
      <w:pPr>
        <w:ind w:left="360" w:hanging="360"/>
      </w:pPr>
      <w:rPr>
        <w:rFonts w:ascii="Verdana" w:eastAsia="Times New Roman" w:hAnsi="Verdana" w:cs="Times New Roman" w:hint="default"/>
      </w:rPr>
    </w:lvl>
    <w:lvl w:ilvl="1" w:tplc="341EC876">
      <w:start w:val="3"/>
      <w:numFmt w:val="bullet"/>
      <w:lvlText w:val="-"/>
      <w:lvlJc w:val="left"/>
      <w:pPr>
        <w:ind w:left="1080" w:hanging="360"/>
      </w:pPr>
      <w:rPr>
        <w:rFonts w:ascii="Verdana" w:eastAsia="Calibri"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D2224B"/>
    <w:multiLevelType w:val="hybridMultilevel"/>
    <w:tmpl w:val="9A88E7DC"/>
    <w:lvl w:ilvl="0" w:tplc="2C3ED654">
      <w:numFmt w:val="bullet"/>
      <w:lvlText w:val="-"/>
      <w:lvlJc w:val="left"/>
      <w:pPr>
        <w:ind w:left="360" w:hanging="360"/>
      </w:pPr>
      <w:rPr>
        <w:rFonts w:ascii="Verdana" w:eastAsia="Times New Roman" w:hAnsi="Verdana" w:cs="Times New Roman" w:hint="default"/>
      </w:rPr>
    </w:lvl>
    <w:lvl w:ilvl="1" w:tplc="2C3ED654">
      <w:numFmt w:val="bullet"/>
      <w:lvlText w:val="-"/>
      <w:lvlJc w:val="left"/>
      <w:pPr>
        <w:ind w:left="1785" w:hanging="705"/>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E21E40"/>
    <w:multiLevelType w:val="hybridMultilevel"/>
    <w:tmpl w:val="837A5E12"/>
    <w:lvl w:ilvl="0" w:tplc="2C3ED65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9332B74"/>
    <w:multiLevelType w:val="hybridMultilevel"/>
    <w:tmpl w:val="296EC56E"/>
    <w:lvl w:ilvl="0" w:tplc="8F6230D8">
      <w:start w:val="2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02178D"/>
    <w:multiLevelType w:val="hybridMultilevel"/>
    <w:tmpl w:val="0FBAD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4938DC"/>
    <w:multiLevelType w:val="hybridMultilevel"/>
    <w:tmpl w:val="38208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B43BB9"/>
    <w:multiLevelType w:val="hybridMultilevel"/>
    <w:tmpl w:val="C7BE4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74550B"/>
    <w:multiLevelType w:val="hybridMultilevel"/>
    <w:tmpl w:val="196E0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FC1EEA"/>
    <w:multiLevelType w:val="hybridMultilevel"/>
    <w:tmpl w:val="A54E217A"/>
    <w:lvl w:ilvl="0" w:tplc="04130017">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4" w15:restartNumberingAfterBreak="0">
    <w:nsid w:val="55B267B8"/>
    <w:multiLevelType w:val="hybridMultilevel"/>
    <w:tmpl w:val="80048A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7C60AB"/>
    <w:multiLevelType w:val="hybridMultilevel"/>
    <w:tmpl w:val="24563E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160708C"/>
    <w:multiLevelType w:val="multilevel"/>
    <w:tmpl w:val="1E48F46A"/>
    <w:lvl w:ilvl="0">
      <w:start w:val="1"/>
      <w:numFmt w:val="decimal"/>
      <w:pStyle w:val="Titre1"/>
      <w:lvlText w:val="%1"/>
      <w:lvlJc w:val="left"/>
      <w:pPr>
        <w:ind w:left="432" w:hanging="432"/>
      </w:p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6626048F"/>
    <w:multiLevelType w:val="hybridMultilevel"/>
    <w:tmpl w:val="A54E217A"/>
    <w:lvl w:ilvl="0" w:tplc="04130017">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8" w15:restartNumberingAfterBreak="0">
    <w:nsid w:val="699E1547"/>
    <w:multiLevelType w:val="multilevel"/>
    <w:tmpl w:val="D0BC50D6"/>
    <w:lvl w:ilvl="0">
      <w:start w:val="2"/>
      <w:numFmt w:val="decimal"/>
      <w:lvlText w:val="%1."/>
      <w:lvlJc w:val="left"/>
      <w:pPr>
        <w:ind w:left="552" w:hanging="552"/>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498" w:hanging="1080"/>
      </w:pPr>
      <w:rPr>
        <w:rFonts w:hint="default"/>
        <w:b w:val="0"/>
      </w:rPr>
    </w:lvl>
    <w:lvl w:ilvl="3">
      <w:start w:val="1"/>
      <w:numFmt w:val="decimal"/>
      <w:lvlText w:val="%1.%2.%3.%4."/>
      <w:lvlJc w:val="left"/>
      <w:pPr>
        <w:ind w:left="3567" w:hanging="1440"/>
      </w:pPr>
      <w:rPr>
        <w:rFonts w:hint="default"/>
        <w:b w:val="0"/>
      </w:rPr>
    </w:lvl>
    <w:lvl w:ilvl="4">
      <w:start w:val="1"/>
      <w:numFmt w:val="decimal"/>
      <w:lvlText w:val="%1.%2.%3.%4.%5."/>
      <w:lvlJc w:val="left"/>
      <w:pPr>
        <w:ind w:left="4636" w:hanging="1800"/>
      </w:pPr>
      <w:rPr>
        <w:rFonts w:hint="default"/>
        <w:b w:val="0"/>
      </w:rPr>
    </w:lvl>
    <w:lvl w:ilvl="5">
      <w:start w:val="1"/>
      <w:numFmt w:val="decimal"/>
      <w:lvlText w:val="%1.%2.%3.%4.%5.%6."/>
      <w:lvlJc w:val="left"/>
      <w:pPr>
        <w:ind w:left="5705" w:hanging="2160"/>
      </w:pPr>
      <w:rPr>
        <w:rFonts w:hint="default"/>
        <w:b w:val="0"/>
      </w:rPr>
    </w:lvl>
    <w:lvl w:ilvl="6">
      <w:start w:val="1"/>
      <w:numFmt w:val="decimal"/>
      <w:lvlText w:val="%1.%2.%3.%4.%5.%6.%7."/>
      <w:lvlJc w:val="left"/>
      <w:pPr>
        <w:ind w:left="6774" w:hanging="2520"/>
      </w:pPr>
      <w:rPr>
        <w:rFonts w:hint="default"/>
        <w:b w:val="0"/>
      </w:rPr>
    </w:lvl>
    <w:lvl w:ilvl="7">
      <w:start w:val="1"/>
      <w:numFmt w:val="decimal"/>
      <w:lvlText w:val="%1.%2.%3.%4.%5.%6.%7.%8."/>
      <w:lvlJc w:val="left"/>
      <w:pPr>
        <w:ind w:left="7843" w:hanging="2880"/>
      </w:pPr>
      <w:rPr>
        <w:rFonts w:hint="default"/>
        <w:b w:val="0"/>
      </w:rPr>
    </w:lvl>
    <w:lvl w:ilvl="8">
      <w:start w:val="1"/>
      <w:numFmt w:val="decimal"/>
      <w:lvlText w:val="%1.%2.%3.%4.%5.%6.%7.%8.%9."/>
      <w:lvlJc w:val="left"/>
      <w:pPr>
        <w:ind w:left="8912" w:hanging="3240"/>
      </w:pPr>
      <w:rPr>
        <w:rFonts w:hint="default"/>
        <w:b w:val="0"/>
      </w:rPr>
    </w:lvl>
  </w:abstractNum>
  <w:abstractNum w:abstractNumId="29" w15:restartNumberingAfterBreak="0">
    <w:nsid w:val="69E96679"/>
    <w:multiLevelType w:val="multilevel"/>
    <w:tmpl w:val="1D48BC2A"/>
    <w:lvl w:ilvl="0">
      <w:start w:val="2"/>
      <w:numFmt w:val="decimal"/>
      <w:lvlText w:val="%1."/>
      <w:lvlJc w:val="left"/>
      <w:pPr>
        <w:ind w:left="552" w:hanging="552"/>
      </w:pPr>
      <w:rPr>
        <w:rFonts w:hint="default"/>
        <w:b w:val="0"/>
      </w:rPr>
    </w:lvl>
    <w:lvl w:ilvl="1">
      <w:start w:val="2"/>
      <w:numFmt w:val="decimal"/>
      <w:lvlText w:val="%1.%2."/>
      <w:lvlJc w:val="left"/>
      <w:pPr>
        <w:ind w:left="1429" w:hanging="720"/>
      </w:pPr>
      <w:rPr>
        <w:rFonts w:hint="default"/>
        <w:b w:val="0"/>
      </w:rPr>
    </w:lvl>
    <w:lvl w:ilvl="2">
      <w:start w:val="1"/>
      <w:numFmt w:val="decimal"/>
      <w:lvlText w:val="%1.%2.%3."/>
      <w:lvlJc w:val="left"/>
      <w:pPr>
        <w:ind w:left="2498" w:hanging="1080"/>
      </w:pPr>
      <w:rPr>
        <w:rFonts w:hint="default"/>
        <w:b w:val="0"/>
      </w:rPr>
    </w:lvl>
    <w:lvl w:ilvl="3">
      <w:start w:val="1"/>
      <w:numFmt w:val="decimal"/>
      <w:lvlText w:val="%1.%2.%3.%4."/>
      <w:lvlJc w:val="left"/>
      <w:pPr>
        <w:ind w:left="3567" w:hanging="1440"/>
      </w:pPr>
      <w:rPr>
        <w:rFonts w:hint="default"/>
        <w:b w:val="0"/>
      </w:rPr>
    </w:lvl>
    <w:lvl w:ilvl="4">
      <w:start w:val="1"/>
      <w:numFmt w:val="decimal"/>
      <w:lvlText w:val="%1.%2.%3.%4.%5."/>
      <w:lvlJc w:val="left"/>
      <w:pPr>
        <w:ind w:left="4636" w:hanging="1800"/>
      </w:pPr>
      <w:rPr>
        <w:rFonts w:hint="default"/>
        <w:b w:val="0"/>
      </w:rPr>
    </w:lvl>
    <w:lvl w:ilvl="5">
      <w:start w:val="1"/>
      <w:numFmt w:val="decimal"/>
      <w:lvlText w:val="%1.%2.%3.%4.%5.%6."/>
      <w:lvlJc w:val="left"/>
      <w:pPr>
        <w:ind w:left="5705" w:hanging="2160"/>
      </w:pPr>
      <w:rPr>
        <w:rFonts w:hint="default"/>
        <w:b w:val="0"/>
      </w:rPr>
    </w:lvl>
    <w:lvl w:ilvl="6">
      <w:start w:val="1"/>
      <w:numFmt w:val="decimal"/>
      <w:lvlText w:val="%1.%2.%3.%4.%5.%6.%7."/>
      <w:lvlJc w:val="left"/>
      <w:pPr>
        <w:ind w:left="6774" w:hanging="2520"/>
      </w:pPr>
      <w:rPr>
        <w:rFonts w:hint="default"/>
        <w:b w:val="0"/>
      </w:rPr>
    </w:lvl>
    <w:lvl w:ilvl="7">
      <w:start w:val="1"/>
      <w:numFmt w:val="decimal"/>
      <w:lvlText w:val="%1.%2.%3.%4.%5.%6.%7.%8."/>
      <w:lvlJc w:val="left"/>
      <w:pPr>
        <w:ind w:left="7843" w:hanging="2880"/>
      </w:pPr>
      <w:rPr>
        <w:rFonts w:hint="default"/>
        <w:b w:val="0"/>
      </w:rPr>
    </w:lvl>
    <w:lvl w:ilvl="8">
      <w:start w:val="1"/>
      <w:numFmt w:val="decimal"/>
      <w:lvlText w:val="%1.%2.%3.%4.%5.%6.%7.%8.%9."/>
      <w:lvlJc w:val="left"/>
      <w:pPr>
        <w:ind w:left="8912" w:hanging="3240"/>
      </w:pPr>
      <w:rPr>
        <w:rFonts w:hint="default"/>
        <w:b w:val="0"/>
      </w:rPr>
    </w:lvl>
  </w:abstractNum>
  <w:abstractNum w:abstractNumId="30" w15:restartNumberingAfterBreak="0">
    <w:nsid w:val="6EAF7FB5"/>
    <w:multiLevelType w:val="hybridMultilevel"/>
    <w:tmpl w:val="6E867610"/>
    <w:lvl w:ilvl="0" w:tplc="1EF4EB38">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1" w15:restartNumberingAfterBreak="0">
    <w:nsid w:val="74635C9A"/>
    <w:multiLevelType w:val="hybridMultilevel"/>
    <w:tmpl w:val="05ACE91A"/>
    <w:lvl w:ilvl="0" w:tplc="D37269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3B18D1"/>
    <w:multiLevelType w:val="hybridMultilevel"/>
    <w:tmpl w:val="43FECD48"/>
    <w:lvl w:ilvl="0" w:tplc="2C3ED654">
      <w:numFmt w:val="bullet"/>
      <w:lvlText w:val="-"/>
      <w:lvlJc w:val="left"/>
      <w:pPr>
        <w:ind w:left="720" w:hanging="360"/>
      </w:pPr>
      <w:rPr>
        <w:rFonts w:ascii="Verdana" w:eastAsia="Times New Roman" w:hAnsi="Verdana" w:cs="Times New Roman" w:hint="default"/>
      </w:rPr>
    </w:lvl>
    <w:lvl w:ilvl="1" w:tplc="D496280E">
      <w:numFmt w:val="bullet"/>
      <w:lvlText w:val="•"/>
      <w:lvlJc w:val="left"/>
      <w:pPr>
        <w:ind w:left="2145" w:hanging="705"/>
      </w:pPr>
      <w:rPr>
        <w:rFonts w:ascii="Verdana" w:eastAsia="Times New Roman" w:hAnsi="Verdana"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80B1A78"/>
    <w:multiLevelType w:val="hybridMultilevel"/>
    <w:tmpl w:val="7FE26A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79F61639"/>
    <w:multiLevelType w:val="hybridMultilevel"/>
    <w:tmpl w:val="9E5E1BBA"/>
    <w:lvl w:ilvl="0" w:tplc="AF0AAC8A">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5"/>
  </w:num>
  <w:num w:numId="4">
    <w:abstractNumId w:val="4"/>
    <w:lvlOverride w:ilvl="0">
      <w:startOverride w:val="1"/>
    </w:lvlOverride>
  </w:num>
  <w:num w:numId="5">
    <w:abstractNumId w:val="4"/>
    <w:lvlOverride w:ilvl="0">
      <w:startOverride w:val="1"/>
    </w:lvlOverride>
  </w:num>
  <w:num w:numId="6">
    <w:abstractNumId w:val="23"/>
  </w:num>
  <w:num w:numId="7">
    <w:abstractNumId w:val="5"/>
  </w:num>
  <w:num w:numId="8">
    <w:abstractNumId w:val="9"/>
  </w:num>
  <w:num w:numId="9">
    <w:abstractNumId w:val="32"/>
  </w:num>
  <w:num w:numId="10">
    <w:abstractNumId w:val="3"/>
  </w:num>
  <w:num w:numId="11">
    <w:abstractNumId w:val="17"/>
  </w:num>
  <w:num w:numId="12">
    <w:abstractNumId w:val="16"/>
  </w:num>
  <w:num w:numId="13">
    <w:abstractNumId w:val="8"/>
  </w:num>
  <w:num w:numId="14">
    <w:abstractNumId w:val="21"/>
  </w:num>
  <w:num w:numId="15">
    <w:abstractNumId w:val="10"/>
  </w:num>
  <w:num w:numId="16">
    <w:abstractNumId w:val="12"/>
  </w:num>
  <w:num w:numId="17">
    <w:abstractNumId w:val="18"/>
  </w:num>
  <w:num w:numId="18">
    <w:abstractNumId w:val="19"/>
  </w:num>
  <w:num w:numId="19">
    <w:abstractNumId w:val="24"/>
  </w:num>
  <w:num w:numId="20">
    <w:abstractNumId w:val="33"/>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34"/>
  </w:num>
  <w:num w:numId="25">
    <w:abstractNumId w:val="15"/>
  </w:num>
  <w:num w:numId="26">
    <w:abstractNumId w:val="27"/>
  </w:num>
  <w:num w:numId="27">
    <w:abstractNumId w:val="20"/>
  </w:num>
  <w:num w:numId="28">
    <w:abstractNumId w:val="2"/>
  </w:num>
  <w:num w:numId="29">
    <w:abstractNumId w:val="7"/>
  </w:num>
  <w:num w:numId="30">
    <w:abstractNumId w:val="31"/>
  </w:num>
  <w:num w:numId="31">
    <w:abstractNumId w:val="14"/>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1"/>
  </w:num>
  <w:num w:numId="36">
    <w:abstractNumId w:val="6"/>
  </w:num>
  <w:num w:numId="37">
    <w:abstractNumId w:val="2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
  </w:num>
  <w:num w:numId="41">
    <w:abstractNumId w:val="29"/>
  </w:num>
  <w:num w:numId="42">
    <w:abstractNumId w:val="28"/>
  </w:num>
  <w:num w:numId="43">
    <w:abstractNumId w:val="30"/>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USZAK Johanna">
    <w15:presenceInfo w15:providerId="AD" w15:userId="S-1-5-21-1482476501-1993962763-1801674531-43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nl-BE" w:vendorID="64" w:dllVersion="131078" w:nlCheck="1" w:checkStyle="0"/>
  <w:activeWritingStyle w:appName="MSWord" w:lang="nl-NL" w:vendorID="64" w:dllVersion="131078" w:nlCheck="1" w:checkStyle="0"/>
  <w:activeWritingStyle w:appName="MSWord" w:lang="es-ES"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2A"/>
    <w:rsid w:val="00001AE6"/>
    <w:rsid w:val="000075C1"/>
    <w:rsid w:val="00013D67"/>
    <w:rsid w:val="00015252"/>
    <w:rsid w:val="00015592"/>
    <w:rsid w:val="00017DC9"/>
    <w:rsid w:val="0002206D"/>
    <w:rsid w:val="000260E6"/>
    <w:rsid w:val="0003031B"/>
    <w:rsid w:val="00033493"/>
    <w:rsid w:val="000339DB"/>
    <w:rsid w:val="0003429D"/>
    <w:rsid w:val="000377DD"/>
    <w:rsid w:val="0004367B"/>
    <w:rsid w:val="000449DF"/>
    <w:rsid w:val="00045835"/>
    <w:rsid w:val="0004681E"/>
    <w:rsid w:val="00046CB5"/>
    <w:rsid w:val="0005241F"/>
    <w:rsid w:val="00053EC8"/>
    <w:rsid w:val="00063FBD"/>
    <w:rsid w:val="00065F3D"/>
    <w:rsid w:val="00071FD4"/>
    <w:rsid w:val="00076F24"/>
    <w:rsid w:val="000801FF"/>
    <w:rsid w:val="0008784F"/>
    <w:rsid w:val="000908EA"/>
    <w:rsid w:val="00091988"/>
    <w:rsid w:val="000930B8"/>
    <w:rsid w:val="000949F7"/>
    <w:rsid w:val="000A04FD"/>
    <w:rsid w:val="000A1162"/>
    <w:rsid w:val="000A6258"/>
    <w:rsid w:val="000B1535"/>
    <w:rsid w:val="000B2A29"/>
    <w:rsid w:val="000B3A97"/>
    <w:rsid w:val="000B4586"/>
    <w:rsid w:val="000B5555"/>
    <w:rsid w:val="000B61FA"/>
    <w:rsid w:val="000B65BB"/>
    <w:rsid w:val="000C5593"/>
    <w:rsid w:val="000C6F2C"/>
    <w:rsid w:val="000D327F"/>
    <w:rsid w:val="000D3E87"/>
    <w:rsid w:val="000E33CE"/>
    <w:rsid w:val="000E4526"/>
    <w:rsid w:val="000F0750"/>
    <w:rsid w:val="000F4310"/>
    <w:rsid w:val="000F4416"/>
    <w:rsid w:val="000F6E2A"/>
    <w:rsid w:val="001045BE"/>
    <w:rsid w:val="00105D49"/>
    <w:rsid w:val="00106393"/>
    <w:rsid w:val="001074E3"/>
    <w:rsid w:val="00116DD5"/>
    <w:rsid w:val="001216F9"/>
    <w:rsid w:val="001221F5"/>
    <w:rsid w:val="00123562"/>
    <w:rsid w:val="001244FF"/>
    <w:rsid w:val="001276EA"/>
    <w:rsid w:val="00136667"/>
    <w:rsid w:val="00137AD7"/>
    <w:rsid w:val="00140213"/>
    <w:rsid w:val="001405DF"/>
    <w:rsid w:val="001418AC"/>
    <w:rsid w:val="0014674D"/>
    <w:rsid w:val="00147BD6"/>
    <w:rsid w:val="00150F52"/>
    <w:rsid w:val="001515F7"/>
    <w:rsid w:val="00153531"/>
    <w:rsid w:val="001547A4"/>
    <w:rsid w:val="0015701C"/>
    <w:rsid w:val="00157768"/>
    <w:rsid w:val="0016039D"/>
    <w:rsid w:val="00161B9A"/>
    <w:rsid w:val="00162F3A"/>
    <w:rsid w:val="001631B4"/>
    <w:rsid w:val="00166DC0"/>
    <w:rsid w:val="00170484"/>
    <w:rsid w:val="00170E44"/>
    <w:rsid w:val="00180732"/>
    <w:rsid w:val="00180C29"/>
    <w:rsid w:val="001841A7"/>
    <w:rsid w:val="001841D2"/>
    <w:rsid w:val="00185D40"/>
    <w:rsid w:val="00197F8E"/>
    <w:rsid w:val="001A3F5B"/>
    <w:rsid w:val="001A46FD"/>
    <w:rsid w:val="001A7525"/>
    <w:rsid w:val="001B2E41"/>
    <w:rsid w:val="001B6D1A"/>
    <w:rsid w:val="001B72E3"/>
    <w:rsid w:val="001B78E1"/>
    <w:rsid w:val="001C46AC"/>
    <w:rsid w:val="001D0A98"/>
    <w:rsid w:val="001D1185"/>
    <w:rsid w:val="001D31A4"/>
    <w:rsid w:val="001D7C05"/>
    <w:rsid w:val="001E005B"/>
    <w:rsid w:val="001E1F20"/>
    <w:rsid w:val="001E6213"/>
    <w:rsid w:val="001F19C7"/>
    <w:rsid w:val="001F24F8"/>
    <w:rsid w:val="001F5833"/>
    <w:rsid w:val="001F67A8"/>
    <w:rsid w:val="00204AC8"/>
    <w:rsid w:val="002058C4"/>
    <w:rsid w:val="002074AC"/>
    <w:rsid w:val="00207983"/>
    <w:rsid w:val="00213659"/>
    <w:rsid w:val="00216556"/>
    <w:rsid w:val="002169F8"/>
    <w:rsid w:val="002228F9"/>
    <w:rsid w:val="00230163"/>
    <w:rsid w:val="00230946"/>
    <w:rsid w:val="0023201D"/>
    <w:rsid w:val="00234ABB"/>
    <w:rsid w:val="00235BCB"/>
    <w:rsid w:val="002410E9"/>
    <w:rsid w:val="00241246"/>
    <w:rsid w:val="002433E2"/>
    <w:rsid w:val="00243DBA"/>
    <w:rsid w:val="00250D84"/>
    <w:rsid w:val="00254F93"/>
    <w:rsid w:val="00263500"/>
    <w:rsid w:val="00270D92"/>
    <w:rsid w:val="00272E6C"/>
    <w:rsid w:val="0027501E"/>
    <w:rsid w:val="00283EE1"/>
    <w:rsid w:val="0028472E"/>
    <w:rsid w:val="0028480A"/>
    <w:rsid w:val="00287459"/>
    <w:rsid w:val="002902EB"/>
    <w:rsid w:val="00291155"/>
    <w:rsid w:val="002916FC"/>
    <w:rsid w:val="00295B6C"/>
    <w:rsid w:val="002A1F94"/>
    <w:rsid w:val="002C1382"/>
    <w:rsid w:val="002C22FB"/>
    <w:rsid w:val="002C4887"/>
    <w:rsid w:val="002C5352"/>
    <w:rsid w:val="002C5491"/>
    <w:rsid w:val="002C597D"/>
    <w:rsid w:val="002D0BDE"/>
    <w:rsid w:val="002F75CF"/>
    <w:rsid w:val="00307A99"/>
    <w:rsid w:val="00307E26"/>
    <w:rsid w:val="00311002"/>
    <w:rsid w:val="003120E1"/>
    <w:rsid w:val="0031337C"/>
    <w:rsid w:val="00321DAD"/>
    <w:rsid w:val="0032260E"/>
    <w:rsid w:val="003249B1"/>
    <w:rsid w:val="003272C6"/>
    <w:rsid w:val="003273E5"/>
    <w:rsid w:val="00332AD5"/>
    <w:rsid w:val="00333CB1"/>
    <w:rsid w:val="0033494D"/>
    <w:rsid w:val="00335CDD"/>
    <w:rsid w:val="00343BB9"/>
    <w:rsid w:val="00343F17"/>
    <w:rsid w:val="0034571E"/>
    <w:rsid w:val="00351A9A"/>
    <w:rsid w:val="0035238F"/>
    <w:rsid w:val="0035625D"/>
    <w:rsid w:val="0036172A"/>
    <w:rsid w:val="003623A6"/>
    <w:rsid w:val="00366A63"/>
    <w:rsid w:val="00370417"/>
    <w:rsid w:val="00372132"/>
    <w:rsid w:val="00374D99"/>
    <w:rsid w:val="0038108D"/>
    <w:rsid w:val="003839E7"/>
    <w:rsid w:val="003A274E"/>
    <w:rsid w:val="003B29C0"/>
    <w:rsid w:val="003B2A06"/>
    <w:rsid w:val="003B42A6"/>
    <w:rsid w:val="003B6F48"/>
    <w:rsid w:val="003C1673"/>
    <w:rsid w:val="003C2654"/>
    <w:rsid w:val="003D0249"/>
    <w:rsid w:val="003D0B84"/>
    <w:rsid w:val="003D5231"/>
    <w:rsid w:val="003D6A1D"/>
    <w:rsid w:val="003D7042"/>
    <w:rsid w:val="003E39B1"/>
    <w:rsid w:val="003E550C"/>
    <w:rsid w:val="003F2349"/>
    <w:rsid w:val="003F25C2"/>
    <w:rsid w:val="003F642B"/>
    <w:rsid w:val="003F7B4D"/>
    <w:rsid w:val="0040039B"/>
    <w:rsid w:val="004007F9"/>
    <w:rsid w:val="00404F90"/>
    <w:rsid w:val="00410660"/>
    <w:rsid w:val="00412894"/>
    <w:rsid w:val="00430073"/>
    <w:rsid w:val="0043212B"/>
    <w:rsid w:val="00436F99"/>
    <w:rsid w:val="00446E79"/>
    <w:rsid w:val="00450F2D"/>
    <w:rsid w:val="004520EE"/>
    <w:rsid w:val="004523E3"/>
    <w:rsid w:val="00456FD2"/>
    <w:rsid w:val="00457B1A"/>
    <w:rsid w:val="0046173F"/>
    <w:rsid w:val="004638C3"/>
    <w:rsid w:val="00464A29"/>
    <w:rsid w:val="0046760C"/>
    <w:rsid w:val="0047338B"/>
    <w:rsid w:val="004760E8"/>
    <w:rsid w:val="004856EA"/>
    <w:rsid w:val="0048715A"/>
    <w:rsid w:val="00487190"/>
    <w:rsid w:val="0049464B"/>
    <w:rsid w:val="00494EE0"/>
    <w:rsid w:val="00495810"/>
    <w:rsid w:val="00495CE2"/>
    <w:rsid w:val="00496A65"/>
    <w:rsid w:val="004A769D"/>
    <w:rsid w:val="004C0A78"/>
    <w:rsid w:val="004C3C54"/>
    <w:rsid w:val="004C4A20"/>
    <w:rsid w:val="004C5A26"/>
    <w:rsid w:val="004C6285"/>
    <w:rsid w:val="004C6D0F"/>
    <w:rsid w:val="004C7F36"/>
    <w:rsid w:val="004D40A2"/>
    <w:rsid w:val="004D4659"/>
    <w:rsid w:val="004E06E2"/>
    <w:rsid w:val="004E2E2D"/>
    <w:rsid w:val="004E47B4"/>
    <w:rsid w:val="004E5712"/>
    <w:rsid w:val="004F2FC4"/>
    <w:rsid w:val="004F4F3C"/>
    <w:rsid w:val="00510582"/>
    <w:rsid w:val="00516163"/>
    <w:rsid w:val="005179CD"/>
    <w:rsid w:val="00521A56"/>
    <w:rsid w:val="00521F36"/>
    <w:rsid w:val="00534A29"/>
    <w:rsid w:val="00545F89"/>
    <w:rsid w:val="0055174A"/>
    <w:rsid w:val="005556CE"/>
    <w:rsid w:val="00557546"/>
    <w:rsid w:val="00562D07"/>
    <w:rsid w:val="00564DBE"/>
    <w:rsid w:val="00566E25"/>
    <w:rsid w:val="00567E58"/>
    <w:rsid w:val="00571168"/>
    <w:rsid w:val="00571B34"/>
    <w:rsid w:val="00577641"/>
    <w:rsid w:val="00587A56"/>
    <w:rsid w:val="00590721"/>
    <w:rsid w:val="00591C41"/>
    <w:rsid w:val="005930EA"/>
    <w:rsid w:val="00593615"/>
    <w:rsid w:val="00594F17"/>
    <w:rsid w:val="00595515"/>
    <w:rsid w:val="005A36DE"/>
    <w:rsid w:val="005A5761"/>
    <w:rsid w:val="005B60B4"/>
    <w:rsid w:val="005C1A2A"/>
    <w:rsid w:val="005D3AA2"/>
    <w:rsid w:val="005D5EA2"/>
    <w:rsid w:val="005D75C5"/>
    <w:rsid w:val="005E1A8F"/>
    <w:rsid w:val="005E285E"/>
    <w:rsid w:val="005E3D91"/>
    <w:rsid w:val="005F0ACB"/>
    <w:rsid w:val="005F4CC1"/>
    <w:rsid w:val="005F4D42"/>
    <w:rsid w:val="00604681"/>
    <w:rsid w:val="00604E84"/>
    <w:rsid w:val="00606AB8"/>
    <w:rsid w:val="00607A80"/>
    <w:rsid w:val="00610876"/>
    <w:rsid w:val="00611549"/>
    <w:rsid w:val="00613012"/>
    <w:rsid w:val="00621336"/>
    <w:rsid w:val="00624016"/>
    <w:rsid w:val="006254E1"/>
    <w:rsid w:val="00630240"/>
    <w:rsid w:val="006309E1"/>
    <w:rsid w:val="0063476F"/>
    <w:rsid w:val="00645566"/>
    <w:rsid w:val="006456DE"/>
    <w:rsid w:val="00653427"/>
    <w:rsid w:val="00655CE1"/>
    <w:rsid w:val="006560EA"/>
    <w:rsid w:val="00662AAD"/>
    <w:rsid w:val="00662B4B"/>
    <w:rsid w:val="00664CD2"/>
    <w:rsid w:val="006907AB"/>
    <w:rsid w:val="00690B5D"/>
    <w:rsid w:val="00691955"/>
    <w:rsid w:val="006A2CFB"/>
    <w:rsid w:val="006A497C"/>
    <w:rsid w:val="006A7EA3"/>
    <w:rsid w:val="006B3AA0"/>
    <w:rsid w:val="006B6828"/>
    <w:rsid w:val="006C2ADE"/>
    <w:rsid w:val="006D1E64"/>
    <w:rsid w:val="006D2DB0"/>
    <w:rsid w:val="006D3F6A"/>
    <w:rsid w:val="006D5982"/>
    <w:rsid w:val="006D72B9"/>
    <w:rsid w:val="006E0F2B"/>
    <w:rsid w:val="006E6604"/>
    <w:rsid w:val="006F2452"/>
    <w:rsid w:val="006F3BE4"/>
    <w:rsid w:val="006F6CF5"/>
    <w:rsid w:val="00701863"/>
    <w:rsid w:val="007028C2"/>
    <w:rsid w:val="00703F46"/>
    <w:rsid w:val="007046EC"/>
    <w:rsid w:val="007075CD"/>
    <w:rsid w:val="00711E73"/>
    <w:rsid w:val="00713CB7"/>
    <w:rsid w:val="00721042"/>
    <w:rsid w:val="0072135A"/>
    <w:rsid w:val="007239C6"/>
    <w:rsid w:val="007247B0"/>
    <w:rsid w:val="00727A75"/>
    <w:rsid w:val="0073127E"/>
    <w:rsid w:val="00733DAC"/>
    <w:rsid w:val="0073648A"/>
    <w:rsid w:val="0074364C"/>
    <w:rsid w:val="00745CEC"/>
    <w:rsid w:val="007515F5"/>
    <w:rsid w:val="00752009"/>
    <w:rsid w:val="007547B6"/>
    <w:rsid w:val="007614DB"/>
    <w:rsid w:val="00762759"/>
    <w:rsid w:val="00762FC7"/>
    <w:rsid w:val="0076343F"/>
    <w:rsid w:val="0076525F"/>
    <w:rsid w:val="00774019"/>
    <w:rsid w:val="007747FA"/>
    <w:rsid w:val="007809D8"/>
    <w:rsid w:val="00781F73"/>
    <w:rsid w:val="007924A9"/>
    <w:rsid w:val="007962DB"/>
    <w:rsid w:val="007A4541"/>
    <w:rsid w:val="007A59C5"/>
    <w:rsid w:val="007A77B5"/>
    <w:rsid w:val="007A7C32"/>
    <w:rsid w:val="007B096E"/>
    <w:rsid w:val="007B10EE"/>
    <w:rsid w:val="007B575D"/>
    <w:rsid w:val="007B7F87"/>
    <w:rsid w:val="007C0455"/>
    <w:rsid w:val="007C0E75"/>
    <w:rsid w:val="007C193B"/>
    <w:rsid w:val="007C6579"/>
    <w:rsid w:val="007D051C"/>
    <w:rsid w:val="007D2C70"/>
    <w:rsid w:val="007D2F57"/>
    <w:rsid w:val="007D3F51"/>
    <w:rsid w:val="007D427C"/>
    <w:rsid w:val="007D5FA7"/>
    <w:rsid w:val="007D7CD6"/>
    <w:rsid w:val="007E02E1"/>
    <w:rsid w:val="007E0976"/>
    <w:rsid w:val="007E341D"/>
    <w:rsid w:val="007E44F4"/>
    <w:rsid w:val="007F71F4"/>
    <w:rsid w:val="00800047"/>
    <w:rsid w:val="008034D2"/>
    <w:rsid w:val="0080406D"/>
    <w:rsid w:val="00807593"/>
    <w:rsid w:val="00807BEE"/>
    <w:rsid w:val="00811862"/>
    <w:rsid w:val="00816BC3"/>
    <w:rsid w:val="00817B7B"/>
    <w:rsid w:val="00822185"/>
    <w:rsid w:val="00824F95"/>
    <w:rsid w:val="00827818"/>
    <w:rsid w:val="008369AE"/>
    <w:rsid w:val="008376D7"/>
    <w:rsid w:val="00837BBB"/>
    <w:rsid w:val="00840126"/>
    <w:rsid w:val="00843747"/>
    <w:rsid w:val="00845157"/>
    <w:rsid w:val="008459ED"/>
    <w:rsid w:val="008574E0"/>
    <w:rsid w:val="0086142D"/>
    <w:rsid w:val="00861B13"/>
    <w:rsid w:val="00863033"/>
    <w:rsid w:val="00867942"/>
    <w:rsid w:val="008728A7"/>
    <w:rsid w:val="008737BD"/>
    <w:rsid w:val="00876E44"/>
    <w:rsid w:val="008804A0"/>
    <w:rsid w:val="00883B96"/>
    <w:rsid w:val="00890941"/>
    <w:rsid w:val="00895C06"/>
    <w:rsid w:val="008A3D8E"/>
    <w:rsid w:val="008A5992"/>
    <w:rsid w:val="008A70A8"/>
    <w:rsid w:val="008B0654"/>
    <w:rsid w:val="008B21D7"/>
    <w:rsid w:val="008B3F8B"/>
    <w:rsid w:val="008B555E"/>
    <w:rsid w:val="008B55EC"/>
    <w:rsid w:val="008C6CCF"/>
    <w:rsid w:val="008D08E6"/>
    <w:rsid w:val="008D16AA"/>
    <w:rsid w:val="008D40D3"/>
    <w:rsid w:val="008D49F9"/>
    <w:rsid w:val="008E2686"/>
    <w:rsid w:val="008E391E"/>
    <w:rsid w:val="008E6144"/>
    <w:rsid w:val="008F144D"/>
    <w:rsid w:val="008F24F4"/>
    <w:rsid w:val="00900B57"/>
    <w:rsid w:val="00900DBB"/>
    <w:rsid w:val="009022C0"/>
    <w:rsid w:val="00910EF6"/>
    <w:rsid w:val="009228AE"/>
    <w:rsid w:val="00934335"/>
    <w:rsid w:val="00943450"/>
    <w:rsid w:val="00943A25"/>
    <w:rsid w:val="009440B8"/>
    <w:rsid w:val="009451AC"/>
    <w:rsid w:val="00947F0F"/>
    <w:rsid w:val="0095041B"/>
    <w:rsid w:val="00953561"/>
    <w:rsid w:val="009551BC"/>
    <w:rsid w:val="009566D6"/>
    <w:rsid w:val="00956C80"/>
    <w:rsid w:val="00957052"/>
    <w:rsid w:val="00957CE7"/>
    <w:rsid w:val="00960010"/>
    <w:rsid w:val="00960450"/>
    <w:rsid w:val="009605A5"/>
    <w:rsid w:val="009609F5"/>
    <w:rsid w:val="0097166D"/>
    <w:rsid w:val="00971E4A"/>
    <w:rsid w:val="009724CB"/>
    <w:rsid w:val="00973BCE"/>
    <w:rsid w:val="00975351"/>
    <w:rsid w:val="00976CC4"/>
    <w:rsid w:val="00980539"/>
    <w:rsid w:val="009823CF"/>
    <w:rsid w:val="00983E3D"/>
    <w:rsid w:val="009876DC"/>
    <w:rsid w:val="009945F6"/>
    <w:rsid w:val="00994E49"/>
    <w:rsid w:val="009B5B0E"/>
    <w:rsid w:val="009B7147"/>
    <w:rsid w:val="009C6AE3"/>
    <w:rsid w:val="009D5DC5"/>
    <w:rsid w:val="009E526B"/>
    <w:rsid w:val="009F21FB"/>
    <w:rsid w:val="009F31D9"/>
    <w:rsid w:val="00A0230D"/>
    <w:rsid w:val="00A12310"/>
    <w:rsid w:val="00A12F1A"/>
    <w:rsid w:val="00A14D85"/>
    <w:rsid w:val="00A20556"/>
    <w:rsid w:val="00A22043"/>
    <w:rsid w:val="00A22424"/>
    <w:rsid w:val="00A23148"/>
    <w:rsid w:val="00A249BD"/>
    <w:rsid w:val="00A26034"/>
    <w:rsid w:val="00A26907"/>
    <w:rsid w:val="00A27A31"/>
    <w:rsid w:val="00A316EA"/>
    <w:rsid w:val="00A31AF5"/>
    <w:rsid w:val="00A34679"/>
    <w:rsid w:val="00A34D96"/>
    <w:rsid w:val="00A35C6C"/>
    <w:rsid w:val="00A4156A"/>
    <w:rsid w:val="00A42441"/>
    <w:rsid w:val="00A52FBB"/>
    <w:rsid w:val="00A6239B"/>
    <w:rsid w:val="00A62BC7"/>
    <w:rsid w:val="00A62C86"/>
    <w:rsid w:val="00A70319"/>
    <w:rsid w:val="00A7430E"/>
    <w:rsid w:val="00A7463E"/>
    <w:rsid w:val="00A80F2E"/>
    <w:rsid w:val="00A81AEF"/>
    <w:rsid w:val="00A83552"/>
    <w:rsid w:val="00A85AA1"/>
    <w:rsid w:val="00A85B8D"/>
    <w:rsid w:val="00A85D70"/>
    <w:rsid w:val="00A9221D"/>
    <w:rsid w:val="00A962C9"/>
    <w:rsid w:val="00AA754C"/>
    <w:rsid w:val="00AB547B"/>
    <w:rsid w:val="00AC0EA0"/>
    <w:rsid w:val="00AD0B64"/>
    <w:rsid w:val="00AD1258"/>
    <w:rsid w:val="00AD4815"/>
    <w:rsid w:val="00AD634E"/>
    <w:rsid w:val="00AE2C8C"/>
    <w:rsid w:val="00AF1563"/>
    <w:rsid w:val="00B04709"/>
    <w:rsid w:val="00B05075"/>
    <w:rsid w:val="00B13679"/>
    <w:rsid w:val="00B148E5"/>
    <w:rsid w:val="00B14C05"/>
    <w:rsid w:val="00B15026"/>
    <w:rsid w:val="00B15524"/>
    <w:rsid w:val="00B20D09"/>
    <w:rsid w:val="00B221C0"/>
    <w:rsid w:val="00B22C6E"/>
    <w:rsid w:val="00B26E57"/>
    <w:rsid w:val="00B27C1B"/>
    <w:rsid w:val="00B334A9"/>
    <w:rsid w:val="00B42FAC"/>
    <w:rsid w:val="00B4326F"/>
    <w:rsid w:val="00B455CC"/>
    <w:rsid w:val="00B5039A"/>
    <w:rsid w:val="00B52A6E"/>
    <w:rsid w:val="00B604AF"/>
    <w:rsid w:val="00B70300"/>
    <w:rsid w:val="00B734B6"/>
    <w:rsid w:val="00B852EF"/>
    <w:rsid w:val="00B9123F"/>
    <w:rsid w:val="00B940D6"/>
    <w:rsid w:val="00BA00C6"/>
    <w:rsid w:val="00BA1DE1"/>
    <w:rsid w:val="00BA25C9"/>
    <w:rsid w:val="00BA4608"/>
    <w:rsid w:val="00BB1955"/>
    <w:rsid w:val="00BB1D13"/>
    <w:rsid w:val="00BB5A5D"/>
    <w:rsid w:val="00BB60A1"/>
    <w:rsid w:val="00BB7979"/>
    <w:rsid w:val="00BC6D72"/>
    <w:rsid w:val="00BD2EF1"/>
    <w:rsid w:val="00BD3576"/>
    <w:rsid w:val="00BD40E2"/>
    <w:rsid w:val="00BE7522"/>
    <w:rsid w:val="00BF4DA8"/>
    <w:rsid w:val="00C1028B"/>
    <w:rsid w:val="00C10296"/>
    <w:rsid w:val="00C1113E"/>
    <w:rsid w:val="00C1425A"/>
    <w:rsid w:val="00C17751"/>
    <w:rsid w:val="00C20709"/>
    <w:rsid w:val="00C25499"/>
    <w:rsid w:val="00C26366"/>
    <w:rsid w:val="00C32B38"/>
    <w:rsid w:val="00C356FB"/>
    <w:rsid w:val="00C371C6"/>
    <w:rsid w:val="00C442A7"/>
    <w:rsid w:val="00C45364"/>
    <w:rsid w:val="00C47639"/>
    <w:rsid w:val="00C47EF2"/>
    <w:rsid w:val="00C5528E"/>
    <w:rsid w:val="00C574E1"/>
    <w:rsid w:val="00C600A1"/>
    <w:rsid w:val="00C64E9E"/>
    <w:rsid w:val="00C7165D"/>
    <w:rsid w:val="00C727E7"/>
    <w:rsid w:val="00C77296"/>
    <w:rsid w:val="00C82D5E"/>
    <w:rsid w:val="00C832D4"/>
    <w:rsid w:val="00C865ED"/>
    <w:rsid w:val="00C903B8"/>
    <w:rsid w:val="00C95CC1"/>
    <w:rsid w:val="00C97E0F"/>
    <w:rsid w:val="00CA063A"/>
    <w:rsid w:val="00CA0D6B"/>
    <w:rsid w:val="00CB6467"/>
    <w:rsid w:val="00CB7F0A"/>
    <w:rsid w:val="00CC5525"/>
    <w:rsid w:val="00CD58F8"/>
    <w:rsid w:val="00CD630C"/>
    <w:rsid w:val="00CF1A79"/>
    <w:rsid w:val="00CF46C5"/>
    <w:rsid w:val="00CF61B1"/>
    <w:rsid w:val="00D10B2F"/>
    <w:rsid w:val="00D21344"/>
    <w:rsid w:val="00D230A9"/>
    <w:rsid w:val="00D3486B"/>
    <w:rsid w:val="00D4288E"/>
    <w:rsid w:val="00D440E3"/>
    <w:rsid w:val="00D453DA"/>
    <w:rsid w:val="00D54BE7"/>
    <w:rsid w:val="00D6043D"/>
    <w:rsid w:val="00D60F14"/>
    <w:rsid w:val="00D62706"/>
    <w:rsid w:val="00D63744"/>
    <w:rsid w:val="00D65C66"/>
    <w:rsid w:val="00D67B36"/>
    <w:rsid w:val="00D716E8"/>
    <w:rsid w:val="00D71CD3"/>
    <w:rsid w:val="00D77F1D"/>
    <w:rsid w:val="00D86691"/>
    <w:rsid w:val="00D87ECE"/>
    <w:rsid w:val="00D90902"/>
    <w:rsid w:val="00D95CF7"/>
    <w:rsid w:val="00DA0346"/>
    <w:rsid w:val="00DA1A69"/>
    <w:rsid w:val="00DA1C5C"/>
    <w:rsid w:val="00DA3C10"/>
    <w:rsid w:val="00DB06E0"/>
    <w:rsid w:val="00DB3883"/>
    <w:rsid w:val="00DC364C"/>
    <w:rsid w:val="00DC6C3E"/>
    <w:rsid w:val="00DD0085"/>
    <w:rsid w:val="00DD055A"/>
    <w:rsid w:val="00DD0D62"/>
    <w:rsid w:val="00DD5B87"/>
    <w:rsid w:val="00DD7EF6"/>
    <w:rsid w:val="00DE4DFB"/>
    <w:rsid w:val="00DE6C70"/>
    <w:rsid w:val="00DE727C"/>
    <w:rsid w:val="00DF2E29"/>
    <w:rsid w:val="00DF4781"/>
    <w:rsid w:val="00E00756"/>
    <w:rsid w:val="00E02CFC"/>
    <w:rsid w:val="00E05AF4"/>
    <w:rsid w:val="00E06728"/>
    <w:rsid w:val="00E174BC"/>
    <w:rsid w:val="00E26394"/>
    <w:rsid w:val="00E27024"/>
    <w:rsid w:val="00E30799"/>
    <w:rsid w:val="00E31FA8"/>
    <w:rsid w:val="00E36A21"/>
    <w:rsid w:val="00E466DE"/>
    <w:rsid w:val="00E5111B"/>
    <w:rsid w:val="00E54FBB"/>
    <w:rsid w:val="00E55625"/>
    <w:rsid w:val="00E615B2"/>
    <w:rsid w:val="00E61804"/>
    <w:rsid w:val="00E62B94"/>
    <w:rsid w:val="00E62D8A"/>
    <w:rsid w:val="00E64B0A"/>
    <w:rsid w:val="00E65570"/>
    <w:rsid w:val="00E73BFF"/>
    <w:rsid w:val="00E816A2"/>
    <w:rsid w:val="00E92982"/>
    <w:rsid w:val="00E93BD4"/>
    <w:rsid w:val="00E94ED0"/>
    <w:rsid w:val="00E96DC1"/>
    <w:rsid w:val="00E974CA"/>
    <w:rsid w:val="00EB5E7D"/>
    <w:rsid w:val="00EC5450"/>
    <w:rsid w:val="00ED3131"/>
    <w:rsid w:val="00ED460A"/>
    <w:rsid w:val="00EE057B"/>
    <w:rsid w:val="00EF0FF2"/>
    <w:rsid w:val="00EF32BF"/>
    <w:rsid w:val="00EF7ED5"/>
    <w:rsid w:val="00F12BB5"/>
    <w:rsid w:val="00F12CE7"/>
    <w:rsid w:val="00F13E4B"/>
    <w:rsid w:val="00F21A89"/>
    <w:rsid w:val="00F2295B"/>
    <w:rsid w:val="00F2487D"/>
    <w:rsid w:val="00F261A1"/>
    <w:rsid w:val="00F26AF2"/>
    <w:rsid w:val="00F34321"/>
    <w:rsid w:val="00F345FA"/>
    <w:rsid w:val="00F4000A"/>
    <w:rsid w:val="00F41048"/>
    <w:rsid w:val="00F41DC1"/>
    <w:rsid w:val="00F425DD"/>
    <w:rsid w:val="00F505D7"/>
    <w:rsid w:val="00F5192F"/>
    <w:rsid w:val="00F53EE0"/>
    <w:rsid w:val="00F55162"/>
    <w:rsid w:val="00F555A0"/>
    <w:rsid w:val="00F608B7"/>
    <w:rsid w:val="00F62CCA"/>
    <w:rsid w:val="00F65138"/>
    <w:rsid w:val="00F65B8F"/>
    <w:rsid w:val="00F73C71"/>
    <w:rsid w:val="00F773B4"/>
    <w:rsid w:val="00F8132C"/>
    <w:rsid w:val="00F835F6"/>
    <w:rsid w:val="00F86B42"/>
    <w:rsid w:val="00F90364"/>
    <w:rsid w:val="00F93F9B"/>
    <w:rsid w:val="00F941B0"/>
    <w:rsid w:val="00FA4493"/>
    <w:rsid w:val="00FA679E"/>
    <w:rsid w:val="00FB2299"/>
    <w:rsid w:val="00FC64A0"/>
    <w:rsid w:val="00FC7D57"/>
    <w:rsid w:val="00FD230E"/>
    <w:rsid w:val="00FD6FEB"/>
    <w:rsid w:val="00FE0250"/>
    <w:rsid w:val="00FE3968"/>
    <w:rsid w:val="00FE5DCE"/>
    <w:rsid w:val="00FE76E0"/>
    <w:rsid w:val="00FF0AF1"/>
    <w:rsid w:val="00FF13CB"/>
    <w:rsid w:val="00FF7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5F5A64"/>
  <w15:docId w15:val="{B673A3CB-3C4C-4167-825A-9122F282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65"/>
    <w:pPr>
      <w:spacing w:before="60" w:after="60" w:line="240" w:lineRule="auto"/>
    </w:pPr>
    <w:rPr>
      <w:rFonts w:ascii="Verdana" w:eastAsia="Calibri" w:hAnsi="Verdana" w:cs="Times New Roman"/>
      <w:sz w:val="20"/>
      <w:szCs w:val="20"/>
      <w:lang w:val="en-US"/>
    </w:rPr>
  </w:style>
  <w:style w:type="paragraph" w:styleId="Titre1">
    <w:name w:val="heading 1"/>
    <w:next w:val="Normal"/>
    <w:link w:val="Titre1Car"/>
    <w:qFormat/>
    <w:rsid w:val="00C5528E"/>
    <w:pPr>
      <w:keepNext/>
      <w:numPr>
        <w:numId w:val="1"/>
      </w:numPr>
      <w:spacing w:after="360" w:line="240" w:lineRule="auto"/>
      <w:outlineLvl w:val="0"/>
    </w:pPr>
    <w:rPr>
      <w:rFonts w:ascii="Verdana" w:eastAsia="Calibri" w:hAnsi="Verdana" w:cs="Times New Roman"/>
      <w:b/>
      <w:caps/>
      <w:sz w:val="32"/>
      <w:szCs w:val="20"/>
      <w:lang w:val="en-GB" w:eastAsia="de-DE"/>
    </w:rPr>
  </w:style>
  <w:style w:type="paragraph" w:styleId="Titre2">
    <w:name w:val="heading 2"/>
    <w:aliases w:val="ECHA Heading 2"/>
    <w:basedOn w:val="Normal"/>
    <w:next w:val="Normal"/>
    <w:link w:val="Titre2Car"/>
    <w:unhideWhenUsed/>
    <w:qFormat/>
    <w:rsid w:val="00C5528E"/>
    <w:pPr>
      <w:keepNext/>
      <w:numPr>
        <w:ilvl w:val="1"/>
        <w:numId w:val="1"/>
      </w:numPr>
      <w:tabs>
        <w:tab w:val="left" w:pos="567"/>
        <w:tab w:val="left" w:pos="1134"/>
      </w:tabs>
      <w:spacing w:before="120" w:after="120"/>
      <w:outlineLvl w:val="1"/>
    </w:pPr>
    <w:rPr>
      <w:b/>
      <w:caps/>
      <w:sz w:val="28"/>
    </w:rPr>
  </w:style>
  <w:style w:type="paragraph" w:styleId="Titre3">
    <w:name w:val="heading 3"/>
    <w:aliases w:val="Heading 3 Char"/>
    <w:basedOn w:val="Normal"/>
    <w:next w:val="Normal"/>
    <w:link w:val="Titre3Car"/>
    <w:unhideWhenUsed/>
    <w:qFormat/>
    <w:rsid w:val="00C5528E"/>
    <w:pPr>
      <w:keepNext/>
      <w:numPr>
        <w:ilvl w:val="2"/>
        <w:numId w:val="1"/>
      </w:numPr>
      <w:spacing w:after="240"/>
      <w:outlineLvl w:val="2"/>
    </w:pPr>
    <w:rPr>
      <w:b/>
      <w:sz w:val="26"/>
    </w:rPr>
  </w:style>
  <w:style w:type="paragraph" w:styleId="Titre4">
    <w:name w:val="heading 4"/>
    <w:basedOn w:val="Normal"/>
    <w:next w:val="Normal"/>
    <w:link w:val="Titre4Car"/>
    <w:unhideWhenUsed/>
    <w:qFormat/>
    <w:rsid w:val="00430073"/>
    <w:pPr>
      <w:keepNext/>
      <w:numPr>
        <w:ilvl w:val="3"/>
        <w:numId w:val="1"/>
      </w:numPr>
      <w:spacing w:before="240" w:after="120"/>
      <w:jc w:val="both"/>
      <w:outlineLvl w:val="3"/>
    </w:pPr>
    <w:rPr>
      <w:i/>
      <w:sz w:val="24"/>
      <w:szCs w:val="24"/>
    </w:rPr>
  </w:style>
  <w:style w:type="paragraph" w:styleId="Titre5">
    <w:name w:val="heading 5"/>
    <w:basedOn w:val="Normal"/>
    <w:next w:val="Normal"/>
    <w:link w:val="Titre5Car"/>
    <w:unhideWhenUsed/>
    <w:qFormat/>
    <w:rsid w:val="005B60B4"/>
    <w:pPr>
      <w:keepNext/>
      <w:numPr>
        <w:numId w:val="2"/>
      </w:numPr>
      <w:spacing w:before="240" w:after="120"/>
      <w:outlineLvl w:val="4"/>
    </w:pPr>
    <w:rPr>
      <w:b/>
      <w:i/>
      <w:sz w:val="24"/>
    </w:rPr>
  </w:style>
  <w:style w:type="paragraph" w:styleId="Titre6">
    <w:name w:val="heading 6"/>
    <w:basedOn w:val="Normal"/>
    <w:next w:val="Normal"/>
    <w:link w:val="Titre6Car"/>
    <w:unhideWhenUsed/>
    <w:qFormat/>
    <w:rsid w:val="00C5528E"/>
    <w:pPr>
      <w:keepNext/>
      <w:spacing w:before="120"/>
      <w:outlineLvl w:val="5"/>
    </w:pPr>
    <w:rPr>
      <w:i/>
      <w:sz w:val="22"/>
      <w:u w:val="single"/>
      <w:lang w:val="de-DE"/>
    </w:rPr>
  </w:style>
  <w:style w:type="paragraph" w:styleId="Titre7">
    <w:name w:val="heading 7"/>
    <w:basedOn w:val="Normal"/>
    <w:next w:val="Normal"/>
    <w:link w:val="Titre7Car"/>
    <w:unhideWhenUsed/>
    <w:qFormat/>
    <w:rsid w:val="00C5528E"/>
    <w:pPr>
      <w:keepNext/>
      <w:spacing w:before="120"/>
      <w:outlineLvl w:val="6"/>
    </w:pPr>
    <w:rPr>
      <w:b/>
      <w:i/>
      <w:lang w:val="de-DE"/>
    </w:rPr>
  </w:style>
  <w:style w:type="paragraph" w:styleId="Titre8">
    <w:name w:val="heading 8"/>
    <w:basedOn w:val="Normal"/>
    <w:next w:val="Normal"/>
    <w:link w:val="Titre8Car"/>
    <w:semiHidden/>
    <w:unhideWhenUsed/>
    <w:qFormat/>
    <w:rsid w:val="00C552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552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A2A"/>
    <w:pPr>
      <w:tabs>
        <w:tab w:val="center" w:pos="4513"/>
        <w:tab w:val="right" w:pos="9026"/>
      </w:tabs>
    </w:pPr>
  </w:style>
  <w:style w:type="character" w:customStyle="1" w:styleId="En-tteCar">
    <w:name w:val="En-tête Car"/>
    <w:basedOn w:val="Policepardfaut"/>
    <w:link w:val="En-tte"/>
    <w:uiPriority w:val="99"/>
    <w:rsid w:val="005C1A2A"/>
    <w:rPr>
      <w:rFonts w:ascii="Verdana" w:eastAsia="Times New Roman" w:hAnsi="Verdana" w:cs="Times New Roman"/>
      <w:sz w:val="20"/>
      <w:szCs w:val="20"/>
      <w:lang w:val="en-GB" w:eastAsia="de-DE"/>
    </w:rPr>
  </w:style>
  <w:style w:type="paragraph" w:styleId="Pieddepage">
    <w:name w:val="footer"/>
    <w:basedOn w:val="Normal"/>
    <w:link w:val="PieddepageCar"/>
    <w:uiPriority w:val="99"/>
    <w:unhideWhenUsed/>
    <w:rsid w:val="005C1A2A"/>
    <w:pPr>
      <w:tabs>
        <w:tab w:val="center" w:pos="4513"/>
        <w:tab w:val="right" w:pos="9026"/>
      </w:tabs>
    </w:pPr>
  </w:style>
  <w:style w:type="character" w:customStyle="1" w:styleId="PieddepageCar">
    <w:name w:val="Pied de page Car"/>
    <w:basedOn w:val="Policepardfaut"/>
    <w:link w:val="Pieddepage"/>
    <w:uiPriority w:val="99"/>
    <w:rsid w:val="005C1A2A"/>
    <w:rPr>
      <w:rFonts w:ascii="Verdana" w:eastAsia="Times New Roman" w:hAnsi="Verdana" w:cs="Times New Roman"/>
      <w:sz w:val="20"/>
      <w:szCs w:val="20"/>
      <w:lang w:val="en-GB" w:eastAsia="de-DE"/>
    </w:rPr>
  </w:style>
  <w:style w:type="table" w:styleId="Grilledutableau">
    <w:name w:val="Table Grid"/>
    <w:basedOn w:val="TableauNormal"/>
    <w:uiPriority w:val="39"/>
    <w:rsid w:val="005C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5528E"/>
    <w:rPr>
      <w:rFonts w:ascii="Verdana" w:eastAsia="Calibri" w:hAnsi="Verdana" w:cs="Times New Roman"/>
      <w:b/>
      <w:caps/>
      <w:sz w:val="32"/>
      <w:szCs w:val="20"/>
      <w:lang w:val="en-GB" w:eastAsia="de-DE"/>
    </w:rPr>
  </w:style>
  <w:style w:type="character" w:customStyle="1" w:styleId="Titre2Car">
    <w:name w:val="Titre 2 Car"/>
    <w:aliases w:val="ECHA Heading 2 Car"/>
    <w:basedOn w:val="Policepardfaut"/>
    <w:link w:val="Titre2"/>
    <w:rsid w:val="00C5528E"/>
    <w:rPr>
      <w:rFonts w:ascii="Verdana" w:eastAsia="Calibri" w:hAnsi="Verdana" w:cs="Times New Roman"/>
      <w:b/>
      <w:caps/>
      <w:sz w:val="28"/>
      <w:szCs w:val="20"/>
      <w:lang w:val="en-GB"/>
    </w:rPr>
  </w:style>
  <w:style w:type="character" w:customStyle="1" w:styleId="Titre3Car">
    <w:name w:val="Titre 3 Car"/>
    <w:aliases w:val="Heading 3 Char Car"/>
    <w:basedOn w:val="Policepardfaut"/>
    <w:link w:val="Titre3"/>
    <w:rsid w:val="00C5528E"/>
    <w:rPr>
      <w:rFonts w:ascii="Verdana" w:eastAsia="Times New Roman" w:hAnsi="Verdana" w:cs="Times New Roman"/>
      <w:b/>
      <w:sz w:val="26"/>
      <w:szCs w:val="20"/>
      <w:lang w:val="en-GB" w:eastAsia="de-DE"/>
    </w:rPr>
  </w:style>
  <w:style w:type="character" w:customStyle="1" w:styleId="Titre4Car">
    <w:name w:val="Titre 4 Car"/>
    <w:basedOn w:val="Policepardfaut"/>
    <w:link w:val="Titre4"/>
    <w:rsid w:val="00430073"/>
    <w:rPr>
      <w:rFonts w:ascii="Verdana" w:eastAsia="Calibri" w:hAnsi="Verdana" w:cs="Times New Roman"/>
      <w:i/>
      <w:sz w:val="24"/>
      <w:szCs w:val="24"/>
      <w:lang w:val="en-GB"/>
    </w:rPr>
  </w:style>
  <w:style w:type="character" w:customStyle="1" w:styleId="Titre5Car">
    <w:name w:val="Titre 5 Car"/>
    <w:basedOn w:val="Policepardfaut"/>
    <w:link w:val="Titre5"/>
    <w:rsid w:val="005B60B4"/>
    <w:rPr>
      <w:rFonts w:ascii="Verdana" w:eastAsia="Calibri" w:hAnsi="Verdana" w:cs="Times New Roman"/>
      <w:b/>
      <w:i/>
      <w:sz w:val="24"/>
      <w:szCs w:val="20"/>
      <w:lang w:val="en-US"/>
    </w:rPr>
  </w:style>
  <w:style w:type="character" w:customStyle="1" w:styleId="Titre6Car">
    <w:name w:val="Titre 6 Car"/>
    <w:basedOn w:val="Policepardfaut"/>
    <w:link w:val="Titre6"/>
    <w:rsid w:val="00C5528E"/>
    <w:rPr>
      <w:rFonts w:ascii="Verdana" w:eastAsia="Calibri" w:hAnsi="Verdana" w:cs="Times New Roman"/>
      <w:i/>
      <w:szCs w:val="20"/>
      <w:u w:val="single"/>
      <w:lang w:val="de-DE"/>
    </w:rPr>
  </w:style>
  <w:style w:type="character" w:customStyle="1" w:styleId="Titre7Car">
    <w:name w:val="Titre 7 Car"/>
    <w:basedOn w:val="Policepardfaut"/>
    <w:link w:val="Titre7"/>
    <w:rsid w:val="00C5528E"/>
    <w:rPr>
      <w:rFonts w:ascii="Verdana" w:eastAsia="Calibri" w:hAnsi="Verdana" w:cs="Times New Roman"/>
      <w:b/>
      <w:i/>
      <w:sz w:val="20"/>
      <w:szCs w:val="20"/>
      <w:lang w:val="de-DE"/>
    </w:rPr>
  </w:style>
  <w:style w:type="character" w:customStyle="1" w:styleId="Titre8Car">
    <w:name w:val="Titre 8 Car"/>
    <w:basedOn w:val="Policepardfaut"/>
    <w:link w:val="Titre8"/>
    <w:uiPriority w:val="9"/>
    <w:semiHidden/>
    <w:rsid w:val="00C5528E"/>
    <w:rPr>
      <w:rFonts w:asciiTheme="majorHAnsi" w:eastAsiaTheme="majorEastAsia" w:hAnsiTheme="majorHAnsi" w:cstheme="majorBidi"/>
      <w:color w:val="272727" w:themeColor="text1" w:themeTint="D8"/>
      <w:sz w:val="21"/>
      <w:szCs w:val="21"/>
      <w:lang w:val="en-GB" w:eastAsia="de-DE"/>
    </w:rPr>
  </w:style>
  <w:style w:type="character" w:customStyle="1" w:styleId="Titre9Car">
    <w:name w:val="Titre 9 Car"/>
    <w:basedOn w:val="Policepardfaut"/>
    <w:link w:val="Titre9"/>
    <w:uiPriority w:val="9"/>
    <w:semiHidden/>
    <w:rsid w:val="00C5528E"/>
    <w:rPr>
      <w:rFonts w:asciiTheme="majorHAnsi" w:eastAsiaTheme="majorEastAsia" w:hAnsiTheme="majorHAnsi" w:cstheme="majorBidi"/>
      <w:i/>
      <w:iCs/>
      <w:color w:val="272727" w:themeColor="text1" w:themeTint="D8"/>
      <w:sz w:val="21"/>
      <w:szCs w:val="21"/>
      <w:lang w:val="en-GB" w:eastAsia="de-DE"/>
    </w:rPr>
  </w:style>
  <w:style w:type="paragraph" w:customStyle="1" w:styleId="Listenabsatz1">
    <w:name w:val="Listenabsatz1"/>
    <w:basedOn w:val="Normal"/>
    <w:uiPriority w:val="99"/>
    <w:qFormat/>
    <w:rsid w:val="00DA3C10"/>
    <w:pPr>
      <w:ind w:left="720"/>
    </w:pPr>
  </w:style>
  <w:style w:type="paragraph" w:styleId="TM1">
    <w:name w:val="toc 1"/>
    <w:basedOn w:val="Normal"/>
    <w:next w:val="Normal"/>
    <w:autoRedefine/>
    <w:uiPriority w:val="39"/>
    <w:unhideWhenUsed/>
    <w:rsid w:val="00A14D85"/>
    <w:pPr>
      <w:spacing w:after="100"/>
    </w:pPr>
    <w:rPr>
      <w:b/>
      <w:caps/>
    </w:rPr>
  </w:style>
  <w:style w:type="character" w:styleId="Lienhypertexte">
    <w:name w:val="Hyperlink"/>
    <w:basedOn w:val="Policepardfaut"/>
    <w:uiPriority w:val="99"/>
    <w:unhideWhenUsed/>
    <w:rsid w:val="00DA3C10"/>
    <w:rPr>
      <w:color w:val="0563C1" w:themeColor="hyperlink"/>
      <w:u w:val="single"/>
    </w:rPr>
  </w:style>
  <w:style w:type="paragraph" w:customStyle="1" w:styleId="Explanatorynotes">
    <w:name w:val="Explanatory notes"/>
    <w:basedOn w:val="Normal"/>
    <w:link w:val="ExplanatorynotesChar"/>
    <w:qFormat/>
    <w:rsid w:val="006456DE"/>
    <w:pPr>
      <w:widowControl w:val="0"/>
      <w:shd w:val="clear" w:color="auto" w:fill="FFFFFF"/>
      <w:autoSpaceDE w:val="0"/>
      <w:autoSpaceDN w:val="0"/>
      <w:adjustRightInd w:val="0"/>
      <w:jc w:val="both"/>
    </w:pPr>
    <w:rPr>
      <w:rFonts w:ascii="Times New Roman" w:hAnsi="Times New Roman"/>
      <w:i/>
    </w:rPr>
  </w:style>
  <w:style w:type="paragraph" w:customStyle="1" w:styleId="Examples">
    <w:name w:val="Examples"/>
    <w:basedOn w:val="Normal"/>
    <w:link w:val="ExamplesChar"/>
    <w:qFormat/>
    <w:rsid w:val="006456DE"/>
    <w:pPr>
      <w:widowControl w:val="0"/>
      <w:shd w:val="clear" w:color="auto" w:fill="FFFFFF"/>
      <w:autoSpaceDE w:val="0"/>
      <w:autoSpaceDN w:val="0"/>
      <w:adjustRightInd w:val="0"/>
      <w:jc w:val="both"/>
    </w:pPr>
    <w:rPr>
      <w:rFonts w:ascii="Times New Roman" w:hAnsi="Times New Roman"/>
      <w:i/>
      <w:color w:val="FF0000"/>
    </w:rPr>
  </w:style>
  <w:style w:type="character" w:customStyle="1" w:styleId="ExplanatorynotesChar">
    <w:name w:val="Explanatory notes Char"/>
    <w:basedOn w:val="Policepardfaut"/>
    <w:link w:val="Explanatorynotes"/>
    <w:rsid w:val="006456DE"/>
    <w:rPr>
      <w:rFonts w:ascii="Times New Roman" w:eastAsia="Times New Roman" w:hAnsi="Times New Roman" w:cs="Times New Roman"/>
      <w:i/>
      <w:sz w:val="20"/>
      <w:szCs w:val="20"/>
      <w:shd w:val="clear" w:color="auto" w:fill="FFFFFF"/>
      <w:lang w:val="en-GB" w:eastAsia="de-DE"/>
    </w:rPr>
  </w:style>
  <w:style w:type="paragraph" w:styleId="Notedebasdepage">
    <w:name w:val="footnote text"/>
    <w:basedOn w:val="Normal"/>
    <w:link w:val="NotedebasdepageCar"/>
    <w:semiHidden/>
    <w:rsid w:val="00943A25"/>
    <w:pPr>
      <w:spacing w:before="0" w:after="0"/>
      <w:ind w:left="284" w:hanging="284"/>
    </w:pPr>
    <w:rPr>
      <w:position w:val="4"/>
    </w:rPr>
  </w:style>
  <w:style w:type="character" w:customStyle="1" w:styleId="ExamplesChar">
    <w:name w:val="Examples Char"/>
    <w:basedOn w:val="Policepardfaut"/>
    <w:link w:val="Examples"/>
    <w:rsid w:val="006456DE"/>
    <w:rPr>
      <w:rFonts w:ascii="Times New Roman" w:eastAsia="Times New Roman" w:hAnsi="Times New Roman" w:cs="Times New Roman"/>
      <w:i/>
      <w:color w:val="FF0000"/>
      <w:sz w:val="20"/>
      <w:szCs w:val="20"/>
      <w:shd w:val="clear" w:color="auto" w:fill="FFFFFF"/>
      <w:lang w:val="en-GB" w:eastAsia="de-DE"/>
    </w:rPr>
  </w:style>
  <w:style w:type="character" w:customStyle="1" w:styleId="NotedebasdepageCar">
    <w:name w:val="Note de bas de page Car"/>
    <w:basedOn w:val="Policepardfaut"/>
    <w:link w:val="Notedebasdepage"/>
    <w:semiHidden/>
    <w:rsid w:val="00943A25"/>
    <w:rPr>
      <w:rFonts w:ascii="Verdana" w:eastAsia="Times New Roman" w:hAnsi="Verdana" w:cs="Times New Roman"/>
      <w:position w:val="4"/>
      <w:sz w:val="20"/>
      <w:szCs w:val="20"/>
      <w:lang w:val="en-GB" w:eastAsia="de-DE"/>
    </w:rPr>
  </w:style>
  <w:style w:type="character" w:styleId="Appelnotedebasdep">
    <w:name w:val="footnote reference"/>
    <w:rsid w:val="00943A25"/>
    <w:rPr>
      <w:position w:val="8"/>
      <w:sz w:val="16"/>
    </w:rPr>
  </w:style>
  <w:style w:type="paragraph" w:customStyle="1" w:styleId="Standaard-Tabellen">
    <w:name w:val="Standaard-Tabellen"/>
    <w:basedOn w:val="Normal"/>
    <w:link w:val="Standaard-TabellenChar"/>
    <w:qFormat/>
    <w:rsid w:val="00FF76D2"/>
    <w:pPr>
      <w:spacing w:before="0" w:after="0"/>
    </w:pPr>
    <w:rPr>
      <w:bCs/>
      <w:sz w:val="18"/>
      <w:szCs w:val="24"/>
      <w:lang w:eastAsia="en-GB"/>
    </w:rPr>
  </w:style>
  <w:style w:type="character" w:styleId="Emphaseple">
    <w:name w:val="Subtle Emphasis"/>
    <w:uiPriority w:val="19"/>
    <w:qFormat/>
    <w:rsid w:val="00C82D5E"/>
    <w:rPr>
      <w:rFonts w:ascii="Verdana" w:hAnsi="Verdana"/>
      <w:i/>
      <w:iCs/>
      <w:color w:val="808080"/>
      <w:sz w:val="18"/>
    </w:rPr>
  </w:style>
  <w:style w:type="character" w:customStyle="1" w:styleId="Standaard-TabellenChar">
    <w:name w:val="Standaard-Tabellen Char"/>
    <w:basedOn w:val="Policepardfaut"/>
    <w:link w:val="Standaard-Tabellen"/>
    <w:rsid w:val="00FF76D2"/>
    <w:rPr>
      <w:rFonts w:ascii="Verdana" w:eastAsia="Times New Roman" w:hAnsi="Verdana" w:cs="Times New Roman"/>
      <w:bCs/>
      <w:sz w:val="18"/>
      <w:szCs w:val="24"/>
      <w:lang w:val="en-GB" w:eastAsia="en-GB"/>
    </w:rPr>
  </w:style>
  <w:style w:type="paragraph" w:customStyle="1" w:styleId="Voetnoot">
    <w:name w:val="Voetnoot"/>
    <w:basedOn w:val="Notedebasdepage"/>
    <w:link w:val="VoetnootChar"/>
    <w:qFormat/>
    <w:rsid w:val="008B0654"/>
    <w:pPr>
      <w:ind w:left="170" w:hanging="170"/>
    </w:pPr>
    <w:rPr>
      <w:sz w:val="16"/>
      <w:szCs w:val="16"/>
    </w:rPr>
  </w:style>
  <w:style w:type="character" w:customStyle="1" w:styleId="VoetnootChar">
    <w:name w:val="Voetnoot Char"/>
    <w:basedOn w:val="NotedebasdepageCar"/>
    <w:link w:val="Voetnoot"/>
    <w:rsid w:val="008B0654"/>
    <w:rPr>
      <w:rFonts w:ascii="Verdana" w:eastAsia="Times New Roman" w:hAnsi="Verdana" w:cs="Times New Roman"/>
      <w:position w:val="4"/>
      <w:sz w:val="16"/>
      <w:szCs w:val="16"/>
      <w:lang w:val="en-GB" w:eastAsia="de-DE"/>
    </w:rPr>
  </w:style>
  <w:style w:type="paragraph" w:styleId="TM7">
    <w:name w:val="toc 7"/>
    <w:basedOn w:val="Normal"/>
    <w:next w:val="Normal"/>
    <w:autoRedefine/>
    <w:uiPriority w:val="39"/>
    <w:unhideWhenUsed/>
    <w:rsid w:val="0031337C"/>
    <w:pPr>
      <w:spacing w:after="100"/>
      <w:ind w:left="1200"/>
    </w:pPr>
  </w:style>
  <w:style w:type="paragraph" w:customStyle="1" w:styleId="Absatz">
    <w:name w:val="Absatz"/>
    <w:basedOn w:val="Normal"/>
    <w:rsid w:val="00157768"/>
    <w:pPr>
      <w:spacing w:before="0" w:after="0"/>
      <w:ind w:left="1729"/>
    </w:pPr>
    <w:rPr>
      <w:rFonts w:ascii="Times New Roman" w:hAnsi="Times New Roman"/>
    </w:rPr>
  </w:style>
  <w:style w:type="paragraph" w:customStyle="1" w:styleId="Default">
    <w:name w:val="Default"/>
    <w:rsid w:val="00157768"/>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TM2">
    <w:name w:val="toc 2"/>
    <w:basedOn w:val="Normal"/>
    <w:next w:val="Normal"/>
    <w:autoRedefine/>
    <w:uiPriority w:val="39"/>
    <w:unhideWhenUsed/>
    <w:rsid w:val="00A14D85"/>
    <w:pPr>
      <w:spacing w:after="100"/>
      <w:ind w:left="200"/>
    </w:pPr>
    <w:rPr>
      <w:caps/>
    </w:rPr>
  </w:style>
  <w:style w:type="paragraph" w:styleId="TM3">
    <w:name w:val="toc 3"/>
    <w:basedOn w:val="Normal"/>
    <w:next w:val="Normal"/>
    <w:autoRedefine/>
    <w:uiPriority w:val="39"/>
    <w:unhideWhenUsed/>
    <w:rsid w:val="00A14D85"/>
    <w:pPr>
      <w:spacing w:after="100"/>
      <w:ind w:left="400"/>
    </w:pPr>
    <w:rPr>
      <w:i/>
    </w:rPr>
  </w:style>
  <w:style w:type="paragraph" w:styleId="TM4">
    <w:name w:val="toc 4"/>
    <w:basedOn w:val="Normal"/>
    <w:next w:val="Normal"/>
    <w:autoRedefine/>
    <w:uiPriority w:val="39"/>
    <w:unhideWhenUsed/>
    <w:rsid w:val="00A80F2E"/>
    <w:pPr>
      <w:tabs>
        <w:tab w:val="left" w:pos="1760"/>
        <w:tab w:val="right" w:leader="dot" w:pos="9402"/>
      </w:tabs>
      <w:spacing w:after="100"/>
      <w:ind w:left="600"/>
    </w:pPr>
  </w:style>
  <w:style w:type="paragraph" w:styleId="TM5">
    <w:name w:val="toc 5"/>
    <w:basedOn w:val="Normal"/>
    <w:next w:val="Normal"/>
    <w:autoRedefine/>
    <w:uiPriority w:val="39"/>
    <w:unhideWhenUsed/>
    <w:rsid w:val="00A14D85"/>
    <w:pPr>
      <w:spacing w:after="100"/>
      <w:ind w:left="800"/>
    </w:pPr>
    <w:rPr>
      <w:i/>
      <w:color w:val="000000" w:themeColor="text1"/>
      <w:sz w:val="18"/>
    </w:rPr>
  </w:style>
  <w:style w:type="paragraph" w:styleId="TM6">
    <w:name w:val="toc 6"/>
    <w:basedOn w:val="Normal"/>
    <w:next w:val="Normal"/>
    <w:autoRedefine/>
    <w:uiPriority w:val="39"/>
    <w:unhideWhenUsed/>
    <w:rsid w:val="00A14D85"/>
    <w:pPr>
      <w:spacing w:before="0" w:after="100" w:line="259" w:lineRule="auto"/>
      <w:ind w:left="1100"/>
    </w:pPr>
    <w:rPr>
      <w:rFonts w:asciiTheme="minorHAnsi" w:eastAsiaTheme="minorEastAsia" w:hAnsiTheme="minorHAnsi" w:cstheme="minorBidi"/>
      <w:sz w:val="22"/>
      <w:szCs w:val="22"/>
      <w:lang w:val="nl-NL" w:eastAsia="nl-NL"/>
    </w:rPr>
  </w:style>
  <w:style w:type="paragraph" w:styleId="TM8">
    <w:name w:val="toc 8"/>
    <w:basedOn w:val="Normal"/>
    <w:next w:val="Normal"/>
    <w:autoRedefine/>
    <w:uiPriority w:val="39"/>
    <w:unhideWhenUsed/>
    <w:rsid w:val="00A14D85"/>
    <w:pPr>
      <w:spacing w:before="0" w:after="100" w:line="259" w:lineRule="auto"/>
      <w:ind w:left="1540"/>
    </w:pPr>
    <w:rPr>
      <w:rFonts w:asciiTheme="minorHAnsi" w:eastAsiaTheme="minorEastAsia" w:hAnsiTheme="minorHAnsi" w:cstheme="minorBidi"/>
      <w:sz w:val="22"/>
      <w:szCs w:val="22"/>
      <w:lang w:val="nl-NL" w:eastAsia="nl-NL"/>
    </w:rPr>
  </w:style>
  <w:style w:type="paragraph" w:styleId="TM9">
    <w:name w:val="toc 9"/>
    <w:basedOn w:val="Normal"/>
    <w:next w:val="Normal"/>
    <w:autoRedefine/>
    <w:uiPriority w:val="39"/>
    <w:unhideWhenUsed/>
    <w:rsid w:val="00A14D85"/>
    <w:pPr>
      <w:spacing w:before="0" w:after="100" w:line="259" w:lineRule="auto"/>
      <w:ind w:left="1760"/>
    </w:pPr>
    <w:rPr>
      <w:rFonts w:asciiTheme="minorHAnsi" w:eastAsiaTheme="minorEastAsia" w:hAnsiTheme="minorHAnsi" w:cstheme="minorBidi"/>
      <w:sz w:val="22"/>
      <w:szCs w:val="22"/>
      <w:lang w:val="nl-NL" w:eastAsia="nl-NL"/>
    </w:rPr>
  </w:style>
  <w:style w:type="character" w:styleId="Marquedecommentaire">
    <w:name w:val="annotation reference"/>
    <w:basedOn w:val="Policepardfaut"/>
    <w:uiPriority w:val="99"/>
    <w:semiHidden/>
    <w:unhideWhenUsed/>
    <w:rsid w:val="00F2295B"/>
    <w:rPr>
      <w:sz w:val="16"/>
      <w:szCs w:val="16"/>
    </w:rPr>
  </w:style>
  <w:style w:type="paragraph" w:styleId="Commentaire">
    <w:name w:val="annotation text"/>
    <w:basedOn w:val="Normal"/>
    <w:link w:val="CommentaireCar"/>
    <w:uiPriority w:val="99"/>
    <w:unhideWhenUsed/>
    <w:rsid w:val="00F2295B"/>
  </w:style>
  <w:style w:type="character" w:customStyle="1" w:styleId="CommentaireCar">
    <w:name w:val="Commentaire Car"/>
    <w:basedOn w:val="Policepardfaut"/>
    <w:link w:val="Commentaire"/>
    <w:uiPriority w:val="99"/>
    <w:rsid w:val="00F2295B"/>
    <w:rPr>
      <w:rFonts w:ascii="Verdana" w:eastAsia="Times New Roman" w:hAnsi="Verdana" w:cs="Times New Roman"/>
      <w:sz w:val="20"/>
      <w:szCs w:val="20"/>
      <w:lang w:val="en-GB" w:eastAsia="de-DE"/>
    </w:rPr>
  </w:style>
  <w:style w:type="paragraph" w:styleId="Objetducommentaire">
    <w:name w:val="annotation subject"/>
    <w:basedOn w:val="Commentaire"/>
    <w:next w:val="Commentaire"/>
    <w:link w:val="ObjetducommentaireCar"/>
    <w:uiPriority w:val="99"/>
    <w:semiHidden/>
    <w:unhideWhenUsed/>
    <w:rsid w:val="00F2295B"/>
    <w:rPr>
      <w:b/>
      <w:bCs/>
    </w:rPr>
  </w:style>
  <w:style w:type="character" w:customStyle="1" w:styleId="ObjetducommentaireCar">
    <w:name w:val="Objet du commentaire Car"/>
    <w:basedOn w:val="CommentaireCar"/>
    <w:link w:val="Objetducommentaire"/>
    <w:uiPriority w:val="99"/>
    <w:semiHidden/>
    <w:rsid w:val="00F2295B"/>
    <w:rPr>
      <w:rFonts w:ascii="Verdana" w:eastAsia="Times New Roman" w:hAnsi="Verdana" w:cs="Times New Roman"/>
      <w:b/>
      <w:bCs/>
      <w:sz w:val="20"/>
      <w:szCs w:val="20"/>
      <w:lang w:val="en-GB" w:eastAsia="de-DE"/>
    </w:rPr>
  </w:style>
  <w:style w:type="paragraph" w:styleId="Textedebulles">
    <w:name w:val="Balloon Text"/>
    <w:basedOn w:val="Normal"/>
    <w:link w:val="TextedebullesCar"/>
    <w:uiPriority w:val="99"/>
    <w:semiHidden/>
    <w:unhideWhenUsed/>
    <w:rsid w:val="00F2295B"/>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95B"/>
    <w:rPr>
      <w:rFonts w:ascii="Segoe UI" w:eastAsia="Times New Roman" w:hAnsi="Segoe UI" w:cs="Segoe UI"/>
      <w:sz w:val="18"/>
      <w:szCs w:val="18"/>
      <w:lang w:val="en-GB" w:eastAsia="de-DE"/>
    </w:rPr>
  </w:style>
  <w:style w:type="paragraph" w:styleId="Paragraphedeliste">
    <w:name w:val="List Paragraph"/>
    <w:basedOn w:val="Normal"/>
    <w:link w:val="ParagraphedelisteCar"/>
    <w:uiPriority w:val="34"/>
    <w:qFormat/>
    <w:rsid w:val="000C6F2C"/>
    <w:pPr>
      <w:ind w:left="720"/>
      <w:contextualSpacing/>
    </w:pPr>
  </w:style>
  <w:style w:type="paragraph" w:styleId="NormalWeb">
    <w:name w:val="Normal (Web)"/>
    <w:basedOn w:val="Normal"/>
    <w:uiPriority w:val="99"/>
    <w:semiHidden/>
    <w:unhideWhenUsed/>
    <w:rsid w:val="00F425DD"/>
    <w:pPr>
      <w:spacing w:before="100" w:beforeAutospacing="1" w:after="100" w:afterAutospacing="1"/>
    </w:pPr>
    <w:rPr>
      <w:rFonts w:ascii="Times New Roman" w:hAnsi="Times New Roman"/>
      <w:sz w:val="24"/>
      <w:szCs w:val="24"/>
      <w:lang w:val="fr-BE" w:eastAsia="fr-BE"/>
    </w:rPr>
  </w:style>
  <w:style w:type="paragraph" w:customStyle="1" w:styleId="Standard-italics">
    <w:name w:val="Standard-italics"/>
    <w:basedOn w:val="Normal"/>
    <w:rsid w:val="00D63744"/>
    <w:pPr>
      <w:keepNext/>
    </w:pPr>
    <w:rPr>
      <w:i/>
    </w:rPr>
  </w:style>
  <w:style w:type="character" w:customStyle="1" w:styleId="MarkerenChar">
    <w:name w:val="Markeren Char"/>
    <w:link w:val="Markeren"/>
    <w:locked/>
    <w:rsid w:val="00591C41"/>
    <w:rPr>
      <w:rFonts w:ascii="Verdana" w:eastAsia="Calibri" w:hAnsi="Verdana"/>
      <w:b/>
      <w:color w:val="2F5496"/>
      <w:lang w:val="en-GB"/>
    </w:rPr>
  </w:style>
  <w:style w:type="paragraph" w:customStyle="1" w:styleId="Markeren">
    <w:name w:val="Markeren"/>
    <w:basedOn w:val="Normal"/>
    <w:link w:val="MarkerenChar"/>
    <w:qFormat/>
    <w:rsid w:val="00591C41"/>
    <w:pPr>
      <w:jc w:val="both"/>
    </w:pPr>
    <w:rPr>
      <w:rFonts w:cstheme="minorBidi"/>
      <w:b/>
      <w:color w:val="2F5496"/>
      <w:sz w:val="22"/>
      <w:szCs w:val="22"/>
    </w:rPr>
  </w:style>
  <w:style w:type="character" w:styleId="Textedelespacerserv">
    <w:name w:val="Placeholder Text"/>
    <w:basedOn w:val="Policepardfaut"/>
    <w:uiPriority w:val="99"/>
    <w:semiHidden/>
    <w:rsid w:val="00591C41"/>
    <w:rPr>
      <w:color w:val="808080"/>
    </w:rPr>
  </w:style>
  <w:style w:type="paragraph" w:styleId="Rvision">
    <w:name w:val="Revision"/>
    <w:hidden/>
    <w:uiPriority w:val="99"/>
    <w:semiHidden/>
    <w:rsid w:val="0003031B"/>
    <w:pPr>
      <w:spacing w:after="0" w:line="240" w:lineRule="auto"/>
    </w:pPr>
    <w:rPr>
      <w:rFonts w:ascii="Verdana" w:eastAsia="Times New Roman" w:hAnsi="Verdana" w:cs="Times New Roman"/>
      <w:sz w:val="20"/>
      <w:szCs w:val="20"/>
      <w:lang w:val="en-GB" w:eastAsia="de-DE"/>
    </w:rPr>
  </w:style>
  <w:style w:type="character" w:styleId="lev">
    <w:name w:val="Strong"/>
    <w:basedOn w:val="Policepardfaut"/>
    <w:uiPriority w:val="22"/>
    <w:qFormat/>
    <w:rsid w:val="00807593"/>
    <w:rPr>
      <w:b/>
      <w:bCs/>
    </w:rPr>
  </w:style>
  <w:style w:type="character" w:customStyle="1" w:styleId="UnresolvedMention">
    <w:name w:val="Unresolved Mention"/>
    <w:basedOn w:val="Policepardfaut"/>
    <w:uiPriority w:val="99"/>
    <w:semiHidden/>
    <w:unhideWhenUsed/>
    <w:rsid w:val="00410660"/>
    <w:rPr>
      <w:color w:val="808080"/>
      <w:shd w:val="clear" w:color="auto" w:fill="E6E6E6"/>
    </w:rPr>
  </w:style>
  <w:style w:type="character" w:customStyle="1" w:styleId="ParagraphedelisteCar">
    <w:name w:val="Paragraphe de liste Car"/>
    <w:link w:val="Paragraphedeliste"/>
    <w:uiPriority w:val="34"/>
    <w:rsid w:val="00263500"/>
    <w:rPr>
      <w:rFonts w:ascii="Verdana" w:eastAsia="Calibri" w:hAnsi="Verdana" w:cs="Times New Roman"/>
      <w:sz w:val="20"/>
      <w:szCs w:val="20"/>
      <w:lang w:val="en-US"/>
    </w:rPr>
  </w:style>
  <w:style w:type="table" w:customStyle="1" w:styleId="TableGrid2">
    <w:name w:val="Table Grid2"/>
    <w:basedOn w:val="TableauNormal"/>
    <w:next w:val="Grilledutableau"/>
    <w:rsid w:val="00263500"/>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entAuth1">
    <w:name w:val="CurrentAuth1"/>
    <w:basedOn w:val="Titre3"/>
    <w:link w:val="CurrentAuth1Char"/>
    <w:qFormat/>
    <w:rsid w:val="00263500"/>
    <w:pPr>
      <w:numPr>
        <w:ilvl w:val="0"/>
        <w:numId w:val="35"/>
      </w:numPr>
      <w:spacing w:before="240" w:line="360" w:lineRule="auto"/>
      <w:jc w:val="both"/>
    </w:pPr>
    <w:rPr>
      <w:rFonts w:ascii="Arial" w:eastAsiaTheme="majorEastAsia" w:hAnsi="Arial" w:cs="Arial"/>
      <w:bCs/>
      <w:color w:val="1F4D78" w:themeColor="accent1" w:themeShade="7F"/>
      <w:sz w:val="28"/>
      <w:szCs w:val="28"/>
      <w:lang w:val="en-GB" w:eastAsia="de-DE"/>
    </w:rPr>
  </w:style>
  <w:style w:type="character" w:customStyle="1" w:styleId="CurrentAuth1Char">
    <w:name w:val="CurrentAuth1 Char"/>
    <w:basedOn w:val="Policepardfaut"/>
    <w:link w:val="CurrentAuth1"/>
    <w:rsid w:val="00263500"/>
    <w:rPr>
      <w:rFonts w:ascii="Arial" w:eastAsiaTheme="majorEastAsia" w:hAnsi="Arial" w:cs="Arial"/>
      <w:b/>
      <w:bCs/>
      <w:color w:val="1F4D78" w:themeColor="accent1" w:themeShade="7F"/>
      <w:sz w:val="28"/>
      <w:szCs w:val="28"/>
      <w:lang w:val="en-GB" w:eastAsia="de-DE"/>
    </w:rPr>
  </w:style>
  <w:style w:type="paragraph" w:customStyle="1" w:styleId="CurrentAuth2">
    <w:name w:val="CurrentAuth2"/>
    <w:basedOn w:val="Titre4"/>
    <w:qFormat/>
    <w:rsid w:val="00263500"/>
    <w:pPr>
      <w:numPr>
        <w:ilvl w:val="1"/>
        <w:numId w:val="35"/>
      </w:numPr>
      <w:tabs>
        <w:tab w:val="num" w:pos="360"/>
      </w:tabs>
      <w:spacing w:before="0" w:after="0" w:line="260" w:lineRule="atLeast"/>
    </w:pPr>
    <w:rPr>
      <w:rFonts w:ascii="Arial" w:eastAsia="Times New Roman" w:hAnsi="Arial" w:cs="Arial"/>
      <w:b/>
      <w:bCs/>
      <w:i w:val="0"/>
      <w:szCs w:val="26"/>
      <w:lang w:val="en-GB" w:eastAsia="de-DE"/>
    </w:rPr>
  </w:style>
  <w:style w:type="paragraph" w:customStyle="1" w:styleId="CurrentAuth3">
    <w:name w:val="CurrentAuth3"/>
    <w:basedOn w:val="Titre3"/>
    <w:qFormat/>
    <w:rsid w:val="00263500"/>
    <w:pPr>
      <w:numPr>
        <w:numId w:val="35"/>
      </w:numPr>
      <w:tabs>
        <w:tab w:val="num" w:pos="360"/>
      </w:tabs>
      <w:spacing w:before="0" w:after="0" w:line="260" w:lineRule="atLeast"/>
      <w:jc w:val="both"/>
    </w:pPr>
    <w:rPr>
      <w:rFonts w:ascii="Arial" w:eastAsia="Times New Roman" w:hAnsi="Arial" w:cs="Arial"/>
      <w:bCs/>
      <w:sz w:val="24"/>
      <w:szCs w:val="26"/>
      <w:lang w:val="en-GB" w:eastAsia="de-DE"/>
    </w:rPr>
  </w:style>
  <w:style w:type="paragraph" w:customStyle="1" w:styleId="CurrentAuth4">
    <w:name w:val="CurrentAuth4"/>
    <w:basedOn w:val="Titre4"/>
    <w:qFormat/>
    <w:rsid w:val="00263500"/>
    <w:pPr>
      <w:numPr>
        <w:numId w:val="35"/>
      </w:numPr>
      <w:tabs>
        <w:tab w:val="num" w:pos="360"/>
      </w:tabs>
      <w:spacing w:before="0" w:after="0" w:line="260" w:lineRule="atLeast"/>
    </w:pPr>
    <w:rPr>
      <w:rFonts w:ascii="Arial" w:eastAsia="Times New Roman" w:hAnsi="Arial" w:cs="Arial"/>
      <w:b/>
      <w:bCs/>
      <w:i w:val="0"/>
      <w:szCs w:val="26"/>
      <w:lang w:val="en-GB" w:eastAsia="de-DE"/>
    </w:rPr>
  </w:style>
  <w:style w:type="paragraph" w:styleId="Lgende">
    <w:name w:val="caption"/>
    <w:basedOn w:val="Normal"/>
    <w:next w:val="Absatz"/>
    <w:semiHidden/>
    <w:unhideWhenUsed/>
    <w:qFormat/>
    <w:rsid w:val="00E92982"/>
    <w:pPr>
      <w:suppressAutoHyphens/>
      <w:spacing w:before="0" w:after="255"/>
      <w:ind w:left="1418" w:hanging="1418"/>
    </w:pPr>
    <w:rPr>
      <w:rFonts w:ascii="Times New Roman" w:eastAsia="Times New Roman" w:hAnsi="Times New Roman"/>
      <w:lang w:val="en-GB" w:eastAsia="zh-CN"/>
    </w:rPr>
  </w:style>
  <w:style w:type="character" w:customStyle="1" w:styleId="Caractresdenotedebasdepage">
    <w:name w:val="Caractères de note de bas de page"/>
    <w:rsid w:val="00E92982"/>
    <w:rPr>
      <w:position w:val="8"/>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282">
      <w:bodyDiv w:val="1"/>
      <w:marLeft w:val="0"/>
      <w:marRight w:val="0"/>
      <w:marTop w:val="0"/>
      <w:marBottom w:val="0"/>
      <w:divBdr>
        <w:top w:val="none" w:sz="0" w:space="0" w:color="auto"/>
        <w:left w:val="none" w:sz="0" w:space="0" w:color="auto"/>
        <w:bottom w:val="none" w:sz="0" w:space="0" w:color="auto"/>
        <w:right w:val="none" w:sz="0" w:space="0" w:color="auto"/>
      </w:divBdr>
    </w:div>
    <w:div w:id="195240281">
      <w:bodyDiv w:val="1"/>
      <w:marLeft w:val="0"/>
      <w:marRight w:val="0"/>
      <w:marTop w:val="0"/>
      <w:marBottom w:val="0"/>
      <w:divBdr>
        <w:top w:val="none" w:sz="0" w:space="0" w:color="auto"/>
        <w:left w:val="none" w:sz="0" w:space="0" w:color="auto"/>
        <w:bottom w:val="none" w:sz="0" w:space="0" w:color="auto"/>
        <w:right w:val="none" w:sz="0" w:space="0" w:color="auto"/>
      </w:divBdr>
    </w:div>
    <w:div w:id="251817861">
      <w:bodyDiv w:val="1"/>
      <w:marLeft w:val="0"/>
      <w:marRight w:val="0"/>
      <w:marTop w:val="0"/>
      <w:marBottom w:val="0"/>
      <w:divBdr>
        <w:top w:val="none" w:sz="0" w:space="0" w:color="auto"/>
        <w:left w:val="none" w:sz="0" w:space="0" w:color="auto"/>
        <w:bottom w:val="none" w:sz="0" w:space="0" w:color="auto"/>
        <w:right w:val="none" w:sz="0" w:space="0" w:color="auto"/>
      </w:divBdr>
    </w:div>
    <w:div w:id="391465395">
      <w:bodyDiv w:val="1"/>
      <w:marLeft w:val="0"/>
      <w:marRight w:val="0"/>
      <w:marTop w:val="0"/>
      <w:marBottom w:val="0"/>
      <w:divBdr>
        <w:top w:val="none" w:sz="0" w:space="0" w:color="auto"/>
        <w:left w:val="none" w:sz="0" w:space="0" w:color="auto"/>
        <w:bottom w:val="none" w:sz="0" w:space="0" w:color="auto"/>
        <w:right w:val="none" w:sz="0" w:space="0" w:color="auto"/>
      </w:divBdr>
    </w:div>
    <w:div w:id="458837576">
      <w:bodyDiv w:val="1"/>
      <w:marLeft w:val="0"/>
      <w:marRight w:val="0"/>
      <w:marTop w:val="0"/>
      <w:marBottom w:val="0"/>
      <w:divBdr>
        <w:top w:val="none" w:sz="0" w:space="0" w:color="auto"/>
        <w:left w:val="none" w:sz="0" w:space="0" w:color="auto"/>
        <w:bottom w:val="none" w:sz="0" w:space="0" w:color="auto"/>
        <w:right w:val="none" w:sz="0" w:space="0" w:color="auto"/>
      </w:divBdr>
    </w:div>
    <w:div w:id="470485161">
      <w:bodyDiv w:val="1"/>
      <w:marLeft w:val="0"/>
      <w:marRight w:val="0"/>
      <w:marTop w:val="0"/>
      <w:marBottom w:val="0"/>
      <w:divBdr>
        <w:top w:val="none" w:sz="0" w:space="0" w:color="auto"/>
        <w:left w:val="none" w:sz="0" w:space="0" w:color="auto"/>
        <w:bottom w:val="none" w:sz="0" w:space="0" w:color="auto"/>
        <w:right w:val="none" w:sz="0" w:space="0" w:color="auto"/>
      </w:divBdr>
      <w:divsChild>
        <w:div w:id="785805657">
          <w:marLeft w:val="0"/>
          <w:marRight w:val="0"/>
          <w:marTop w:val="0"/>
          <w:marBottom w:val="0"/>
          <w:divBdr>
            <w:top w:val="none" w:sz="0" w:space="0" w:color="auto"/>
            <w:left w:val="none" w:sz="0" w:space="0" w:color="auto"/>
            <w:bottom w:val="none" w:sz="0" w:space="0" w:color="auto"/>
            <w:right w:val="none" w:sz="0" w:space="0" w:color="auto"/>
          </w:divBdr>
          <w:divsChild>
            <w:div w:id="1101686751">
              <w:marLeft w:val="0"/>
              <w:marRight w:val="0"/>
              <w:marTop w:val="0"/>
              <w:marBottom w:val="0"/>
              <w:divBdr>
                <w:top w:val="none" w:sz="0" w:space="0" w:color="auto"/>
                <w:left w:val="none" w:sz="0" w:space="0" w:color="auto"/>
                <w:bottom w:val="none" w:sz="0" w:space="0" w:color="auto"/>
                <w:right w:val="none" w:sz="0" w:space="0" w:color="auto"/>
              </w:divBdr>
            </w:div>
            <w:div w:id="284195346">
              <w:marLeft w:val="0"/>
              <w:marRight w:val="0"/>
              <w:marTop w:val="0"/>
              <w:marBottom w:val="0"/>
              <w:divBdr>
                <w:top w:val="none" w:sz="0" w:space="0" w:color="auto"/>
                <w:left w:val="none" w:sz="0" w:space="0" w:color="auto"/>
                <w:bottom w:val="none" w:sz="0" w:space="0" w:color="auto"/>
                <w:right w:val="none" w:sz="0" w:space="0" w:color="auto"/>
              </w:divBdr>
              <w:divsChild>
                <w:div w:id="1071586850">
                  <w:marLeft w:val="0"/>
                  <w:marRight w:val="0"/>
                  <w:marTop w:val="0"/>
                  <w:marBottom w:val="0"/>
                  <w:divBdr>
                    <w:top w:val="none" w:sz="0" w:space="0" w:color="auto"/>
                    <w:left w:val="none" w:sz="0" w:space="0" w:color="auto"/>
                    <w:bottom w:val="none" w:sz="0" w:space="0" w:color="auto"/>
                    <w:right w:val="none" w:sz="0" w:space="0" w:color="auto"/>
                  </w:divBdr>
                  <w:divsChild>
                    <w:div w:id="1806042452">
                      <w:marLeft w:val="0"/>
                      <w:marRight w:val="0"/>
                      <w:marTop w:val="0"/>
                      <w:marBottom w:val="0"/>
                      <w:divBdr>
                        <w:top w:val="none" w:sz="0" w:space="0" w:color="auto"/>
                        <w:left w:val="none" w:sz="0" w:space="0" w:color="auto"/>
                        <w:bottom w:val="none" w:sz="0" w:space="0" w:color="auto"/>
                        <w:right w:val="none" w:sz="0" w:space="0" w:color="auto"/>
                      </w:divBdr>
                    </w:div>
                    <w:div w:id="1706559367">
                      <w:marLeft w:val="0"/>
                      <w:marRight w:val="0"/>
                      <w:marTop w:val="0"/>
                      <w:marBottom w:val="0"/>
                      <w:divBdr>
                        <w:top w:val="none" w:sz="0" w:space="0" w:color="auto"/>
                        <w:left w:val="none" w:sz="0" w:space="0" w:color="auto"/>
                        <w:bottom w:val="none" w:sz="0" w:space="0" w:color="auto"/>
                        <w:right w:val="none" w:sz="0" w:space="0" w:color="auto"/>
                      </w:divBdr>
                    </w:div>
                    <w:div w:id="1045106538">
                      <w:marLeft w:val="0"/>
                      <w:marRight w:val="0"/>
                      <w:marTop w:val="0"/>
                      <w:marBottom w:val="0"/>
                      <w:divBdr>
                        <w:top w:val="none" w:sz="0" w:space="0" w:color="auto"/>
                        <w:left w:val="none" w:sz="0" w:space="0" w:color="auto"/>
                        <w:bottom w:val="none" w:sz="0" w:space="0" w:color="auto"/>
                        <w:right w:val="none" w:sz="0" w:space="0" w:color="auto"/>
                      </w:divBdr>
                    </w:div>
                    <w:div w:id="107049550">
                      <w:marLeft w:val="0"/>
                      <w:marRight w:val="0"/>
                      <w:marTop w:val="0"/>
                      <w:marBottom w:val="0"/>
                      <w:divBdr>
                        <w:top w:val="none" w:sz="0" w:space="0" w:color="auto"/>
                        <w:left w:val="none" w:sz="0" w:space="0" w:color="auto"/>
                        <w:bottom w:val="none" w:sz="0" w:space="0" w:color="auto"/>
                        <w:right w:val="none" w:sz="0" w:space="0" w:color="auto"/>
                      </w:divBdr>
                      <w:divsChild>
                        <w:div w:id="1118834232">
                          <w:marLeft w:val="0"/>
                          <w:marRight w:val="0"/>
                          <w:marTop w:val="0"/>
                          <w:marBottom w:val="0"/>
                          <w:divBdr>
                            <w:top w:val="none" w:sz="0" w:space="0" w:color="auto"/>
                            <w:left w:val="none" w:sz="0" w:space="0" w:color="auto"/>
                            <w:bottom w:val="none" w:sz="0" w:space="0" w:color="auto"/>
                            <w:right w:val="none" w:sz="0" w:space="0" w:color="auto"/>
                          </w:divBdr>
                          <w:divsChild>
                            <w:div w:id="2037462524">
                              <w:marLeft w:val="0"/>
                              <w:marRight w:val="0"/>
                              <w:marTop w:val="0"/>
                              <w:marBottom w:val="0"/>
                              <w:divBdr>
                                <w:top w:val="none" w:sz="0" w:space="0" w:color="auto"/>
                                <w:left w:val="none" w:sz="0" w:space="0" w:color="auto"/>
                                <w:bottom w:val="none" w:sz="0" w:space="0" w:color="auto"/>
                                <w:right w:val="none" w:sz="0" w:space="0" w:color="auto"/>
                              </w:divBdr>
                            </w:div>
                            <w:div w:id="8074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71395">
      <w:bodyDiv w:val="1"/>
      <w:marLeft w:val="0"/>
      <w:marRight w:val="0"/>
      <w:marTop w:val="0"/>
      <w:marBottom w:val="0"/>
      <w:divBdr>
        <w:top w:val="none" w:sz="0" w:space="0" w:color="auto"/>
        <w:left w:val="none" w:sz="0" w:space="0" w:color="auto"/>
        <w:bottom w:val="none" w:sz="0" w:space="0" w:color="auto"/>
        <w:right w:val="none" w:sz="0" w:space="0" w:color="auto"/>
      </w:divBdr>
      <w:divsChild>
        <w:div w:id="1185946480">
          <w:marLeft w:val="0"/>
          <w:marRight w:val="0"/>
          <w:marTop w:val="0"/>
          <w:marBottom w:val="0"/>
          <w:divBdr>
            <w:top w:val="none" w:sz="0" w:space="0" w:color="auto"/>
            <w:left w:val="none" w:sz="0" w:space="0" w:color="auto"/>
            <w:bottom w:val="none" w:sz="0" w:space="0" w:color="auto"/>
            <w:right w:val="none" w:sz="0" w:space="0" w:color="auto"/>
          </w:divBdr>
          <w:divsChild>
            <w:div w:id="733311648">
              <w:marLeft w:val="0"/>
              <w:marRight w:val="0"/>
              <w:marTop w:val="0"/>
              <w:marBottom w:val="0"/>
              <w:divBdr>
                <w:top w:val="none" w:sz="0" w:space="0" w:color="auto"/>
                <w:left w:val="none" w:sz="0" w:space="0" w:color="auto"/>
                <w:bottom w:val="none" w:sz="0" w:space="0" w:color="auto"/>
                <w:right w:val="none" w:sz="0" w:space="0" w:color="auto"/>
              </w:divBdr>
            </w:div>
            <w:div w:id="207762991">
              <w:marLeft w:val="0"/>
              <w:marRight w:val="0"/>
              <w:marTop w:val="0"/>
              <w:marBottom w:val="0"/>
              <w:divBdr>
                <w:top w:val="none" w:sz="0" w:space="0" w:color="auto"/>
                <w:left w:val="none" w:sz="0" w:space="0" w:color="auto"/>
                <w:bottom w:val="none" w:sz="0" w:space="0" w:color="auto"/>
                <w:right w:val="none" w:sz="0" w:space="0" w:color="auto"/>
              </w:divBdr>
              <w:divsChild>
                <w:div w:id="88694360">
                  <w:marLeft w:val="0"/>
                  <w:marRight w:val="0"/>
                  <w:marTop w:val="0"/>
                  <w:marBottom w:val="0"/>
                  <w:divBdr>
                    <w:top w:val="none" w:sz="0" w:space="0" w:color="auto"/>
                    <w:left w:val="none" w:sz="0" w:space="0" w:color="auto"/>
                    <w:bottom w:val="none" w:sz="0" w:space="0" w:color="auto"/>
                    <w:right w:val="none" w:sz="0" w:space="0" w:color="auto"/>
                  </w:divBdr>
                  <w:divsChild>
                    <w:div w:id="1176533991">
                      <w:marLeft w:val="0"/>
                      <w:marRight w:val="0"/>
                      <w:marTop w:val="0"/>
                      <w:marBottom w:val="0"/>
                      <w:divBdr>
                        <w:top w:val="none" w:sz="0" w:space="0" w:color="auto"/>
                        <w:left w:val="none" w:sz="0" w:space="0" w:color="auto"/>
                        <w:bottom w:val="none" w:sz="0" w:space="0" w:color="auto"/>
                        <w:right w:val="none" w:sz="0" w:space="0" w:color="auto"/>
                      </w:divBdr>
                    </w:div>
                    <w:div w:id="32584170">
                      <w:marLeft w:val="0"/>
                      <w:marRight w:val="0"/>
                      <w:marTop w:val="0"/>
                      <w:marBottom w:val="0"/>
                      <w:divBdr>
                        <w:top w:val="none" w:sz="0" w:space="0" w:color="auto"/>
                        <w:left w:val="none" w:sz="0" w:space="0" w:color="auto"/>
                        <w:bottom w:val="none" w:sz="0" w:space="0" w:color="auto"/>
                        <w:right w:val="none" w:sz="0" w:space="0" w:color="auto"/>
                      </w:divBdr>
                    </w:div>
                    <w:div w:id="2021197612">
                      <w:marLeft w:val="0"/>
                      <w:marRight w:val="0"/>
                      <w:marTop w:val="0"/>
                      <w:marBottom w:val="0"/>
                      <w:divBdr>
                        <w:top w:val="none" w:sz="0" w:space="0" w:color="auto"/>
                        <w:left w:val="none" w:sz="0" w:space="0" w:color="auto"/>
                        <w:bottom w:val="none" w:sz="0" w:space="0" w:color="auto"/>
                        <w:right w:val="none" w:sz="0" w:space="0" w:color="auto"/>
                      </w:divBdr>
                    </w:div>
                    <w:div w:id="558252253">
                      <w:marLeft w:val="0"/>
                      <w:marRight w:val="0"/>
                      <w:marTop w:val="0"/>
                      <w:marBottom w:val="0"/>
                      <w:divBdr>
                        <w:top w:val="none" w:sz="0" w:space="0" w:color="auto"/>
                        <w:left w:val="none" w:sz="0" w:space="0" w:color="auto"/>
                        <w:bottom w:val="none" w:sz="0" w:space="0" w:color="auto"/>
                        <w:right w:val="none" w:sz="0" w:space="0" w:color="auto"/>
                      </w:divBdr>
                      <w:divsChild>
                        <w:div w:id="2108648119">
                          <w:marLeft w:val="0"/>
                          <w:marRight w:val="0"/>
                          <w:marTop w:val="0"/>
                          <w:marBottom w:val="0"/>
                          <w:divBdr>
                            <w:top w:val="none" w:sz="0" w:space="0" w:color="auto"/>
                            <w:left w:val="none" w:sz="0" w:space="0" w:color="auto"/>
                            <w:bottom w:val="none" w:sz="0" w:space="0" w:color="auto"/>
                            <w:right w:val="none" w:sz="0" w:space="0" w:color="auto"/>
                          </w:divBdr>
                          <w:divsChild>
                            <w:div w:id="920061665">
                              <w:marLeft w:val="0"/>
                              <w:marRight w:val="0"/>
                              <w:marTop w:val="0"/>
                              <w:marBottom w:val="0"/>
                              <w:divBdr>
                                <w:top w:val="none" w:sz="0" w:space="0" w:color="auto"/>
                                <w:left w:val="none" w:sz="0" w:space="0" w:color="auto"/>
                                <w:bottom w:val="none" w:sz="0" w:space="0" w:color="auto"/>
                                <w:right w:val="none" w:sz="0" w:space="0" w:color="auto"/>
                              </w:divBdr>
                            </w:div>
                            <w:div w:id="3016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747234">
      <w:bodyDiv w:val="1"/>
      <w:marLeft w:val="0"/>
      <w:marRight w:val="0"/>
      <w:marTop w:val="0"/>
      <w:marBottom w:val="0"/>
      <w:divBdr>
        <w:top w:val="none" w:sz="0" w:space="0" w:color="auto"/>
        <w:left w:val="none" w:sz="0" w:space="0" w:color="auto"/>
        <w:bottom w:val="none" w:sz="0" w:space="0" w:color="auto"/>
        <w:right w:val="none" w:sz="0" w:space="0" w:color="auto"/>
      </w:divBdr>
    </w:div>
    <w:div w:id="699168514">
      <w:bodyDiv w:val="1"/>
      <w:marLeft w:val="0"/>
      <w:marRight w:val="0"/>
      <w:marTop w:val="0"/>
      <w:marBottom w:val="0"/>
      <w:divBdr>
        <w:top w:val="none" w:sz="0" w:space="0" w:color="auto"/>
        <w:left w:val="none" w:sz="0" w:space="0" w:color="auto"/>
        <w:bottom w:val="none" w:sz="0" w:space="0" w:color="auto"/>
        <w:right w:val="none" w:sz="0" w:space="0" w:color="auto"/>
      </w:divBdr>
    </w:div>
    <w:div w:id="797382989">
      <w:bodyDiv w:val="1"/>
      <w:marLeft w:val="0"/>
      <w:marRight w:val="0"/>
      <w:marTop w:val="0"/>
      <w:marBottom w:val="0"/>
      <w:divBdr>
        <w:top w:val="none" w:sz="0" w:space="0" w:color="auto"/>
        <w:left w:val="none" w:sz="0" w:space="0" w:color="auto"/>
        <w:bottom w:val="none" w:sz="0" w:space="0" w:color="auto"/>
        <w:right w:val="none" w:sz="0" w:space="0" w:color="auto"/>
      </w:divBdr>
    </w:div>
    <w:div w:id="834805056">
      <w:bodyDiv w:val="1"/>
      <w:marLeft w:val="0"/>
      <w:marRight w:val="0"/>
      <w:marTop w:val="0"/>
      <w:marBottom w:val="0"/>
      <w:divBdr>
        <w:top w:val="none" w:sz="0" w:space="0" w:color="auto"/>
        <w:left w:val="none" w:sz="0" w:space="0" w:color="auto"/>
        <w:bottom w:val="none" w:sz="0" w:space="0" w:color="auto"/>
        <w:right w:val="none" w:sz="0" w:space="0" w:color="auto"/>
      </w:divBdr>
      <w:divsChild>
        <w:div w:id="813136589">
          <w:marLeft w:val="0"/>
          <w:marRight w:val="0"/>
          <w:marTop w:val="0"/>
          <w:marBottom w:val="0"/>
          <w:divBdr>
            <w:top w:val="none" w:sz="0" w:space="0" w:color="auto"/>
            <w:left w:val="none" w:sz="0" w:space="0" w:color="auto"/>
            <w:bottom w:val="none" w:sz="0" w:space="0" w:color="auto"/>
            <w:right w:val="none" w:sz="0" w:space="0" w:color="auto"/>
          </w:divBdr>
          <w:divsChild>
            <w:div w:id="1251696728">
              <w:marLeft w:val="0"/>
              <w:marRight w:val="0"/>
              <w:marTop w:val="0"/>
              <w:marBottom w:val="0"/>
              <w:divBdr>
                <w:top w:val="none" w:sz="0" w:space="0" w:color="auto"/>
                <w:left w:val="none" w:sz="0" w:space="0" w:color="auto"/>
                <w:bottom w:val="none" w:sz="0" w:space="0" w:color="auto"/>
                <w:right w:val="none" w:sz="0" w:space="0" w:color="auto"/>
              </w:divBdr>
            </w:div>
            <w:div w:id="1447579848">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sChild>
                    <w:div w:id="1868713732">
                      <w:marLeft w:val="0"/>
                      <w:marRight w:val="0"/>
                      <w:marTop w:val="0"/>
                      <w:marBottom w:val="0"/>
                      <w:divBdr>
                        <w:top w:val="none" w:sz="0" w:space="0" w:color="auto"/>
                        <w:left w:val="none" w:sz="0" w:space="0" w:color="auto"/>
                        <w:bottom w:val="none" w:sz="0" w:space="0" w:color="auto"/>
                        <w:right w:val="none" w:sz="0" w:space="0" w:color="auto"/>
                      </w:divBdr>
                    </w:div>
                    <w:div w:id="475296360">
                      <w:marLeft w:val="0"/>
                      <w:marRight w:val="0"/>
                      <w:marTop w:val="0"/>
                      <w:marBottom w:val="0"/>
                      <w:divBdr>
                        <w:top w:val="none" w:sz="0" w:space="0" w:color="auto"/>
                        <w:left w:val="none" w:sz="0" w:space="0" w:color="auto"/>
                        <w:bottom w:val="none" w:sz="0" w:space="0" w:color="auto"/>
                        <w:right w:val="none" w:sz="0" w:space="0" w:color="auto"/>
                      </w:divBdr>
                    </w:div>
                    <w:div w:id="1915234451">
                      <w:marLeft w:val="0"/>
                      <w:marRight w:val="0"/>
                      <w:marTop w:val="0"/>
                      <w:marBottom w:val="0"/>
                      <w:divBdr>
                        <w:top w:val="none" w:sz="0" w:space="0" w:color="auto"/>
                        <w:left w:val="none" w:sz="0" w:space="0" w:color="auto"/>
                        <w:bottom w:val="none" w:sz="0" w:space="0" w:color="auto"/>
                        <w:right w:val="none" w:sz="0" w:space="0" w:color="auto"/>
                      </w:divBdr>
                    </w:div>
                    <w:div w:id="201676585">
                      <w:marLeft w:val="0"/>
                      <w:marRight w:val="0"/>
                      <w:marTop w:val="0"/>
                      <w:marBottom w:val="0"/>
                      <w:divBdr>
                        <w:top w:val="none" w:sz="0" w:space="0" w:color="auto"/>
                        <w:left w:val="none" w:sz="0" w:space="0" w:color="auto"/>
                        <w:bottom w:val="none" w:sz="0" w:space="0" w:color="auto"/>
                        <w:right w:val="none" w:sz="0" w:space="0" w:color="auto"/>
                      </w:divBdr>
                      <w:divsChild>
                        <w:div w:id="83308935">
                          <w:marLeft w:val="0"/>
                          <w:marRight w:val="0"/>
                          <w:marTop w:val="0"/>
                          <w:marBottom w:val="0"/>
                          <w:divBdr>
                            <w:top w:val="none" w:sz="0" w:space="0" w:color="auto"/>
                            <w:left w:val="none" w:sz="0" w:space="0" w:color="auto"/>
                            <w:bottom w:val="none" w:sz="0" w:space="0" w:color="auto"/>
                            <w:right w:val="none" w:sz="0" w:space="0" w:color="auto"/>
                          </w:divBdr>
                          <w:divsChild>
                            <w:div w:id="735011766">
                              <w:marLeft w:val="0"/>
                              <w:marRight w:val="0"/>
                              <w:marTop w:val="0"/>
                              <w:marBottom w:val="0"/>
                              <w:divBdr>
                                <w:top w:val="none" w:sz="0" w:space="0" w:color="auto"/>
                                <w:left w:val="none" w:sz="0" w:space="0" w:color="auto"/>
                                <w:bottom w:val="none" w:sz="0" w:space="0" w:color="auto"/>
                                <w:right w:val="none" w:sz="0" w:space="0" w:color="auto"/>
                              </w:divBdr>
                            </w:div>
                            <w:div w:id="14401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89384">
      <w:bodyDiv w:val="1"/>
      <w:marLeft w:val="0"/>
      <w:marRight w:val="0"/>
      <w:marTop w:val="0"/>
      <w:marBottom w:val="0"/>
      <w:divBdr>
        <w:top w:val="none" w:sz="0" w:space="0" w:color="auto"/>
        <w:left w:val="none" w:sz="0" w:space="0" w:color="auto"/>
        <w:bottom w:val="none" w:sz="0" w:space="0" w:color="auto"/>
        <w:right w:val="none" w:sz="0" w:space="0" w:color="auto"/>
      </w:divBdr>
    </w:div>
    <w:div w:id="1068460615">
      <w:bodyDiv w:val="1"/>
      <w:marLeft w:val="0"/>
      <w:marRight w:val="0"/>
      <w:marTop w:val="0"/>
      <w:marBottom w:val="0"/>
      <w:divBdr>
        <w:top w:val="none" w:sz="0" w:space="0" w:color="auto"/>
        <w:left w:val="none" w:sz="0" w:space="0" w:color="auto"/>
        <w:bottom w:val="none" w:sz="0" w:space="0" w:color="auto"/>
        <w:right w:val="none" w:sz="0" w:space="0" w:color="auto"/>
      </w:divBdr>
    </w:div>
    <w:div w:id="1081835047">
      <w:bodyDiv w:val="1"/>
      <w:marLeft w:val="0"/>
      <w:marRight w:val="0"/>
      <w:marTop w:val="0"/>
      <w:marBottom w:val="0"/>
      <w:divBdr>
        <w:top w:val="none" w:sz="0" w:space="0" w:color="auto"/>
        <w:left w:val="none" w:sz="0" w:space="0" w:color="auto"/>
        <w:bottom w:val="none" w:sz="0" w:space="0" w:color="auto"/>
        <w:right w:val="none" w:sz="0" w:space="0" w:color="auto"/>
      </w:divBdr>
    </w:div>
    <w:div w:id="1141733545">
      <w:bodyDiv w:val="1"/>
      <w:marLeft w:val="0"/>
      <w:marRight w:val="0"/>
      <w:marTop w:val="0"/>
      <w:marBottom w:val="0"/>
      <w:divBdr>
        <w:top w:val="none" w:sz="0" w:space="0" w:color="auto"/>
        <w:left w:val="none" w:sz="0" w:space="0" w:color="auto"/>
        <w:bottom w:val="none" w:sz="0" w:space="0" w:color="auto"/>
        <w:right w:val="none" w:sz="0" w:space="0" w:color="auto"/>
      </w:divBdr>
    </w:div>
    <w:div w:id="1251501951">
      <w:bodyDiv w:val="1"/>
      <w:marLeft w:val="0"/>
      <w:marRight w:val="0"/>
      <w:marTop w:val="0"/>
      <w:marBottom w:val="0"/>
      <w:divBdr>
        <w:top w:val="none" w:sz="0" w:space="0" w:color="auto"/>
        <w:left w:val="none" w:sz="0" w:space="0" w:color="auto"/>
        <w:bottom w:val="none" w:sz="0" w:space="0" w:color="auto"/>
        <w:right w:val="none" w:sz="0" w:space="0" w:color="auto"/>
      </w:divBdr>
    </w:div>
    <w:div w:id="1270039630">
      <w:bodyDiv w:val="1"/>
      <w:marLeft w:val="0"/>
      <w:marRight w:val="0"/>
      <w:marTop w:val="0"/>
      <w:marBottom w:val="0"/>
      <w:divBdr>
        <w:top w:val="none" w:sz="0" w:space="0" w:color="auto"/>
        <w:left w:val="none" w:sz="0" w:space="0" w:color="auto"/>
        <w:bottom w:val="none" w:sz="0" w:space="0" w:color="auto"/>
        <w:right w:val="none" w:sz="0" w:space="0" w:color="auto"/>
      </w:divBdr>
    </w:div>
    <w:div w:id="1321350153">
      <w:bodyDiv w:val="1"/>
      <w:marLeft w:val="0"/>
      <w:marRight w:val="0"/>
      <w:marTop w:val="0"/>
      <w:marBottom w:val="0"/>
      <w:divBdr>
        <w:top w:val="none" w:sz="0" w:space="0" w:color="auto"/>
        <w:left w:val="none" w:sz="0" w:space="0" w:color="auto"/>
        <w:bottom w:val="none" w:sz="0" w:space="0" w:color="auto"/>
        <w:right w:val="none" w:sz="0" w:space="0" w:color="auto"/>
      </w:divBdr>
    </w:div>
    <w:div w:id="1369990273">
      <w:bodyDiv w:val="1"/>
      <w:marLeft w:val="0"/>
      <w:marRight w:val="0"/>
      <w:marTop w:val="0"/>
      <w:marBottom w:val="0"/>
      <w:divBdr>
        <w:top w:val="none" w:sz="0" w:space="0" w:color="auto"/>
        <w:left w:val="none" w:sz="0" w:space="0" w:color="auto"/>
        <w:bottom w:val="none" w:sz="0" w:space="0" w:color="auto"/>
        <w:right w:val="none" w:sz="0" w:space="0" w:color="auto"/>
      </w:divBdr>
    </w:div>
    <w:div w:id="1499736468">
      <w:bodyDiv w:val="1"/>
      <w:marLeft w:val="0"/>
      <w:marRight w:val="0"/>
      <w:marTop w:val="0"/>
      <w:marBottom w:val="0"/>
      <w:divBdr>
        <w:top w:val="none" w:sz="0" w:space="0" w:color="auto"/>
        <w:left w:val="none" w:sz="0" w:space="0" w:color="auto"/>
        <w:bottom w:val="none" w:sz="0" w:space="0" w:color="auto"/>
        <w:right w:val="none" w:sz="0" w:space="0" w:color="auto"/>
      </w:divBdr>
    </w:div>
    <w:div w:id="1524317046">
      <w:bodyDiv w:val="1"/>
      <w:marLeft w:val="0"/>
      <w:marRight w:val="0"/>
      <w:marTop w:val="0"/>
      <w:marBottom w:val="0"/>
      <w:divBdr>
        <w:top w:val="none" w:sz="0" w:space="0" w:color="auto"/>
        <w:left w:val="none" w:sz="0" w:space="0" w:color="auto"/>
        <w:bottom w:val="none" w:sz="0" w:space="0" w:color="auto"/>
        <w:right w:val="none" w:sz="0" w:space="0" w:color="auto"/>
      </w:divBdr>
    </w:div>
    <w:div w:id="1538466602">
      <w:bodyDiv w:val="1"/>
      <w:marLeft w:val="0"/>
      <w:marRight w:val="0"/>
      <w:marTop w:val="0"/>
      <w:marBottom w:val="0"/>
      <w:divBdr>
        <w:top w:val="none" w:sz="0" w:space="0" w:color="auto"/>
        <w:left w:val="none" w:sz="0" w:space="0" w:color="auto"/>
        <w:bottom w:val="none" w:sz="0" w:space="0" w:color="auto"/>
        <w:right w:val="none" w:sz="0" w:space="0" w:color="auto"/>
      </w:divBdr>
    </w:div>
    <w:div w:id="1631588873">
      <w:bodyDiv w:val="1"/>
      <w:marLeft w:val="0"/>
      <w:marRight w:val="0"/>
      <w:marTop w:val="0"/>
      <w:marBottom w:val="0"/>
      <w:divBdr>
        <w:top w:val="none" w:sz="0" w:space="0" w:color="auto"/>
        <w:left w:val="none" w:sz="0" w:space="0" w:color="auto"/>
        <w:bottom w:val="none" w:sz="0" w:space="0" w:color="auto"/>
        <w:right w:val="none" w:sz="0" w:space="0" w:color="auto"/>
      </w:divBdr>
      <w:divsChild>
        <w:div w:id="62488073">
          <w:marLeft w:val="0"/>
          <w:marRight w:val="0"/>
          <w:marTop w:val="0"/>
          <w:marBottom w:val="0"/>
          <w:divBdr>
            <w:top w:val="none" w:sz="0" w:space="0" w:color="auto"/>
            <w:left w:val="none" w:sz="0" w:space="0" w:color="auto"/>
            <w:bottom w:val="none" w:sz="0" w:space="0" w:color="auto"/>
            <w:right w:val="none" w:sz="0" w:space="0" w:color="auto"/>
          </w:divBdr>
        </w:div>
        <w:div w:id="1086881133">
          <w:marLeft w:val="0"/>
          <w:marRight w:val="0"/>
          <w:marTop w:val="0"/>
          <w:marBottom w:val="0"/>
          <w:divBdr>
            <w:top w:val="none" w:sz="0" w:space="0" w:color="auto"/>
            <w:left w:val="none" w:sz="0" w:space="0" w:color="auto"/>
            <w:bottom w:val="none" w:sz="0" w:space="0" w:color="auto"/>
            <w:right w:val="none" w:sz="0" w:space="0" w:color="auto"/>
          </w:divBdr>
        </w:div>
        <w:div w:id="1947998517">
          <w:marLeft w:val="0"/>
          <w:marRight w:val="0"/>
          <w:marTop w:val="0"/>
          <w:marBottom w:val="0"/>
          <w:divBdr>
            <w:top w:val="none" w:sz="0" w:space="0" w:color="auto"/>
            <w:left w:val="none" w:sz="0" w:space="0" w:color="auto"/>
            <w:bottom w:val="none" w:sz="0" w:space="0" w:color="auto"/>
            <w:right w:val="none" w:sz="0" w:space="0" w:color="auto"/>
          </w:divBdr>
        </w:div>
        <w:div w:id="427892441">
          <w:marLeft w:val="0"/>
          <w:marRight w:val="0"/>
          <w:marTop w:val="0"/>
          <w:marBottom w:val="0"/>
          <w:divBdr>
            <w:top w:val="none" w:sz="0" w:space="0" w:color="auto"/>
            <w:left w:val="none" w:sz="0" w:space="0" w:color="auto"/>
            <w:bottom w:val="none" w:sz="0" w:space="0" w:color="auto"/>
            <w:right w:val="none" w:sz="0" w:space="0" w:color="auto"/>
          </w:divBdr>
        </w:div>
        <w:div w:id="2090881522">
          <w:marLeft w:val="0"/>
          <w:marRight w:val="0"/>
          <w:marTop w:val="0"/>
          <w:marBottom w:val="0"/>
          <w:divBdr>
            <w:top w:val="none" w:sz="0" w:space="0" w:color="auto"/>
            <w:left w:val="none" w:sz="0" w:space="0" w:color="auto"/>
            <w:bottom w:val="none" w:sz="0" w:space="0" w:color="auto"/>
            <w:right w:val="none" w:sz="0" w:space="0" w:color="auto"/>
          </w:divBdr>
        </w:div>
        <w:div w:id="1453088370">
          <w:marLeft w:val="0"/>
          <w:marRight w:val="0"/>
          <w:marTop w:val="0"/>
          <w:marBottom w:val="0"/>
          <w:divBdr>
            <w:top w:val="none" w:sz="0" w:space="0" w:color="auto"/>
            <w:left w:val="none" w:sz="0" w:space="0" w:color="auto"/>
            <w:bottom w:val="none" w:sz="0" w:space="0" w:color="auto"/>
            <w:right w:val="none" w:sz="0" w:space="0" w:color="auto"/>
          </w:divBdr>
        </w:div>
        <w:div w:id="1851792732">
          <w:marLeft w:val="0"/>
          <w:marRight w:val="0"/>
          <w:marTop w:val="0"/>
          <w:marBottom w:val="0"/>
          <w:divBdr>
            <w:top w:val="none" w:sz="0" w:space="0" w:color="auto"/>
            <w:left w:val="none" w:sz="0" w:space="0" w:color="auto"/>
            <w:bottom w:val="none" w:sz="0" w:space="0" w:color="auto"/>
            <w:right w:val="none" w:sz="0" w:space="0" w:color="auto"/>
          </w:divBdr>
        </w:div>
      </w:divsChild>
    </w:div>
    <w:div w:id="1682197458">
      <w:bodyDiv w:val="1"/>
      <w:marLeft w:val="0"/>
      <w:marRight w:val="0"/>
      <w:marTop w:val="0"/>
      <w:marBottom w:val="0"/>
      <w:divBdr>
        <w:top w:val="none" w:sz="0" w:space="0" w:color="auto"/>
        <w:left w:val="none" w:sz="0" w:space="0" w:color="auto"/>
        <w:bottom w:val="none" w:sz="0" w:space="0" w:color="auto"/>
        <w:right w:val="none" w:sz="0" w:space="0" w:color="auto"/>
      </w:divBdr>
      <w:divsChild>
        <w:div w:id="1032651105">
          <w:marLeft w:val="0"/>
          <w:marRight w:val="0"/>
          <w:marTop w:val="0"/>
          <w:marBottom w:val="0"/>
          <w:divBdr>
            <w:top w:val="none" w:sz="0" w:space="0" w:color="auto"/>
            <w:left w:val="none" w:sz="0" w:space="0" w:color="auto"/>
            <w:bottom w:val="none" w:sz="0" w:space="0" w:color="auto"/>
            <w:right w:val="none" w:sz="0" w:space="0" w:color="auto"/>
          </w:divBdr>
        </w:div>
        <w:div w:id="1637225928">
          <w:marLeft w:val="0"/>
          <w:marRight w:val="0"/>
          <w:marTop w:val="0"/>
          <w:marBottom w:val="0"/>
          <w:divBdr>
            <w:top w:val="none" w:sz="0" w:space="0" w:color="auto"/>
            <w:left w:val="none" w:sz="0" w:space="0" w:color="auto"/>
            <w:bottom w:val="none" w:sz="0" w:space="0" w:color="auto"/>
            <w:right w:val="none" w:sz="0" w:space="0" w:color="auto"/>
          </w:divBdr>
        </w:div>
        <w:div w:id="653068488">
          <w:marLeft w:val="0"/>
          <w:marRight w:val="0"/>
          <w:marTop w:val="0"/>
          <w:marBottom w:val="0"/>
          <w:divBdr>
            <w:top w:val="none" w:sz="0" w:space="0" w:color="auto"/>
            <w:left w:val="none" w:sz="0" w:space="0" w:color="auto"/>
            <w:bottom w:val="none" w:sz="0" w:space="0" w:color="auto"/>
            <w:right w:val="none" w:sz="0" w:space="0" w:color="auto"/>
          </w:divBdr>
        </w:div>
        <w:div w:id="1548450895">
          <w:marLeft w:val="0"/>
          <w:marRight w:val="0"/>
          <w:marTop w:val="0"/>
          <w:marBottom w:val="0"/>
          <w:divBdr>
            <w:top w:val="none" w:sz="0" w:space="0" w:color="auto"/>
            <w:left w:val="none" w:sz="0" w:space="0" w:color="auto"/>
            <w:bottom w:val="none" w:sz="0" w:space="0" w:color="auto"/>
            <w:right w:val="none" w:sz="0" w:space="0" w:color="auto"/>
          </w:divBdr>
        </w:div>
        <w:div w:id="475226130">
          <w:marLeft w:val="0"/>
          <w:marRight w:val="0"/>
          <w:marTop w:val="0"/>
          <w:marBottom w:val="0"/>
          <w:divBdr>
            <w:top w:val="none" w:sz="0" w:space="0" w:color="auto"/>
            <w:left w:val="none" w:sz="0" w:space="0" w:color="auto"/>
            <w:bottom w:val="none" w:sz="0" w:space="0" w:color="auto"/>
            <w:right w:val="none" w:sz="0" w:space="0" w:color="auto"/>
          </w:divBdr>
        </w:div>
        <w:div w:id="1028142656">
          <w:marLeft w:val="0"/>
          <w:marRight w:val="0"/>
          <w:marTop w:val="0"/>
          <w:marBottom w:val="0"/>
          <w:divBdr>
            <w:top w:val="none" w:sz="0" w:space="0" w:color="auto"/>
            <w:left w:val="none" w:sz="0" w:space="0" w:color="auto"/>
            <w:bottom w:val="none" w:sz="0" w:space="0" w:color="auto"/>
            <w:right w:val="none" w:sz="0" w:space="0" w:color="auto"/>
          </w:divBdr>
        </w:div>
        <w:div w:id="1098216561">
          <w:marLeft w:val="0"/>
          <w:marRight w:val="0"/>
          <w:marTop w:val="0"/>
          <w:marBottom w:val="0"/>
          <w:divBdr>
            <w:top w:val="none" w:sz="0" w:space="0" w:color="auto"/>
            <w:left w:val="none" w:sz="0" w:space="0" w:color="auto"/>
            <w:bottom w:val="none" w:sz="0" w:space="0" w:color="auto"/>
            <w:right w:val="none" w:sz="0" w:space="0" w:color="auto"/>
          </w:divBdr>
        </w:div>
        <w:div w:id="731975038">
          <w:marLeft w:val="0"/>
          <w:marRight w:val="0"/>
          <w:marTop w:val="0"/>
          <w:marBottom w:val="0"/>
          <w:divBdr>
            <w:top w:val="none" w:sz="0" w:space="0" w:color="auto"/>
            <w:left w:val="none" w:sz="0" w:space="0" w:color="auto"/>
            <w:bottom w:val="none" w:sz="0" w:space="0" w:color="auto"/>
            <w:right w:val="none" w:sz="0" w:space="0" w:color="auto"/>
          </w:divBdr>
        </w:div>
        <w:div w:id="581916794">
          <w:marLeft w:val="0"/>
          <w:marRight w:val="0"/>
          <w:marTop w:val="0"/>
          <w:marBottom w:val="0"/>
          <w:divBdr>
            <w:top w:val="none" w:sz="0" w:space="0" w:color="auto"/>
            <w:left w:val="none" w:sz="0" w:space="0" w:color="auto"/>
            <w:bottom w:val="none" w:sz="0" w:space="0" w:color="auto"/>
            <w:right w:val="none" w:sz="0" w:space="0" w:color="auto"/>
          </w:divBdr>
        </w:div>
      </w:divsChild>
    </w:div>
    <w:div w:id="1908877244">
      <w:bodyDiv w:val="1"/>
      <w:marLeft w:val="0"/>
      <w:marRight w:val="0"/>
      <w:marTop w:val="0"/>
      <w:marBottom w:val="0"/>
      <w:divBdr>
        <w:top w:val="none" w:sz="0" w:space="0" w:color="auto"/>
        <w:left w:val="none" w:sz="0" w:space="0" w:color="auto"/>
        <w:bottom w:val="none" w:sz="0" w:space="0" w:color="auto"/>
        <w:right w:val="none" w:sz="0" w:space="0" w:color="auto"/>
      </w:divBdr>
    </w:div>
    <w:div w:id="1972712025">
      <w:bodyDiv w:val="1"/>
      <w:marLeft w:val="0"/>
      <w:marRight w:val="0"/>
      <w:marTop w:val="0"/>
      <w:marBottom w:val="0"/>
      <w:divBdr>
        <w:top w:val="none" w:sz="0" w:space="0" w:color="auto"/>
        <w:left w:val="none" w:sz="0" w:space="0" w:color="auto"/>
        <w:bottom w:val="none" w:sz="0" w:space="0" w:color="auto"/>
        <w:right w:val="none" w:sz="0" w:space="0" w:color="auto"/>
      </w:divBdr>
    </w:div>
    <w:div w:id="1993176538">
      <w:bodyDiv w:val="1"/>
      <w:marLeft w:val="0"/>
      <w:marRight w:val="0"/>
      <w:marTop w:val="0"/>
      <w:marBottom w:val="0"/>
      <w:divBdr>
        <w:top w:val="none" w:sz="0" w:space="0" w:color="auto"/>
        <w:left w:val="none" w:sz="0" w:space="0" w:color="auto"/>
        <w:bottom w:val="none" w:sz="0" w:space="0" w:color="auto"/>
        <w:right w:val="none" w:sz="0" w:space="0" w:color="auto"/>
      </w:divBdr>
      <w:divsChild>
        <w:div w:id="545680101">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
            <w:div w:id="114102117">
              <w:marLeft w:val="0"/>
              <w:marRight w:val="0"/>
              <w:marTop w:val="0"/>
              <w:marBottom w:val="0"/>
              <w:divBdr>
                <w:top w:val="none" w:sz="0" w:space="0" w:color="auto"/>
                <w:left w:val="none" w:sz="0" w:space="0" w:color="auto"/>
                <w:bottom w:val="none" w:sz="0" w:space="0" w:color="auto"/>
                <w:right w:val="none" w:sz="0" w:space="0" w:color="auto"/>
              </w:divBdr>
              <w:divsChild>
                <w:div w:id="1007562165">
                  <w:marLeft w:val="0"/>
                  <w:marRight w:val="0"/>
                  <w:marTop w:val="0"/>
                  <w:marBottom w:val="0"/>
                  <w:divBdr>
                    <w:top w:val="none" w:sz="0" w:space="0" w:color="auto"/>
                    <w:left w:val="none" w:sz="0" w:space="0" w:color="auto"/>
                    <w:bottom w:val="none" w:sz="0" w:space="0" w:color="auto"/>
                    <w:right w:val="none" w:sz="0" w:space="0" w:color="auto"/>
                  </w:divBdr>
                  <w:divsChild>
                    <w:div w:id="1185169681">
                      <w:marLeft w:val="0"/>
                      <w:marRight w:val="0"/>
                      <w:marTop w:val="0"/>
                      <w:marBottom w:val="0"/>
                      <w:divBdr>
                        <w:top w:val="none" w:sz="0" w:space="0" w:color="auto"/>
                        <w:left w:val="none" w:sz="0" w:space="0" w:color="auto"/>
                        <w:bottom w:val="none" w:sz="0" w:space="0" w:color="auto"/>
                        <w:right w:val="none" w:sz="0" w:space="0" w:color="auto"/>
                      </w:divBdr>
                    </w:div>
                    <w:div w:id="358941476">
                      <w:marLeft w:val="0"/>
                      <w:marRight w:val="0"/>
                      <w:marTop w:val="0"/>
                      <w:marBottom w:val="0"/>
                      <w:divBdr>
                        <w:top w:val="none" w:sz="0" w:space="0" w:color="auto"/>
                        <w:left w:val="none" w:sz="0" w:space="0" w:color="auto"/>
                        <w:bottom w:val="none" w:sz="0" w:space="0" w:color="auto"/>
                        <w:right w:val="none" w:sz="0" w:space="0" w:color="auto"/>
                      </w:divBdr>
                    </w:div>
                    <w:div w:id="1643390758">
                      <w:marLeft w:val="0"/>
                      <w:marRight w:val="0"/>
                      <w:marTop w:val="0"/>
                      <w:marBottom w:val="0"/>
                      <w:divBdr>
                        <w:top w:val="none" w:sz="0" w:space="0" w:color="auto"/>
                        <w:left w:val="none" w:sz="0" w:space="0" w:color="auto"/>
                        <w:bottom w:val="none" w:sz="0" w:space="0" w:color="auto"/>
                        <w:right w:val="none" w:sz="0" w:space="0" w:color="auto"/>
                      </w:divBdr>
                    </w:div>
                    <w:div w:id="1587962458">
                      <w:marLeft w:val="0"/>
                      <w:marRight w:val="0"/>
                      <w:marTop w:val="0"/>
                      <w:marBottom w:val="0"/>
                      <w:divBdr>
                        <w:top w:val="none" w:sz="0" w:space="0" w:color="auto"/>
                        <w:left w:val="none" w:sz="0" w:space="0" w:color="auto"/>
                        <w:bottom w:val="none" w:sz="0" w:space="0" w:color="auto"/>
                        <w:right w:val="none" w:sz="0" w:space="0" w:color="auto"/>
                      </w:divBdr>
                      <w:divsChild>
                        <w:div w:id="639572839">
                          <w:marLeft w:val="0"/>
                          <w:marRight w:val="0"/>
                          <w:marTop w:val="0"/>
                          <w:marBottom w:val="0"/>
                          <w:divBdr>
                            <w:top w:val="none" w:sz="0" w:space="0" w:color="auto"/>
                            <w:left w:val="none" w:sz="0" w:space="0" w:color="auto"/>
                            <w:bottom w:val="none" w:sz="0" w:space="0" w:color="auto"/>
                            <w:right w:val="none" w:sz="0" w:space="0" w:color="auto"/>
                          </w:divBdr>
                          <w:divsChild>
                            <w:div w:id="1135025373">
                              <w:marLeft w:val="0"/>
                              <w:marRight w:val="0"/>
                              <w:marTop w:val="0"/>
                              <w:marBottom w:val="0"/>
                              <w:divBdr>
                                <w:top w:val="none" w:sz="0" w:space="0" w:color="auto"/>
                                <w:left w:val="none" w:sz="0" w:space="0" w:color="auto"/>
                                <w:bottom w:val="none" w:sz="0" w:space="0" w:color="auto"/>
                                <w:right w:val="none" w:sz="0" w:space="0" w:color="auto"/>
                              </w:divBdr>
                            </w:div>
                            <w:div w:id="20029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0440">
      <w:bodyDiv w:val="1"/>
      <w:marLeft w:val="0"/>
      <w:marRight w:val="0"/>
      <w:marTop w:val="0"/>
      <w:marBottom w:val="0"/>
      <w:divBdr>
        <w:top w:val="none" w:sz="0" w:space="0" w:color="auto"/>
        <w:left w:val="none" w:sz="0" w:space="0" w:color="auto"/>
        <w:bottom w:val="none" w:sz="0" w:space="0" w:color="auto"/>
        <w:right w:val="none" w:sz="0" w:space="0" w:color="auto"/>
      </w:divBdr>
    </w:div>
    <w:div w:id="2020690094">
      <w:bodyDiv w:val="1"/>
      <w:marLeft w:val="0"/>
      <w:marRight w:val="0"/>
      <w:marTop w:val="0"/>
      <w:marBottom w:val="0"/>
      <w:divBdr>
        <w:top w:val="none" w:sz="0" w:space="0" w:color="auto"/>
        <w:left w:val="none" w:sz="0" w:space="0" w:color="auto"/>
        <w:bottom w:val="none" w:sz="0" w:space="0" w:color="auto"/>
        <w:right w:val="none" w:sz="0" w:space="0" w:color="auto"/>
      </w:divBdr>
    </w:div>
    <w:div w:id="2072386282">
      <w:bodyDiv w:val="1"/>
      <w:marLeft w:val="0"/>
      <w:marRight w:val="0"/>
      <w:marTop w:val="0"/>
      <w:marBottom w:val="0"/>
      <w:divBdr>
        <w:top w:val="none" w:sz="0" w:space="0" w:color="auto"/>
        <w:left w:val="none" w:sz="0" w:space="0" w:color="auto"/>
        <w:bottom w:val="none" w:sz="0" w:space="0" w:color="auto"/>
        <w:right w:val="none" w:sz="0" w:space="0" w:color="auto"/>
      </w:divBdr>
      <w:divsChild>
        <w:div w:id="1328829512">
          <w:marLeft w:val="0"/>
          <w:marRight w:val="0"/>
          <w:marTop w:val="0"/>
          <w:marBottom w:val="0"/>
          <w:divBdr>
            <w:top w:val="none" w:sz="0" w:space="0" w:color="auto"/>
            <w:left w:val="none" w:sz="0" w:space="0" w:color="auto"/>
            <w:bottom w:val="none" w:sz="0" w:space="0" w:color="auto"/>
            <w:right w:val="none" w:sz="0" w:space="0" w:color="auto"/>
          </w:divBdr>
          <w:divsChild>
            <w:div w:id="1617060535">
              <w:marLeft w:val="0"/>
              <w:marRight w:val="0"/>
              <w:marTop w:val="0"/>
              <w:marBottom w:val="0"/>
              <w:divBdr>
                <w:top w:val="none" w:sz="0" w:space="0" w:color="auto"/>
                <w:left w:val="none" w:sz="0" w:space="0" w:color="auto"/>
                <w:bottom w:val="none" w:sz="0" w:space="0" w:color="auto"/>
                <w:right w:val="none" w:sz="0" w:space="0" w:color="auto"/>
              </w:divBdr>
            </w:div>
            <w:div w:id="443036517">
              <w:marLeft w:val="0"/>
              <w:marRight w:val="0"/>
              <w:marTop w:val="0"/>
              <w:marBottom w:val="0"/>
              <w:divBdr>
                <w:top w:val="none" w:sz="0" w:space="0" w:color="auto"/>
                <w:left w:val="none" w:sz="0" w:space="0" w:color="auto"/>
                <w:bottom w:val="none" w:sz="0" w:space="0" w:color="auto"/>
                <w:right w:val="none" w:sz="0" w:space="0" w:color="auto"/>
              </w:divBdr>
              <w:divsChild>
                <w:div w:id="942883708">
                  <w:marLeft w:val="0"/>
                  <w:marRight w:val="0"/>
                  <w:marTop w:val="0"/>
                  <w:marBottom w:val="0"/>
                  <w:divBdr>
                    <w:top w:val="none" w:sz="0" w:space="0" w:color="auto"/>
                    <w:left w:val="none" w:sz="0" w:space="0" w:color="auto"/>
                    <w:bottom w:val="none" w:sz="0" w:space="0" w:color="auto"/>
                    <w:right w:val="none" w:sz="0" w:space="0" w:color="auto"/>
                  </w:divBdr>
                  <w:divsChild>
                    <w:div w:id="278494221">
                      <w:marLeft w:val="0"/>
                      <w:marRight w:val="0"/>
                      <w:marTop w:val="0"/>
                      <w:marBottom w:val="0"/>
                      <w:divBdr>
                        <w:top w:val="none" w:sz="0" w:space="0" w:color="auto"/>
                        <w:left w:val="none" w:sz="0" w:space="0" w:color="auto"/>
                        <w:bottom w:val="none" w:sz="0" w:space="0" w:color="auto"/>
                        <w:right w:val="none" w:sz="0" w:space="0" w:color="auto"/>
                      </w:divBdr>
                    </w:div>
                    <w:div w:id="464009925">
                      <w:marLeft w:val="0"/>
                      <w:marRight w:val="0"/>
                      <w:marTop w:val="0"/>
                      <w:marBottom w:val="0"/>
                      <w:divBdr>
                        <w:top w:val="none" w:sz="0" w:space="0" w:color="auto"/>
                        <w:left w:val="none" w:sz="0" w:space="0" w:color="auto"/>
                        <w:bottom w:val="none" w:sz="0" w:space="0" w:color="auto"/>
                        <w:right w:val="none" w:sz="0" w:space="0" w:color="auto"/>
                      </w:divBdr>
                    </w:div>
                    <w:div w:id="1280139160">
                      <w:marLeft w:val="0"/>
                      <w:marRight w:val="0"/>
                      <w:marTop w:val="0"/>
                      <w:marBottom w:val="0"/>
                      <w:divBdr>
                        <w:top w:val="none" w:sz="0" w:space="0" w:color="auto"/>
                        <w:left w:val="none" w:sz="0" w:space="0" w:color="auto"/>
                        <w:bottom w:val="none" w:sz="0" w:space="0" w:color="auto"/>
                        <w:right w:val="none" w:sz="0" w:space="0" w:color="auto"/>
                      </w:divBdr>
                    </w:div>
                    <w:div w:id="1733504642">
                      <w:marLeft w:val="0"/>
                      <w:marRight w:val="0"/>
                      <w:marTop w:val="0"/>
                      <w:marBottom w:val="0"/>
                      <w:divBdr>
                        <w:top w:val="none" w:sz="0" w:space="0" w:color="auto"/>
                        <w:left w:val="none" w:sz="0" w:space="0" w:color="auto"/>
                        <w:bottom w:val="none" w:sz="0" w:space="0" w:color="auto"/>
                        <w:right w:val="none" w:sz="0" w:space="0" w:color="auto"/>
                      </w:divBdr>
                      <w:divsChild>
                        <w:div w:id="1828936620">
                          <w:marLeft w:val="0"/>
                          <w:marRight w:val="0"/>
                          <w:marTop w:val="0"/>
                          <w:marBottom w:val="0"/>
                          <w:divBdr>
                            <w:top w:val="none" w:sz="0" w:space="0" w:color="auto"/>
                            <w:left w:val="none" w:sz="0" w:space="0" w:color="auto"/>
                            <w:bottom w:val="none" w:sz="0" w:space="0" w:color="auto"/>
                            <w:right w:val="none" w:sz="0" w:space="0" w:color="auto"/>
                          </w:divBdr>
                          <w:divsChild>
                            <w:div w:id="1184904283">
                              <w:marLeft w:val="0"/>
                              <w:marRight w:val="0"/>
                              <w:marTop w:val="0"/>
                              <w:marBottom w:val="0"/>
                              <w:divBdr>
                                <w:top w:val="none" w:sz="0" w:space="0" w:color="auto"/>
                                <w:left w:val="none" w:sz="0" w:space="0" w:color="auto"/>
                                <w:bottom w:val="none" w:sz="0" w:space="0" w:color="auto"/>
                                <w:right w:val="none" w:sz="0" w:space="0" w:color="auto"/>
                              </w:divBdr>
                            </w:div>
                            <w:div w:id="19354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package" Target="embeddings/Feuille_de_calcul_Microsoft_Excel.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6570-2910-4868-AB81-E6894452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89</Pages>
  <Words>21565</Words>
  <Characters>118608</Characters>
  <Application>Microsoft Office Word</Application>
  <DocSecurity>0</DocSecurity>
  <Lines>988</Lines>
  <Paragraphs>279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health.fgov.be</Company>
  <LinksUpToDate>false</LinksUpToDate>
  <CharactersWithSpaces>139894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Brandt Charlotte</dc:creator>
  <cp:lastModifiedBy>BENUSZAK Johanna</cp:lastModifiedBy>
  <cp:revision>39</cp:revision>
  <cp:lastPrinted>2019-05-10T12:10:00Z</cp:lastPrinted>
  <dcterms:created xsi:type="dcterms:W3CDTF">2019-01-29T13:19:00Z</dcterms:created>
  <dcterms:modified xsi:type="dcterms:W3CDTF">2020-06-22T08:54:00Z</dcterms:modified>
</cp:coreProperties>
</file>