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F4E38" w14:textId="107118CE" w:rsidR="00961F4D" w:rsidRPr="008C195F" w:rsidRDefault="001203DA" w:rsidP="00961F4D">
      <w:pPr>
        <w:rPr>
          <w:rFonts w:ascii="Calibri" w:hAnsi="Calibri"/>
          <w:b/>
        </w:rPr>
      </w:pPr>
      <w:r w:rsidRPr="008C195F">
        <w:rPr>
          <w:rFonts w:ascii="Calibri" w:hAnsi="Calibri"/>
          <w:b/>
        </w:rPr>
        <w:object w:dxaOrig="9072" w:dyaOrig="3315" w14:anchorId="4F4885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162.75pt" o:ole="">
            <v:imagedata r:id="rId8" o:title=""/>
          </v:shape>
          <o:OLEObject Type="Link" ProgID="Word.Document.8" ShapeID="_x0000_i1025" DrawAspect="Content" r:id="rId9" UpdateMode="Always">
            <o:LinkType>EnhancedMetaFile</o:LinkType>
            <o:LockedField>false</o:LockedField>
            <o:FieldCodes>\f 0 \* MERGEFORMAT</o:FieldCodes>
          </o:OLEObject>
        </w:object>
      </w:r>
    </w:p>
    <w:p w14:paraId="1FE87CCF" w14:textId="77777777" w:rsidR="00714080" w:rsidRPr="008C195F" w:rsidRDefault="00714080" w:rsidP="00714080">
      <w:pPr>
        <w:rPr>
          <w:rFonts w:ascii="Calibri" w:hAnsi="Calibri"/>
          <w:b/>
        </w:rPr>
      </w:pPr>
    </w:p>
    <w:p w14:paraId="3508C919" w14:textId="77777777" w:rsidR="00222660" w:rsidRPr="008C195F" w:rsidRDefault="00222660" w:rsidP="00472F75">
      <w:pPr>
        <w:numPr>
          <w:ilvl w:val="1"/>
          <w:numId w:val="9"/>
        </w:numPr>
        <w:rPr>
          <w:rFonts w:ascii="Calibri" w:hAnsi="Calibri"/>
          <w:b/>
        </w:rPr>
      </w:pPr>
      <w:r w:rsidRPr="008C195F">
        <w:rPr>
          <w:rFonts w:ascii="Calibri" w:hAnsi="Calibri"/>
          <w:b/>
        </w:rPr>
        <w:t>BESLUIT</w:t>
      </w:r>
    </w:p>
    <w:p w14:paraId="2D178AE4" w14:textId="77777777" w:rsidR="00222660" w:rsidRPr="008C195F" w:rsidRDefault="00222660" w:rsidP="00222660">
      <w:pPr>
        <w:rPr>
          <w:rFonts w:ascii="Calibri" w:hAnsi="Calibri"/>
          <w:b/>
        </w:rPr>
      </w:pPr>
    </w:p>
    <w:p w14:paraId="7B381940" w14:textId="1506E0C5" w:rsidR="00472F75" w:rsidRPr="008C195F" w:rsidRDefault="00472F75" w:rsidP="004977CE">
      <w:pPr>
        <w:pStyle w:val="Calibri11"/>
        <w:rPr>
          <w:rFonts w:cs="Arial"/>
        </w:rPr>
      </w:pPr>
      <w:r w:rsidRPr="008C195F">
        <w:t>Gelet op de aanvraag als bedoeld in artikel 32 van Verordening (EU) 528/2012, d.d.</w:t>
      </w:r>
      <w:r w:rsidR="006646E1">
        <w:t xml:space="preserve"> 3</w:t>
      </w:r>
      <w:r>
        <w:t xml:space="preserve"> oktober 2019</w:t>
      </w:r>
      <w:r>
        <w:rPr>
          <w:rFonts w:cs="Arial"/>
        </w:rPr>
        <w:t xml:space="preserve"> </w:t>
      </w:r>
      <w:r w:rsidRPr="008C195F">
        <w:t>(</w:t>
      </w:r>
      <w:r>
        <w:t>Opeenvolgende wederzijdse erkenning</w:t>
      </w:r>
      <w:r w:rsidRPr="008C195F">
        <w:t xml:space="preserve">) van </w:t>
      </w:r>
    </w:p>
    <w:p w14:paraId="322DB6F2" w14:textId="77777777" w:rsidR="00222660" w:rsidRPr="008C195F" w:rsidRDefault="00222660" w:rsidP="00222660">
      <w:pPr>
        <w:rPr>
          <w:rFonts w:ascii="Calibri" w:hAnsi="Calibri" w:cs="Arial"/>
        </w:rPr>
      </w:pPr>
    </w:p>
    <w:p w14:paraId="1ED01DC9" w14:textId="77777777" w:rsidR="00222660" w:rsidRPr="008C195F" w:rsidRDefault="00222660" w:rsidP="00222660">
      <w:pPr>
        <w:rPr>
          <w:rFonts w:ascii="Calibri" w:hAnsi="Calibri"/>
          <w:b/>
        </w:rPr>
      </w:pPr>
    </w:p>
    <w:p w14:paraId="31136084" w14:textId="77777777" w:rsidR="00B31648" w:rsidRPr="00824C65" w:rsidRDefault="00B31648" w:rsidP="004977CE">
      <w:pPr>
        <w:pStyle w:val="Calibri11"/>
        <w:ind w:firstLine="1418"/>
        <w:rPr>
          <w:lang w:val="en-US"/>
        </w:rPr>
      </w:pPr>
      <w:r w:rsidRPr="00824C65">
        <w:rPr>
          <w:lang w:val="en-US"/>
        </w:rPr>
        <w:t>PelGar International Limited</w:t>
      </w:r>
    </w:p>
    <w:p w14:paraId="4F6A8025" w14:textId="77777777" w:rsidR="00B31648" w:rsidRPr="00824C65" w:rsidRDefault="00B31648" w:rsidP="004977CE">
      <w:pPr>
        <w:pStyle w:val="Calibri11"/>
        <w:ind w:firstLine="1418"/>
        <w:rPr>
          <w:lang w:val="en-US"/>
        </w:rPr>
      </w:pPr>
      <w:r w:rsidRPr="00824C65">
        <w:rPr>
          <w:lang w:val="en-US"/>
        </w:rPr>
        <w:t xml:space="preserve">18 rue des Remparts d'Ainay  </w:t>
      </w:r>
    </w:p>
    <w:p w14:paraId="43C2DD43" w14:textId="77777777" w:rsidR="00B31648" w:rsidRPr="00B31648" w:rsidRDefault="00B31648" w:rsidP="004977CE">
      <w:pPr>
        <w:pStyle w:val="Calibri11"/>
        <w:ind w:firstLine="1418"/>
      </w:pPr>
      <w:r>
        <w:t>FR-69002 LYON</w:t>
      </w:r>
    </w:p>
    <w:p w14:paraId="25AF3AAB" w14:textId="5C7C7227" w:rsidR="00222660" w:rsidRPr="008C195F" w:rsidRDefault="00B31648" w:rsidP="004977CE">
      <w:pPr>
        <w:pStyle w:val="Calibri11"/>
        <w:ind w:firstLine="1418"/>
      </w:pPr>
      <w:r>
        <w:t>Fr</w:t>
      </w:r>
      <w:r w:rsidR="00AB59A1">
        <w:t>ankrijk</w:t>
      </w:r>
    </w:p>
    <w:p w14:paraId="4E6A781B" w14:textId="77777777" w:rsidR="00222660" w:rsidRPr="008C195F" w:rsidRDefault="00222660" w:rsidP="00222660">
      <w:pPr>
        <w:rPr>
          <w:rFonts w:ascii="Calibri" w:hAnsi="Calibri"/>
          <w:b/>
        </w:rPr>
      </w:pPr>
    </w:p>
    <w:p w14:paraId="658E704F" w14:textId="77777777" w:rsidR="00472F75" w:rsidRPr="008C195F" w:rsidRDefault="00472F75" w:rsidP="00222660">
      <w:pPr>
        <w:rPr>
          <w:rFonts w:ascii="Calibri" w:hAnsi="Calibri"/>
          <w:bCs/>
        </w:rPr>
      </w:pPr>
    </w:p>
    <w:p w14:paraId="24777200" w14:textId="77777777" w:rsidR="00222660" w:rsidRPr="008C195F" w:rsidRDefault="00472F75" w:rsidP="00222660">
      <w:pPr>
        <w:rPr>
          <w:rFonts w:ascii="Calibri" w:hAnsi="Calibri"/>
          <w:b/>
        </w:rPr>
      </w:pPr>
      <w:r w:rsidRPr="008C195F">
        <w:rPr>
          <w:rFonts w:ascii="Calibri" w:hAnsi="Calibri" w:cs="Arial"/>
          <w:spacing w:val="-2"/>
        </w:rPr>
        <w:t xml:space="preserve">tot verkrijging van een toelating als bedoeld in artikel 19 van de Verordening (EU) 528/2012, voor het biocide </w:t>
      </w:r>
    </w:p>
    <w:p w14:paraId="155D21AD" w14:textId="77777777" w:rsidR="00472F75" w:rsidRPr="008C195F" w:rsidRDefault="00472F75" w:rsidP="00222660">
      <w:pPr>
        <w:rPr>
          <w:rFonts w:ascii="Calibri" w:hAnsi="Calibri"/>
          <w:b/>
        </w:rPr>
      </w:pPr>
    </w:p>
    <w:p w14:paraId="662E7460" w14:textId="1F337BFE" w:rsidR="00CF60AB" w:rsidRDefault="00CF60AB" w:rsidP="00CF60AB">
      <w:pPr>
        <w:pStyle w:val="Calibri11"/>
        <w:jc w:val="center"/>
        <w:rPr>
          <w:b/>
        </w:rPr>
      </w:pPr>
      <w:r w:rsidRPr="00237216">
        <w:rPr>
          <w:b/>
        </w:rPr>
        <w:t>Vertox Oktablok</w:t>
      </w:r>
    </w:p>
    <w:p w14:paraId="30E19BC0" w14:textId="1F7853AA" w:rsidR="00222660" w:rsidRPr="00237216" w:rsidRDefault="00222660" w:rsidP="00CF60AB">
      <w:pPr>
        <w:pStyle w:val="Calibri11"/>
        <w:jc w:val="center"/>
        <w:rPr>
          <w:b/>
          <w:bCs/>
        </w:rPr>
      </w:pPr>
      <w:r w:rsidRPr="00237216">
        <w:rPr>
          <w:b/>
        </w:rPr>
        <w:t>Vertox Oktablok</w:t>
      </w:r>
      <w:r w:rsidR="00237216" w:rsidRPr="00237216">
        <w:rPr>
          <w:b/>
        </w:rPr>
        <w:t xml:space="preserve"> Pro</w:t>
      </w:r>
    </w:p>
    <w:p w14:paraId="5A20ED8A" w14:textId="77777777" w:rsidR="00222660" w:rsidRPr="008C195F" w:rsidRDefault="00222660" w:rsidP="004977CE">
      <w:pPr>
        <w:pStyle w:val="Calibri11"/>
        <w:rPr>
          <w:b/>
        </w:rPr>
      </w:pPr>
    </w:p>
    <w:p w14:paraId="57A491F6" w14:textId="1FC2657E" w:rsidR="00222660" w:rsidRPr="008C195F" w:rsidRDefault="00222660" w:rsidP="004977CE">
      <w:pPr>
        <w:pStyle w:val="Calibri11"/>
        <w:rPr>
          <w:bCs/>
        </w:rPr>
      </w:pPr>
      <w:r w:rsidRPr="008C195F">
        <w:rPr>
          <w:bCs/>
        </w:rPr>
        <w:t>op basis van de werkzame stof</w:t>
      </w:r>
      <w:r w:rsidR="00AB59A1">
        <w:rPr>
          <w:bCs/>
        </w:rPr>
        <w:t xml:space="preserve"> </w:t>
      </w:r>
      <w:r w:rsidR="00AB59A1">
        <w:rPr>
          <w:rFonts w:asciiTheme="minorHAnsi" w:hAnsiTheme="minorHAnsi" w:cstheme="minorHAnsi"/>
        </w:rPr>
        <w:t>b</w:t>
      </w:r>
      <w:r w:rsidR="00AB59A1" w:rsidRPr="00B309CE">
        <w:rPr>
          <w:rFonts w:asciiTheme="minorHAnsi" w:hAnsiTheme="minorHAnsi" w:cstheme="minorHAnsi"/>
        </w:rPr>
        <w:t>rodifacoum</w:t>
      </w:r>
    </w:p>
    <w:p w14:paraId="5F8079B6" w14:textId="77777777" w:rsidR="00222660" w:rsidRPr="008C195F" w:rsidRDefault="00222660" w:rsidP="00222660">
      <w:pPr>
        <w:rPr>
          <w:rFonts w:ascii="Calibri" w:hAnsi="Calibri"/>
          <w:b/>
        </w:rPr>
      </w:pPr>
    </w:p>
    <w:p w14:paraId="5ECA11CF" w14:textId="77777777" w:rsidR="00472F75" w:rsidRPr="008C195F" w:rsidRDefault="00472F75" w:rsidP="00222660">
      <w:pPr>
        <w:rPr>
          <w:rFonts w:ascii="Calibri" w:hAnsi="Calibri"/>
          <w:b/>
        </w:rPr>
      </w:pPr>
    </w:p>
    <w:p w14:paraId="091A121C" w14:textId="77777777" w:rsidR="00222660" w:rsidRPr="008C195F" w:rsidRDefault="00BF2211" w:rsidP="00222660">
      <w:pPr>
        <w:rPr>
          <w:rFonts w:ascii="Calibri" w:hAnsi="Calibri" w:cs="Arial"/>
        </w:rPr>
      </w:pPr>
      <w:r w:rsidRPr="008C195F">
        <w:rPr>
          <w:rFonts w:ascii="Calibri" w:hAnsi="Calibri" w:cs="Arial"/>
          <w:b/>
        </w:rPr>
        <w:t xml:space="preserve">BESLUIT </w:t>
      </w:r>
      <w:r w:rsidR="00472F75" w:rsidRPr="008C195F">
        <w:rPr>
          <w:rFonts w:ascii="Calibri" w:hAnsi="Calibri" w:cs="Arial"/>
          <w:b/>
        </w:rPr>
        <w:t xml:space="preserve">HET COLLEGE </w:t>
      </w:r>
      <w:r w:rsidR="00472F75" w:rsidRPr="008C195F">
        <w:rPr>
          <w:rFonts w:ascii="Calibri" w:hAnsi="Calibri" w:cs="Arial"/>
        </w:rPr>
        <w:t>als volgt:</w:t>
      </w:r>
    </w:p>
    <w:p w14:paraId="483582D4" w14:textId="77777777" w:rsidR="00222660" w:rsidRPr="008C195F" w:rsidRDefault="00222660" w:rsidP="00222660">
      <w:pPr>
        <w:rPr>
          <w:rFonts w:ascii="Calibri" w:hAnsi="Calibri"/>
          <w:b/>
        </w:rPr>
      </w:pPr>
    </w:p>
    <w:p w14:paraId="0C779DB0" w14:textId="77777777" w:rsidR="007505FE" w:rsidRPr="008C195F" w:rsidRDefault="007505FE" w:rsidP="007505FE">
      <w:pPr>
        <w:overflowPunct w:val="0"/>
        <w:autoSpaceDE w:val="0"/>
        <w:autoSpaceDN w:val="0"/>
        <w:adjustRightInd w:val="0"/>
        <w:textAlignment w:val="baseline"/>
        <w:rPr>
          <w:rFonts w:ascii="Calibri" w:hAnsi="Calibri"/>
          <w:b/>
        </w:rPr>
      </w:pPr>
      <w:r w:rsidRPr="008C195F">
        <w:rPr>
          <w:rFonts w:ascii="Calibri" w:hAnsi="Calibri"/>
          <w:b/>
        </w:rPr>
        <w:t>1.1 Toepassingen</w:t>
      </w:r>
    </w:p>
    <w:p w14:paraId="63E921BB" w14:textId="3ABE2B56" w:rsidR="007505FE" w:rsidRPr="008C195F" w:rsidRDefault="007505FE" w:rsidP="00A11091">
      <w:pPr>
        <w:pStyle w:val="Calibri11"/>
        <w:rPr>
          <w:b/>
        </w:rPr>
      </w:pPr>
      <w:r w:rsidRPr="00A11091">
        <w:t xml:space="preserve">Het middel </w:t>
      </w:r>
      <w:r>
        <w:t>Vertox Oktablok</w:t>
      </w:r>
      <w:r w:rsidR="00CF60AB">
        <w:t xml:space="preserve"> / Vertox Oktablok Pro</w:t>
      </w:r>
      <w:r>
        <w:t xml:space="preserve"> wordt toegelaten als </w:t>
      </w:r>
      <w:r w:rsidR="00AB59A1">
        <w:t>r</w:t>
      </w:r>
      <w:r w:rsidR="00AB59A1" w:rsidRPr="00AB59A1">
        <w:t xml:space="preserve">odenticide </w:t>
      </w:r>
      <w:r w:rsidR="00AB59A1">
        <w:t xml:space="preserve">(PT14) </w:t>
      </w:r>
      <w:r w:rsidRPr="00A11091">
        <w:t xml:space="preserve">onder nummer </w:t>
      </w:r>
      <w:r w:rsidR="00331CEF">
        <w:t>NL-</w:t>
      </w:r>
      <w:r w:rsidR="00331CEF">
        <w:rPr>
          <w:rStyle w:val="frmlbl4"/>
        </w:rPr>
        <w:t>0022084-0000</w:t>
      </w:r>
      <w:r w:rsidRPr="00A11091">
        <w:t xml:space="preserve"> voor de in bijlage I onder punt </w:t>
      </w:r>
      <w:r w:rsidR="006C24E2">
        <w:t>4</w:t>
      </w:r>
      <w:r w:rsidRPr="00A11091">
        <w:t xml:space="preserve"> genoemde toepassingen</w:t>
      </w:r>
      <w:r w:rsidRPr="008C195F">
        <w:t>.</w:t>
      </w:r>
    </w:p>
    <w:p w14:paraId="01BFF700" w14:textId="77777777" w:rsidR="00472F75" w:rsidRPr="008C195F" w:rsidRDefault="00472F75" w:rsidP="00472F75">
      <w:pPr>
        <w:rPr>
          <w:rFonts w:ascii="Calibri" w:hAnsi="Calibri"/>
          <w:b/>
        </w:rPr>
      </w:pPr>
    </w:p>
    <w:p w14:paraId="3C737C57" w14:textId="77777777" w:rsidR="00472F75" w:rsidRPr="008C195F" w:rsidRDefault="00472F75" w:rsidP="00472F75">
      <w:pPr>
        <w:overflowPunct w:val="0"/>
        <w:autoSpaceDE w:val="0"/>
        <w:autoSpaceDN w:val="0"/>
        <w:adjustRightInd w:val="0"/>
        <w:textAlignment w:val="baseline"/>
        <w:rPr>
          <w:rFonts w:ascii="Calibri" w:hAnsi="Calibri"/>
          <w:b/>
        </w:rPr>
      </w:pPr>
      <w:r w:rsidRPr="008C195F">
        <w:rPr>
          <w:rFonts w:ascii="Calibri" w:hAnsi="Calibri"/>
          <w:b/>
        </w:rPr>
        <w:t>1.2  Expiratiedatum</w:t>
      </w:r>
    </w:p>
    <w:p w14:paraId="3575D812" w14:textId="0FAF60C8" w:rsidR="00472F75" w:rsidRPr="008C195F" w:rsidRDefault="00472F75" w:rsidP="004977CE">
      <w:pPr>
        <w:pStyle w:val="Calibri11"/>
      </w:pPr>
      <w:r w:rsidRPr="008C195F">
        <w:t>De toelating eindigt op</w:t>
      </w:r>
      <w:r w:rsidR="00AB59A1">
        <w:t xml:space="preserve"> </w:t>
      </w:r>
      <w:r w:rsidR="00331CEF">
        <w:t>25 april 2023</w:t>
      </w:r>
      <w:r w:rsidRPr="008C195F">
        <w:t>.</w:t>
      </w:r>
    </w:p>
    <w:p w14:paraId="04EEF971" w14:textId="77777777" w:rsidR="00472F75" w:rsidRPr="008C195F" w:rsidRDefault="00472F75" w:rsidP="00472F75">
      <w:pPr>
        <w:rPr>
          <w:rFonts w:ascii="Calibri" w:hAnsi="Calibri"/>
          <w:b/>
        </w:rPr>
      </w:pPr>
    </w:p>
    <w:p w14:paraId="5EE421CA" w14:textId="77777777" w:rsidR="00472F75" w:rsidRPr="008C195F" w:rsidRDefault="00472F75" w:rsidP="00472F75">
      <w:pPr>
        <w:rPr>
          <w:rStyle w:val="Opmaakprofiel10ptVet"/>
          <w:rFonts w:ascii="Calibri" w:hAnsi="Calibri"/>
          <w:spacing w:val="-2"/>
        </w:rPr>
      </w:pPr>
      <w:r w:rsidRPr="008C195F">
        <w:rPr>
          <w:rStyle w:val="Opmaakprofiel10ptVet"/>
          <w:rFonts w:ascii="Calibri" w:hAnsi="Calibri"/>
          <w:spacing w:val="-2"/>
        </w:rPr>
        <w:t>1.3 Samenvatting van Productkenmerken (SPC)</w:t>
      </w:r>
    </w:p>
    <w:p w14:paraId="70F135FF" w14:textId="77777777" w:rsidR="00472F75" w:rsidRPr="008C195F" w:rsidRDefault="00472F75" w:rsidP="004977CE">
      <w:pPr>
        <w:pStyle w:val="Calibri11"/>
        <w:rPr>
          <w:rStyle w:val="Opmaakprofiel10ptVet"/>
          <w:rFonts w:ascii="Calibri" w:hAnsi="Calibri"/>
          <w:b w:val="0"/>
          <w:spacing w:val="-2"/>
        </w:rPr>
      </w:pPr>
      <w:r w:rsidRPr="008C195F">
        <w:rPr>
          <w:rStyle w:val="Opmaakprofiel10ptVet"/>
          <w:rFonts w:ascii="Calibri" w:hAnsi="Calibri"/>
          <w:b w:val="0"/>
          <w:spacing w:val="-2"/>
        </w:rPr>
        <w:t>De productkenmerken worden vastgesteld als voorzien in bijlage I bij dit besluit.</w:t>
      </w:r>
    </w:p>
    <w:p w14:paraId="70B15BE3" w14:textId="77777777" w:rsidR="00472F75" w:rsidRPr="008C195F" w:rsidRDefault="00472F75" w:rsidP="004977CE">
      <w:pPr>
        <w:pStyle w:val="Calibri11"/>
        <w:rPr>
          <w:rStyle w:val="Opmaakprofiel10ptVet"/>
          <w:rFonts w:ascii="Calibri" w:hAnsi="Calibri"/>
          <w:b w:val="0"/>
          <w:spacing w:val="-2"/>
        </w:rPr>
      </w:pPr>
      <w:r w:rsidRPr="008C195F">
        <w:rPr>
          <w:rStyle w:val="Opmaakprofiel10ptVet"/>
          <w:rFonts w:ascii="Calibri" w:hAnsi="Calibri"/>
          <w:b w:val="0"/>
          <w:spacing w:val="-2"/>
        </w:rPr>
        <w:t xml:space="preserve">Bijlage I omvat een Summary of Product Characteristics (SPC) voor </w:t>
      </w:r>
      <w:r>
        <w:t>Professioneel</w:t>
      </w:r>
      <w:r>
        <w:rPr>
          <w:rStyle w:val="Opmaakprofiel10ptVet"/>
          <w:rFonts w:ascii="Calibri" w:hAnsi="Calibri"/>
          <w:b w:val="0"/>
          <w:spacing w:val="-2"/>
        </w:rPr>
        <w:t xml:space="preserve"> g</w:t>
      </w:r>
      <w:r w:rsidRPr="008C195F">
        <w:rPr>
          <w:rStyle w:val="Opmaakprofiel10ptVet"/>
          <w:rFonts w:ascii="Calibri" w:hAnsi="Calibri"/>
          <w:b w:val="0"/>
          <w:spacing w:val="-2"/>
        </w:rPr>
        <w:t>ebruik.</w:t>
      </w:r>
    </w:p>
    <w:p w14:paraId="17D862D2" w14:textId="77777777" w:rsidR="00714080" w:rsidRPr="008C195F" w:rsidRDefault="00714080" w:rsidP="00472F75">
      <w:pPr>
        <w:rPr>
          <w:rFonts w:ascii="Calibri" w:hAnsi="Calibri"/>
          <w:b/>
        </w:rPr>
      </w:pPr>
    </w:p>
    <w:p w14:paraId="6353E3E2" w14:textId="77777777" w:rsidR="00472F75" w:rsidRPr="008C195F" w:rsidRDefault="00472F75" w:rsidP="00472F75">
      <w:pPr>
        <w:rPr>
          <w:rFonts w:ascii="Calibri" w:hAnsi="Calibri"/>
        </w:rPr>
      </w:pPr>
      <w:r w:rsidRPr="008C195F">
        <w:rPr>
          <w:rFonts w:ascii="Calibri" w:hAnsi="Calibri"/>
          <w:b/>
        </w:rPr>
        <w:t>1.4</w:t>
      </w:r>
      <w:r w:rsidRPr="008C195F">
        <w:rPr>
          <w:rFonts w:ascii="Calibri" w:hAnsi="Calibri"/>
        </w:rPr>
        <w:t xml:space="preserve">  </w:t>
      </w:r>
      <w:r w:rsidRPr="008C195F">
        <w:rPr>
          <w:rFonts w:ascii="Calibri" w:hAnsi="Calibri"/>
          <w:b/>
        </w:rPr>
        <w:t>Samenstelling, vorm en verpakking</w:t>
      </w:r>
    </w:p>
    <w:p w14:paraId="245A4DE3" w14:textId="77777777" w:rsidR="00472F75" w:rsidRPr="008C195F" w:rsidRDefault="00472F75" w:rsidP="00472F75">
      <w:pPr>
        <w:rPr>
          <w:rFonts w:ascii="Calibri" w:hAnsi="Calibri"/>
        </w:rPr>
      </w:pPr>
      <w:r w:rsidRPr="008C195F">
        <w:rPr>
          <w:rFonts w:ascii="Calibri" w:hAnsi="Calibri"/>
          <w:spacing w:val="-2"/>
        </w:rPr>
        <w:t>De toelating geldt uitsluitend voor het middel in de samenstelling, vorm en de verpakking als waarvoor de toelating is verleend.</w:t>
      </w:r>
    </w:p>
    <w:p w14:paraId="376ACFD0" w14:textId="77777777" w:rsidR="00472F75" w:rsidRPr="008C195F" w:rsidRDefault="00472F75" w:rsidP="00472F75">
      <w:pPr>
        <w:overflowPunct w:val="0"/>
        <w:autoSpaceDE w:val="0"/>
        <w:autoSpaceDN w:val="0"/>
        <w:adjustRightInd w:val="0"/>
        <w:textAlignment w:val="baseline"/>
        <w:rPr>
          <w:rFonts w:ascii="Calibri" w:hAnsi="Calibri"/>
          <w:b/>
        </w:rPr>
      </w:pPr>
    </w:p>
    <w:p w14:paraId="17B329F1" w14:textId="77777777" w:rsidR="00472F75" w:rsidRPr="008C195F" w:rsidRDefault="00472F75" w:rsidP="00472F75">
      <w:pPr>
        <w:rPr>
          <w:rFonts w:ascii="Calibri" w:hAnsi="Calibri"/>
          <w:b/>
        </w:rPr>
      </w:pPr>
      <w:r w:rsidRPr="008C195F">
        <w:rPr>
          <w:rFonts w:ascii="Calibri" w:hAnsi="Calibri"/>
          <w:b/>
        </w:rPr>
        <w:t>1.5 Gebruik</w:t>
      </w:r>
    </w:p>
    <w:p w14:paraId="4F5CD20D" w14:textId="77777777" w:rsidR="00472F75" w:rsidRPr="008C195F" w:rsidRDefault="00472F75" w:rsidP="00472F75">
      <w:pPr>
        <w:rPr>
          <w:rFonts w:ascii="Calibri" w:hAnsi="Calibri"/>
        </w:rPr>
      </w:pPr>
      <w:r w:rsidRPr="008C195F">
        <w:rPr>
          <w:rFonts w:ascii="Calibri" w:hAnsi="Calibri"/>
        </w:rPr>
        <w:t xml:space="preserve">Het middel mag slechts worden gebruikt met inachtneming </w:t>
      </w:r>
      <w:r w:rsidR="00F80EFA">
        <w:rPr>
          <w:rFonts w:ascii="Calibri" w:hAnsi="Calibri"/>
        </w:rPr>
        <w:t>van de in bijlage I onder punt 4</w:t>
      </w:r>
      <w:r w:rsidRPr="008C195F">
        <w:rPr>
          <w:rFonts w:ascii="Calibri" w:hAnsi="Calibri"/>
        </w:rPr>
        <w:t xml:space="preserve"> weergegeven toepassingen en volgens de in punt 5 weergegeven gebruiksvoorschriften.</w:t>
      </w:r>
    </w:p>
    <w:p w14:paraId="36F30BD9" w14:textId="77777777" w:rsidR="00472F75" w:rsidRPr="008C195F" w:rsidRDefault="00472F75" w:rsidP="00472F75">
      <w:pPr>
        <w:rPr>
          <w:rFonts w:ascii="Calibri" w:hAnsi="Calibri"/>
        </w:rPr>
      </w:pPr>
    </w:p>
    <w:p w14:paraId="251A567B" w14:textId="77777777" w:rsidR="00472F75" w:rsidRPr="008C195F" w:rsidRDefault="00472F75" w:rsidP="00472F75">
      <w:pPr>
        <w:rPr>
          <w:rFonts w:ascii="Calibri" w:hAnsi="Calibri"/>
          <w:b/>
          <w:lang w:val="nl"/>
        </w:rPr>
      </w:pPr>
      <w:r w:rsidRPr="008C195F">
        <w:rPr>
          <w:rFonts w:ascii="Calibri" w:hAnsi="Calibri"/>
          <w:b/>
          <w:lang w:val="nl"/>
        </w:rPr>
        <w:t>1.6 Classificatie, verpakking en etikettering</w:t>
      </w:r>
    </w:p>
    <w:p w14:paraId="7E746D91" w14:textId="77777777" w:rsidR="00472F75" w:rsidRPr="008C195F" w:rsidRDefault="00472F75" w:rsidP="00472F75">
      <w:pPr>
        <w:rPr>
          <w:rFonts w:ascii="Calibri" w:hAnsi="Calibri" w:cs="Arial"/>
          <w:lang w:val="nl"/>
        </w:rPr>
      </w:pPr>
      <w:r w:rsidRPr="008C195F">
        <w:rPr>
          <w:rFonts w:ascii="Calibri" w:hAnsi="Calibri" w:cs="Arial"/>
          <w:lang w:val="nl"/>
        </w:rPr>
        <w:t>De classificatie, verpakking en etikettering op basis van art 69 van de verordening bevat de informatie zoals weergegeven in bijlage I bij dit besluit.</w:t>
      </w:r>
    </w:p>
    <w:p w14:paraId="161E02AC" w14:textId="77777777" w:rsidR="00472F75" w:rsidRPr="008C195F" w:rsidRDefault="00472F75" w:rsidP="00472F75">
      <w:pPr>
        <w:rPr>
          <w:rFonts w:ascii="Calibri" w:hAnsi="Calibri"/>
        </w:rPr>
      </w:pPr>
    </w:p>
    <w:p w14:paraId="18593DDA" w14:textId="77777777" w:rsidR="00472F75" w:rsidRPr="008C195F" w:rsidRDefault="00472F75" w:rsidP="00472F75">
      <w:pPr>
        <w:rPr>
          <w:rFonts w:ascii="Calibri" w:hAnsi="Calibri"/>
          <w:b/>
          <w:lang w:val="nl"/>
        </w:rPr>
      </w:pPr>
      <w:r w:rsidRPr="008C195F">
        <w:rPr>
          <w:rFonts w:ascii="Calibri" w:hAnsi="Calibri"/>
          <w:b/>
          <w:lang w:val="nl"/>
        </w:rPr>
        <w:t>1.7 Motivering</w:t>
      </w:r>
    </w:p>
    <w:p w14:paraId="3C65E57F" w14:textId="004F02C7" w:rsidR="006C24E2" w:rsidRDefault="006C24E2" w:rsidP="006C24E2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De beoordeling van dit product en zijn toepassingen is uitgevoerd door lidstaat</w:t>
      </w:r>
      <w:r w:rsidR="00A66B09">
        <w:rPr>
          <w:rFonts w:ascii="Calibri" w:hAnsi="Calibri" w:cs="Calibri"/>
        </w:rPr>
        <w:t xml:space="preserve"> Ierland</w:t>
      </w:r>
      <w:r>
        <w:rPr>
          <w:rFonts w:ascii="Calibri" w:hAnsi="Calibri" w:cs="Calibri"/>
        </w:rPr>
        <w:t>. Het middel is</w:t>
      </w:r>
    </w:p>
    <w:p w14:paraId="2C21FF7F" w14:textId="40A87A4C" w:rsidR="006C24E2" w:rsidRDefault="006C24E2" w:rsidP="006C24E2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in de referentielidstaat toegelaten onder nummer </w:t>
      </w:r>
      <w:r w:rsidR="009F62C8" w:rsidRPr="009F62C8">
        <w:rPr>
          <w:rFonts w:ascii="Calibri" w:hAnsi="Calibri" w:cs="Calibri"/>
        </w:rPr>
        <w:t>IE-0000528-0000</w:t>
      </w:r>
      <w:r>
        <w:rPr>
          <w:rFonts w:ascii="Calibri" w:hAnsi="Calibri" w:cs="Calibri"/>
        </w:rPr>
        <w:t>. In Nederland worden de conclusies</w:t>
      </w:r>
    </w:p>
    <w:p w14:paraId="2F53741E" w14:textId="21ECA3CC" w:rsidR="006C24E2" w:rsidRDefault="006C24E2" w:rsidP="006C24E2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van de beoordeling overgenomen via de procedure van</w:t>
      </w:r>
      <w:r w:rsidR="00A66B09">
        <w:rPr>
          <w:rFonts w:ascii="Calibri" w:hAnsi="Calibri" w:cs="Calibri"/>
        </w:rPr>
        <w:t xml:space="preserve"> </w:t>
      </w:r>
      <w:r w:rsidR="00A66B09" w:rsidRPr="002B357D">
        <w:rPr>
          <w:rFonts w:ascii="Calibri" w:hAnsi="Calibri" w:cs="Calibri"/>
        </w:rPr>
        <w:t>opeenvolgende</w:t>
      </w:r>
      <w:r w:rsidRPr="002B357D">
        <w:rPr>
          <w:rFonts w:ascii="Calibri" w:hAnsi="Calibri" w:cs="Calibri"/>
        </w:rPr>
        <w:t xml:space="preserve"> wederzijdse erkenning.</w:t>
      </w:r>
    </w:p>
    <w:p w14:paraId="2F9A7998" w14:textId="50A464EC" w:rsidR="006C24E2" w:rsidRDefault="006C24E2" w:rsidP="006C24E2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Uit het beoordelingsrapport van </w:t>
      </w:r>
      <w:r w:rsidR="00A66B09">
        <w:rPr>
          <w:rFonts w:ascii="Calibri" w:hAnsi="Calibri" w:cs="Calibri"/>
        </w:rPr>
        <w:t xml:space="preserve">Ierland </w:t>
      </w:r>
      <w:r>
        <w:rPr>
          <w:rFonts w:ascii="Calibri" w:hAnsi="Calibri" w:cs="Calibri"/>
        </w:rPr>
        <w:t>blijkt dat het middel niet voldoet aan de voorwaarden van</w:t>
      </w:r>
    </w:p>
    <w:p w14:paraId="543775C3" w14:textId="77777777" w:rsidR="006C24E2" w:rsidRDefault="006C24E2" w:rsidP="006C24E2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toelating zoals beschreven in artikel 19(1). Toelating vindt plaats op basis van artikel 19(5) waarbij NL</w:t>
      </w:r>
    </w:p>
    <w:p w14:paraId="6EADA6DC" w14:textId="77777777" w:rsidR="006C24E2" w:rsidRDefault="006C24E2" w:rsidP="006C24E2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een eigen afweging maakt van de voorwaarden voor toelating in NL.</w:t>
      </w:r>
    </w:p>
    <w:p w14:paraId="248E1C9F" w14:textId="77777777" w:rsidR="00D35CDF" w:rsidRDefault="00D35CDF" w:rsidP="006C24E2">
      <w:pPr>
        <w:autoSpaceDE w:val="0"/>
        <w:autoSpaceDN w:val="0"/>
        <w:adjustRightInd w:val="0"/>
        <w:rPr>
          <w:rFonts w:ascii="Calibri" w:hAnsi="Calibri" w:cs="Calibri"/>
        </w:rPr>
      </w:pPr>
    </w:p>
    <w:p w14:paraId="16E72AC7" w14:textId="02A239C0" w:rsidR="006C24E2" w:rsidRDefault="006C24E2" w:rsidP="006C24E2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Er geldt dat vanwege de hoge milieurisico’s van het gebruik van anticoagulantia, biociden op basis van</w:t>
      </w:r>
    </w:p>
    <w:p w14:paraId="3D60DAA7" w14:textId="77777777" w:rsidR="006C24E2" w:rsidRDefault="006C24E2" w:rsidP="006C24E2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anticoagulantia slechts toegelaten kunnen worden indien het niet toelaten voor de samenleving</w:t>
      </w:r>
    </w:p>
    <w:p w14:paraId="47B101A6" w14:textId="77777777" w:rsidR="006C24E2" w:rsidRDefault="006C24E2" w:rsidP="006C24E2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onevenredig grote negatieve gevolgen heeft (art 19(5) BPR) en indien alternatieve middelen en</w:t>
      </w:r>
    </w:p>
    <w:p w14:paraId="6C9913FF" w14:textId="77777777" w:rsidR="006C24E2" w:rsidRDefault="006C24E2" w:rsidP="006C24E2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methoden voor de beheersing van knaagdieren niet in voldoende mate beschikbaar en effectief zijn (art</w:t>
      </w:r>
    </w:p>
    <w:p w14:paraId="34672647" w14:textId="77777777" w:rsidR="00A179C7" w:rsidRDefault="006C24E2" w:rsidP="006C24E2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23 BPR).</w:t>
      </w:r>
      <w:r w:rsidR="00A10266">
        <w:rPr>
          <w:rFonts w:ascii="Calibri" w:hAnsi="Calibri" w:cs="Calibri"/>
        </w:rPr>
        <w:t xml:space="preserve"> </w:t>
      </w:r>
    </w:p>
    <w:p w14:paraId="13F606A8" w14:textId="77777777" w:rsidR="00A179C7" w:rsidRDefault="00A179C7" w:rsidP="006C24E2">
      <w:pPr>
        <w:autoSpaceDE w:val="0"/>
        <w:autoSpaceDN w:val="0"/>
        <w:adjustRightInd w:val="0"/>
        <w:rPr>
          <w:rFonts w:ascii="Calibri" w:hAnsi="Calibri" w:cs="Calibri"/>
        </w:rPr>
      </w:pPr>
    </w:p>
    <w:p w14:paraId="62F17DE9" w14:textId="77777777" w:rsidR="00A179C7" w:rsidRDefault="006C24E2" w:rsidP="006C24E2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De beheersing van muizen binnen gebouwen en de beheersing van ratten binnen en buiten gebouwen</w:t>
      </w:r>
      <w:r w:rsidR="00A1026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zijn van wezenlijk belang voor de gezondheid van mens en dier, voor de bescherming van voedsel en</w:t>
      </w:r>
      <w:r w:rsidR="00A1026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materialen en voor de veiligheid (brandgevaar door knaagschade). Voor deze toepassingen zijn niet voor</w:t>
      </w:r>
      <w:r w:rsidR="00EC3AA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alle gevallen goede alternatieven (middelen en methoden) beschikbaar. </w:t>
      </w:r>
      <w:r w:rsidR="00EC3AAE">
        <w:rPr>
          <w:rFonts w:ascii="Calibri" w:hAnsi="Calibri" w:cs="Calibri"/>
        </w:rPr>
        <w:br/>
      </w:r>
      <w:r w:rsidRPr="00986C37">
        <w:rPr>
          <w:rFonts w:ascii="Calibri" w:hAnsi="Calibri" w:cs="Calibri"/>
          <w:lang w:val="en-US"/>
        </w:rPr>
        <w:t>Deze conclusie is mede</w:t>
      </w:r>
      <w:r w:rsidR="00EC3AAE" w:rsidRPr="00986C37">
        <w:rPr>
          <w:rFonts w:ascii="Calibri" w:hAnsi="Calibri" w:cs="Calibri"/>
          <w:lang w:val="en-US"/>
        </w:rPr>
        <w:t xml:space="preserve"> </w:t>
      </w:r>
      <w:r w:rsidRPr="00986C37">
        <w:rPr>
          <w:rFonts w:ascii="Calibri" w:hAnsi="Calibri" w:cs="Calibri"/>
          <w:lang w:val="en-US"/>
        </w:rPr>
        <w:t>gebaseerd op de</w:t>
      </w:r>
      <w:r w:rsidRPr="006C24E2">
        <w:rPr>
          <w:rFonts w:ascii="Calibri" w:hAnsi="Calibri" w:cs="Calibri"/>
          <w:lang w:val="en-US"/>
        </w:rPr>
        <w:t xml:space="preserve"> ‘Opinion of the Biocidal Products Committee on questions related to the comparative</w:t>
      </w:r>
      <w:r w:rsidR="00EC3AAE">
        <w:rPr>
          <w:rFonts w:ascii="Calibri" w:hAnsi="Calibri" w:cs="Calibri"/>
          <w:lang w:val="en-US"/>
        </w:rPr>
        <w:t xml:space="preserve"> </w:t>
      </w:r>
      <w:r w:rsidRPr="006C24E2">
        <w:rPr>
          <w:rFonts w:ascii="Calibri" w:hAnsi="Calibri" w:cs="Calibri"/>
          <w:lang w:val="en-US"/>
        </w:rPr>
        <w:t>assessment of anticoagulant rodenticides’ (ECHA/BPC/145/2017 adopted 2 March 2017).</w:t>
      </w:r>
      <w:r w:rsidR="00EC3AAE">
        <w:rPr>
          <w:rFonts w:ascii="Calibri" w:hAnsi="Calibri" w:cs="Calibri"/>
          <w:lang w:val="en-US"/>
        </w:rPr>
        <w:t xml:space="preserve"> </w:t>
      </w:r>
    </w:p>
    <w:p w14:paraId="4FFCAE21" w14:textId="77777777" w:rsidR="00A179C7" w:rsidRDefault="00A179C7" w:rsidP="006C24E2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14:paraId="577E21AF" w14:textId="657837AC" w:rsidR="006C24E2" w:rsidRDefault="006C24E2" w:rsidP="006C24E2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Biociden op basis van anticoagulantia voor de beheersing van muizen binnen gebouwen en de</w:t>
      </w:r>
      <w:r w:rsidR="00EC3AA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beheersing van ratten binnen en buiten gebouwen kunnen daarom, hoewel niet voldaan wordt aan de</w:t>
      </w:r>
      <w:r w:rsidR="00EC3AA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criteria van artikel 19(1) toch op basis van artikel 19(5) BPR worden toegelaten. Voor overige</w:t>
      </w:r>
    </w:p>
    <w:p w14:paraId="1CDF2386" w14:textId="77777777" w:rsidR="006C24E2" w:rsidRDefault="006C24E2" w:rsidP="006C24E2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toepassingen van biociden op basis van anticoagulantia geldt niet dat voor de samenleving onevenredig</w:t>
      </w:r>
    </w:p>
    <w:p w14:paraId="37628334" w14:textId="77777777" w:rsidR="006C24E2" w:rsidRDefault="006C24E2" w:rsidP="006C24E2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grote negatieve gevolgen voorzien worden.</w:t>
      </w:r>
    </w:p>
    <w:p w14:paraId="42CD9A99" w14:textId="77777777" w:rsidR="00A179C7" w:rsidRDefault="00A179C7" w:rsidP="006C24E2">
      <w:pPr>
        <w:autoSpaceDE w:val="0"/>
        <w:autoSpaceDN w:val="0"/>
        <w:adjustRightInd w:val="0"/>
        <w:rPr>
          <w:rFonts w:ascii="Calibri" w:hAnsi="Calibri" w:cs="Calibri"/>
        </w:rPr>
      </w:pPr>
    </w:p>
    <w:p w14:paraId="59502C38" w14:textId="2BB1105D" w:rsidR="006C24E2" w:rsidRDefault="006C24E2" w:rsidP="006C24E2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Bij een toelating van biociden op basis van anticoagulantia kunnen tevens NL-specifieke elementen,</w:t>
      </w:r>
    </w:p>
    <w:p w14:paraId="331C2453" w14:textId="73BD4160" w:rsidR="006C24E2" w:rsidRDefault="006C24E2" w:rsidP="006C24E2">
      <w:pPr>
        <w:pStyle w:val="TOC1"/>
        <w:tabs>
          <w:tab w:val="clear" w:pos="9071"/>
          <w:tab w:val="center" w:pos="4703"/>
          <w:tab w:val="right" w:pos="9406"/>
        </w:tabs>
        <w:rPr>
          <w:rFonts w:ascii="Calibri" w:hAnsi="Calibri"/>
        </w:rPr>
      </w:pPr>
      <w:r>
        <w:rPr>
          <w:rFonts w:ascii="Calibri" w:hAnsi="Calibri" w:cs="Calibri"/>
        </w:rPr>
        <w:t>zoals beschreven in paragraaf 2.5 van dit besluit van toepassing zijn.</w:t>
      </w:r>
    </w:p>
    <w:p w14:paraId="32A6A4F8" w14:textId="7D0E92A1" w:rsidR="00472F75" w:rsidRPr="008C195F" w:rsidRDefault="00472F75" w:rsidP="00472F75">
      <w:pPr>
        <w:pStyle w:val="TOC1"/>
        <w:tabs>
          <w:tab w:val="clear" w:pos="9071"/>
          <w:tab w:val="center" w:pos="4703"/>
          <w:tab w:val="right" w:pos="9406"/>
        </w:tabs>
        <w:rPr>
          <w:rFonts w:ascii="Calibri" w:hAnsi="Calibri"/>
        </w:rPr>
      </w:pPr>
      <w:r w:rsidRPr="008C195F">
        <w:rPr>
          <w:rFonts w:ascii="Calibri" w:hAnsi="Calibri"/>
        </w:rPr>
        <w:t>Voor de gronden van dit besluit wordt verwezen naar bijlage II bij dit besluit.</w:t>
      </w:r>
    </w:p>
    <w:p w14:paraId="6C687F72" w14:textId="77777777" w:rsidR="00472F75" w:rsidRPr="008C195F" w:rsidRDefault="00472F75" w:rsidP="00472F75">
      <w:pPr>
        <w:rPr>
          <w:rFonts w:ascii="Calibri" w:hAnsi="Calibri"/>
        </w:rPr>
      </w:pPr>
    </w:p>
    <w:p w14:paraId="7FEE329E" w14:textId="77777777" w:rsidR="00472F75" w:rsidRPr="008C195F" w:rsidRDefault="00472F75" w:rsidP="00472F75">
      <w:pPr>
        <w:rPr>
          <w:rFonts w:ascii="Calibri" w:hAnsi="Calibri"/>
          <w:b/>
          <w:bCs/>
          <w:sz w:val="24"/>
        </w:rPr>
      </w:pPr>
      <w:r w:rsidRPr="008C195F">
        <w:rPr>
          <w:rFonts w:ascii="Calibri" w:hAnsi="Calibri"/>
          <w:b/>
          <w:bCs/>
          <w:sz w:val="24"/>
        </w:rPr>
        <w:t>2 DETAILS VAN DE AANVRAAG EN TOELATING</w:t>
      </w:r>
    </w:p>
    <w:p w14:paraId="7018E17D" w14:textId="77777777" w:rsidR="00472F75" w:rsidRPr="008C195F" w:rsidRDefault="00472F75" w:rsidP="00472F75">
      <w:pPr>
        <w:rPr>
          <w:rFonts w:ascii="Calibri" w:hAnsi="Calibri"/>
        </w:rPr>
      </w:pPr>
    </w:p>
    <w:p w14:paraId="058F6FA0" w14:textId="77777777" w:rsidR="00472F75" w:rsidRPr="008C195F" w:rsidRDefault="00472F75" w:rsidP="00472F75">
      <w:pPr>
        <w:rPr>
          <w:rFonts w:ascii="Calibri" w:hAnsi="Calibri"/>
        </w:rPr>
      </w:pPr>
      <w:r w:rsidRPr="008C195F">
        <w:rPr>
          <w:rFonts w:ascii="Calibri" w:hAnsi="Calibri"/>
          <w:b/>
          <w:bCs/>
        </w:rPr>
        <w:t>2.1 Aanvraag</w:t>
      </w:r>
    </w:p>
    <w:p w14:paraId="6ABA004C" w14:textId="63CFEB30" w:rsidR="00472F75" w:rsidRPr="004977CE" w:rsidRDefault="00472F75" w:rsidP="00472F75">
      <w:pPr>
        <w:rPr>
          <w:rStyle w:val="Calibri11Char"/>
        </w:rPr>
      </w:pPr>
      <w:r w:rsidRPr="008C195F">
        <w:rPr>
          <w:rFonts w:ascii="Calibri" w:hAnsi="Calibri"/>
        </w:rPr>
        <w:t xml:space="preserve">Het betreft een </w:t>
      </w:r>
      <w:r w:rsidR="00C25D21" w:rsidRPr="008C195F">
        <w:rPr>
          <w:rFonts w:ascii="Calibri" w:hAnsi="Calibri"/>
        </w:rPr>
        <w:t xml:space="preserve">tot verkrijging van een toelating </w:t>
      </w:r>
      <w:r w:rsidRPr="008C195F">
        <w:rPr>
          <w:rFonts w:ascii="Calibri" w:hAnsi="Calibri"/>
        </w:rPr>
        <w:t xml:space="preserve">op basis van </w:t>
      </w:r>
      <w:r w:rsidR="002B3CBD">
        <w:rPr>
          <w:rFonts w:ascii="Calibri" w:hAnsi="Calibri"/>
        </w:rPr>
        <w:t xml:space="preserve">opeenvolgende </w:t>
      </w:r>
      <w:r w:rsidRPr="008C195F">
        <w:rPr>
          <w:rFonts w:ascii="Calibri" w:hAnsi="Calibri"/>
        </w:rPr>
        <w:t>wederzijdse erkenning van de</w:t>
      </w:r>
      <w:r w:rsidR="002B3CBD">
        <w:rPr>
          <w:rFonts w:ascii="Calibri" w:hAnsi="Calibri"/>
        </w:rPr>
        <w:t xml:space="preserve"> lidstaat Ierland</w:t>
      </w:r>
      <w:r w:rsidR="00DF2AAF" w:rsidRPr="008C195F">
        <w:rPr>
          <w:rFonts w:ascii="Calibri" w:hAnsi="Calibri"/>
        </w:rPr>
        <w:t xml:space="preserve"> toelating</w:t>
      </w:r>
      <w:r w:rsidRPr="008C195F">
        <w:rPr>
          <w:rFonts w:ascii="Calibri" w:hAnsi="Calibri"/>
        </w:rPr>
        <w:t xml:space="preserve"> voor het middel</w:t>
      </w:r>
      <w:r w:rsidR="002B3CBD">
        <w:rPr>
          <w:rFonts w:ascii="Calibri" w:hAnsi="Calibri"/>
        </w:rPr>
        <w:t xml:space="preserve"> Vertox Oktablok</w:t>
      </w:r>
      <w:r w:rsidR="00CF60AB">
        <w:rPr>
          <w:rFonts w:ascii="Calibri" w:hAnsi="Calibri"/>
        </w:rPr>
        <w:t xml:space="preserve"> / Vertox Oktablok Pro</w:t>
      </w:r>
      <w:r w:rsidRPr="008C195F">
        <w:rPr>
          <w:rFonts w:ascii="Calibri" w:hAnsi="Calibri"/>
        </w:rPr>
        <w:t xml:space="preserve">, een middel </w:t>
      </w:r>
      <w:r w:rsidRPr="004977CE">
        <w:rPr>
          <w:rStyle w:val="Calibri11Char"/>
        </w:rPr>
        <w:t>op basis van de werkzame stof</w:t>
      </w:r>
      <w:r w:rsidR="002B3CBD">
        <w:rPr>
          <w:rStyle w:val="Calibri11Char"/>
        </w:rPr>
        <w:t xml:space="preserve"> brodifacoum. </w:t>
      </w:r>
      <w:r>
        <w:rPr>
          <w:rStyle w:val="Calibri11Char"/>
        </w:rPr>
        <w:t xml:space="preserve">Het middel wordt toegelaten voor </w:t>
      </w:r>
      <w:r w:rsidRPr="004977CE">
        <w:rPr>
          <w:rStyle w:val="Calibri11Char"/>
        </w:rPr>
        <w:t>professioneel gebruik als middel ter bestrijding van</w:t>
      </w:r>
      <w:r w:rsidR="002B3CBD">
        <w:rPr>
          <w:rStyle w:val="Calibri11Char"/>
        </w:rPr>
        <w:t xml:space="preserve"> huismuizen binnen en ter be</w:t>
      </w:r>
      <w:r w:rsidR="00A179C7">
        <w:rPr>
          <w:rStyle w:val="Calibri11Char"/>
        </w:rPr>
        <w:t>s</w:t>
      </w:r>
      <w:r w:rsidR="002B3CBD">
        <w:rPr>
          <w:rStyle w:val="Calibri11Char"/>
        </w:rPr>
        <w:t xml:space="preserve">trijding van </w:t>
      </w:r>
      <w:r w:rsidR="0089602C">
        <w:rPr>
          <w:rStyle w:val="Calibri11Char"/>
        </w:rPr>
        <w:t xml:space="preserve">bruine </w:t>
      </w:r>
      <w:r w:rsidR="002B3CBD">
        <w:rPr>
          <w:rStyle w:val="Calibri11Char"/>
        </w:rPr>
        <w:t>ratten</w:t>
      </w:r>
      <w:r w:rsidR="000501A3">
        <w:rPr>
          <w:rStyle w:val="Calibri11Char"/>
        </w:rPr>
        <w:t xml:space="preserve"> binnen,</w:t>
      </w:r>
      <w:r w:rsidR="002B3CBD">
        <w:rPr>
          <w:rStyle w:val="Calibri11Char"/>
        </w:rPr>
        <w:t xml:space="preserve"> buiten rond gebouwen en voedselopslagplaatsen</w:t>
      </w:r>
      <w:r w:rsidR="000501A3">
        <w:rPr>
          <w:rStyle w:val="Calibri11Char"/>
        </w:rPr>
        <w:t xml:space="preserve"> en riolen. </w:t>
      </w:r>
    </w:p>
    <w:p w14:paraId="7CAA6622" w14:textId="77777777" w:rsidR="00472F75" w:rsidRPr="008C195F" w:rsidRDefault="00472F75" w:rsidP="00472F75">
      <w:pPr>
        <w:rPr>
          <w:rFonts w:ascii="Calibri" w:hAnsi="Calibri"/>
          <w:color w:val="FF0000"/>
        </w:rPr>
      </w:pPr>
    </w:p>
    <w:p w14:paraId="1358F9D8" w14:textId="77777777" w:rsidR="00472F75" w:rsidRPr="008C195F" w:rsidRDefault="00472F75" w:rsidP="00472F75">
      <w:pPr>
        <w:rPr>
          <w:rFonts w:ascii="Calibri" w:hAnsi="Calibri"/>
        </w:rPr>
      </w:pPr>
      <w:r w:rsidRPr="008C195F">
        <w:rPr>
          <w:rFonts w:ascii="Calibri" w:hAnsi="Calibri"/>
          <w:b/>
          <w:bCs/>
        </w:rPr>
        <w:t>2.2 Informatie met betrekking tot de stof</w:t>
      </w:r>
    </w:p>
    <w:p w14:paraId="1399CAF3" w14:textId="77777777" w:rsidR="002B3CBD" w:rsidRPr="002B3CBD" w:rsidRDefault="00472F75" w:rsidP="002B3CBD">
      <w:pPr>
        <w:rPr>
          <w:rFonts w:asciiTheme="minorHAnsi" w:hAnsiTheme="minorHAnsi" w:cstheme="minorHAnsi"/>
        </w:rPr>
      </w:pPr>
      <w:r w:rsidRPr="002B3CBD">
        <w:rPr>
          <w:rStyle w:val="Calibri11Char"/>
          <w:rFonts w:asciiTheme="minorHAnsi" w:hAnsiTheme="minorHAnsi" w:cstheme="minorHAnsi"/>
        </w:rPr>
        <w:t xml:space="preserve">Er zijn in Nederland reeds andere middelen op basis van de werkzame stof </w:t>
      </w:r>
      <w:r w:rsidR="002B3CBD" w:rsidRPr="002B3CBD">
        <w:rPr>
          <w:rStyle w:val="Calibri11Char"/>
          <w:rFonts w:asciiTheme="minorHAnsi" w:hAnsiTheme="minorHAnsi" w:cstheme="minorHAnsi"/>
        </w:rPr>
        <w:t>brodifacoum</w:t>
      </w:r>
      <w:r w:rsidRPr="002B3CBD">
        <w:rPr>
          <w:rFonts w:asciiTheme="minorHAnsi" w:hAnsiTheme="minorHAnsi" w:cstheme="minorHAnsi"/>
        </w:rPr>
        <w:t xml:space="preserve"> toegelaten. </w:t>
      </w:r>
      <w:r w:rsidR="002B3CBD" w:rsidRPr="002B3CBD">
        <w:rPr>
          <w:rFonts w:asciiTheme="minorHAnsi" w:hAnsiTheme="minorHAnsi" w:cstheme="minorHAnsi"/>
        </w:rPr>
        <w:t>De</w:t>
      </w:r>
    </w:p>
    <w:p w14:paraId="52C3E3B7" w14:textId="69BDC2CE" w:rsidR="00472F75" w:rsidRPr="002B3CBD" w:rsidRDefault="002B3CBD" w:rsidP="002B3CBD">
      <w:pPr>
        <w:rPr>
          <w:rFonts w:asciiTheme="minorHAnsi" w:hAnsiTheme="minorHAnsi" w:cstheme="minorHAnsi"/>
        </w:rPr>
      </w:pPr>
      <w:r w:rsidRPr="002B3CBD">
        <w:rPr>
          <w:rFonts w:asciiTheme="minorHAnsi" w:hAnsiTheme="minorHAnsi" w:cstheme="minorHAnsi"/>
        </w:rPr>
        <w:t>goedkeuring van de werkzame stof is bij Verordening (EU)2017/1381 van de Europese Commissie verlengd.</w:t>
      </w:r>
    </w:p>
    <w:p w14:paraId="360015F3" w14:textId="574BC9E0" w:rsidR="002B3CBD" w:rsidRDefault="002B3CBD" w:rsidP="002B3CBD">
      <w:pPr>
        <w:rPr>
          <w:rFonts w:ascii="Calibri" w:hAnsi="Calibri"/>
          <w:color w:val="FF0000"/>
        </w:rPr>
      </w:pPr>
    </w:p>
    <w:p w14:paraId="118C723E" w14:textId="54075C29" w:rsidR="00CF60AB" w:rsidRDefault="00CF60AB" w:rsidP="002B3CBD">
      <w:pPr>
        <w:rPr>
          <w:rFonts w:ascii="Calibri" w:hAnsi="Calibri"/>
          <w:color w:val="FF0000"/>
        </w:rPr>
      </w:pPr>
    </w:p>
    <w:p w14:paraId="39676E1B" w14:textId="4FF7DA26" w:rsidR="00CF60AB" w:rsidRDefault="00CF60AB" w:rsidP="002B3CBD">
      <w:pPr>
        <w:rPr>
          <w:rFonts w:ascii="Calibri" w:hAnsi="Calibri"/>
          <w:color w:val="FF0000"/>
        </w:rPr>
      </w:pPr>
    </w:p>
    <w:p w14:paraId="7278C38F" w14:textId="77777777" w:rsidR="00CF60AB" w:rsidRPr="008C195F" w:rsidRDefault="00CF60AB" w:rsidP="002B3CBD">
      <w:pPr>
        <w:rPr>
          <w:rFonts w:ascii="Calibri" w:hAnsi="Calibri"/>
          <w:color w:val="FF0000"/>
        </w:rPr>
      </w:pPr>
    </w:p>
    <w:p w14:paraId="4003C0FE" w14:textId="77777777" w:rsidR="00472F75" w:rsidRPr="004977CE" w:rsidRDefault="00472F75" w:rsidP="00472F75">
      <w:pPr>
        <w:rPr>
          <w:rFonts w:ascii="Calibri" w:hAnsi="Calibri"/>
        </w:rPr>
      </w:pPr>
      <w:r w:rsidRPr="004977CE">
        <w:rPr>
          <w:rFonts w:ascii="Calibri" w:hAnsi="Calibri"/>
          <w:b/>
          <w:bCs/>
        </w:rPr>
        <w:lastRenderedPageBreak/>
        <w:t>2.3 Karakterisering van het middel</w:t>
      </w:r>
    </w:p>
    <w:p w14:paraId="0659584A" w14:textId="2869A8A6" w:rsidR="00DF2AAF" w:rsidRPr="00A10266" w:rsidRDefault="00DF2AAF" w:rsidP="00CF60AB">
      <w:pPr>
        <w:pStyle w:val="Calibri11"/>
        <w:rPr>
          <w:rFonts w:cs="Arial"/>
          <w:iCs/>
        </w:rPr>
      </w:pPr>
      <w:r>
        <w:t>Vertox Oktablok</w:t>
      </w:r>
      <w:r w:rsidR="00CF60AB">
        <w:t xml:space="preserve"> / Vertox Oktablok Pro</w:t>
      </w:r>
      <w:r>
        <w:rPr>
          <w:rFonts w:cs="Arial"/>
          <w:iCs/>
        </w:rPr>
        <w:t xml:space="preserve"> </w:t>
      </w:r>
      <w:r w:rsidR="00472F75" w:rsidRPr="008C195F">
        <w:rPr>
          <w:rFonts w:cs="Arial"/>
          <w:iCs/>
        </w:rPr>
        <w:t xml:space="preserve">is </w:t>
      </w:r>
      <w:r w:rsidR="00C25D21" w:rsidRPr="008C195F">
        <w:rPr>
          <w:rFonts w:cs="Arial"/>
          <w:iCs/>
        </w:rPr>
        <w:t>een</w:t>
      </w:r>
      <w:r w:rsidR="00472F75" w:rsidRPr="008C195F">
        <w:rPr>
          <w:rFonts w:cs="Arial"/>
          <w:iCs/>
        </w:rPr>
        <w:t xml:space="preserve"> </w:t>
      </w:r>
      <w:r w:rsidR="00A179C7">
        <w:t>l</w:t>
      </w:r>
      <w:r>
        <w:t>okmiddel (klaar voor gebruik)</w:t>
      </w:r>
      <w:r w:rsidR="00472F75" w:rsidRPr="008C195F">
        <w:rPr>
          <w:rFonts w:cs="Arial"/>
          <w:iCs/>
        </w:rPr>
        <w:t xml:space="preserve">, </w:t>
      </w:r>
      <w:r w:rsidR="00C25D21" w:rsidRPr="008C195F">
        <w:rPr>
          <w:rFonts w:cs="Arial"/>
          <w:iCs/>
        </w:rPr>
        <w:t>op basis van de werkzame stof</w:t>
      </w:r>
      <w:r w:rsidR="00472F75" w:rsidRPr="008C195F">
        <w:rPr>
          <w:rFonts w:cs="Arial"/>
          <w:iCs/>
        </w:rPr>
        <w:t xml:space="preserve"> </w:t>
      </w:r>
      <w:r w:rsidR="002B3CBD">
        <w:rPr>
          <w:rFonts w:cs="Arial"/>
          <w:iCs/>
        </w:rPr>
        <w:t xml:space="preserve">brodifacoum. </w:t>
      </w:r>
      <w:r w:rsidR="00472F75" w:rsidRPr="008C195F">
        <w:rPr>
          <w:rFonts w:cs="Arial"/>
          <w:iCs/>
        </w:rPr>
        <w:t xml:space="preserve"> </w:t>
      </w:r>
      <w:r w:rsidR="00A10266" w:rsidRPr="00A10266">
        <w:rPr>
          <w:rFonts w:cs="Arial"/>
          <w:iCs/>
        </w:rPr>
        <w:t>De werkzame stof is een antagonist van vitamine K en wordt gebruikt als anticoagulans en interfereert</w:t>
      </w:r>
      <w:r w:rsidR="00CF60AB">
        <w:rPr>
          <w:rFonts w:cs="Arial"/>
          <w:iCs/>
        </w:rPr>
        <w:t xml:space="preserve"> </w:t>
      </w:r>
      <w:r w:rsidR="00A10266" w:rsidRPr="00A10266">
        <w:rPr>
          <w:rFonts w:cs="Arial"/>
          <w:iCs/>
        </w:rPr>
        <w:t>met de regeneratie van prothrombin, waardoor de normale bloedstolling verstoord wordt en de kans op</w:t>
      </w:r>
      <w:r w:rsidR="00CF60AB">
        <w:rPr>
          <w:rFonts w:cs="Arial"/>
          <w:iCs/>
        </w:rPr>
        <w:t xml:space="preserve"> </w:t>
      </w:r>
      <w:r w:rsidR="00A10266" w:rsidRPr="00A10266">
        <w:rPr>
          <w:rFonts w:cs="Arial"/>
          <w:iCs/>
        </w:rPr>
        <w:t>bloedingen wordt verhoogd.</w:t>
      </w:r>
    </w:p>
    <w:p w14:paraId="4AAE0496" w14:textId="77777777" w:rsidR="00A10266" w:rsidRPr="008C195F" w:rsidRDefault="00A10266" w:rsidP="00A10266">
      <w:pPr>
        <w:rPr>
          <w:rFonts w:ascii="Calibri" w:hAnsi="Calibri"/>
          <w:b/>
          <w:bCs/>
          <w:color w:val="FF0000"/>
        </w:rPr>
      </w:pPr>
    </w:p>
    <w:p w14:paraId="2C9CD577" w14:textId="77777777" w:rsidR="00472F75" w:rsidRPr="008C195F" w:rsidRDefault="00472F75" w:rsidP="00472F75">
      <w:pPr>
        <w:rPr>
          <w:rFonts w:ascii="Calibri" w:hAnsi="Calibri"/>
        </w:rPr>
      </w:pPr>
      <w:r w:rsidRPr="008C195F">
        <w:rPr>
          <w:rFonts w:ascii="Calibri" w:hAnsi="Calibri"/>
          <w:b/>
          <w:bCs/>
        </w:rPr>
        <w:t>2.4 Voorgeschiedenis</w:t>
      </w:r>
    </w:p>
    <w:p w14:paraId="17B6141E" w14:textId="4AA0D621" w:rsidR="00472F75" w:rsidRPr="002B357D" w:rsidRDefault="00472F75" w:rsidP="00472F75">
      <w:pPr>
        <w:rPr>
          <w:rFonts w:asciiTheme="minorHAnsi" w:hAnsiTheme="minorHAnsi" w:cstheme="minorHAnsi"/>
        </w:rPr>
      </w:pPr>
      <w:r w:rsidRPr="002B357D">
        <w:rPr>
          <w:rStyle w:val="Calibri11Char"/>
          <w:rFonts w:asciiTheme="minorHAnsi" w:hAnsiTheme="minorHAnsi" w:cstheme="minorHAnsi"/>
        </w:rPr>
        <w:t xml:space="preserve">De aanvraag is op </w:t>
      </w:r>
      <w:r w:rsidR="002B357D" w:rsidRPr="002B357D">
        <w:rPr>
          <w:rStyle w:val="Calibri11Char"/>
          <w:rFonts w:asciiTheme="minorHAnsi" w:hAnsiTheme="minorHAnsi" w:cstheme="minorHAnsi"/>
        </w:rPr>
        <w:t>3</w:t>
      </w:r>
      <w:r w:rsidRPr="002B357D">
        <w:rPr>
          <w:rFonts w:asciiTheme="minorHAnsi" w:hAnsiTheme="minorHAnsi" w:cstheme="minorHAnsi"/>
        </w:rPr>
        <w:t xml:space="preserve"> oktober 2019 ontvangen; op 25 oktober 2019</w:t>
      </w:r>
      <w:r w:rsidRPr="002B357D">
        <w:rPr>
          <w:rStyle w:val="Calibri11Char"/>
          <w:rFonts w:asciiTheme="minorHAnsi" w:hAnsiTheme="minorHAnsi" w:cstheme="minorHAnsi"/>
        </w:rPr>
        <w:t xml:space="preserve"> zijn de verschuldigde aanvraagkosten ontvangen</w:t>
      </w:r>
      <w:r w:rsidRPr="002B357D">
        <w:rPr>
          <w:rFonts w:asciiTheme="minorHAnsi" w:hAnsiTheme="minorHAnsi" w:cstheme="minorHAnsi"/>
        </w:rPr>
        <w:t xml:space="preserve">. </w:t>
      </w:r>
    </w:p>
    <w:p w14:paraId="3F2E8D3A" w14:textId="10F2C7BC" w:rsidR="00472F75" w:rsidRDefault="00472F75" w:rsidP="00472F75">
      <w:pPr>
        <w:rPr>
          <w:rFonts w:ascii="Calibri" w:hAnsi="Calibri"/>
          <w:color w:val="FF0000"/>
        </w:rPr>
      </w:pPr>
    </w:p>
    <w:p w14:paraId="6849ADE2" w14:textId="77777777" w:rsidR="00A10266" w:rsidRDefault="00A10266" w:rsidP="00A10266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2.5 Nederland-specifieke elementen in de toelating</w:t>
      </w:r>
    </w:p>
    <w:p w14:paraId="6DA094C2" w14:textId="77777777" w:rsidR="00A10266" w:rsidRDefault="00A10266" w:rsidP="00A10266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De volgende nationaal specifieke elementen kunnen van toepassing zijn op anticoagulantia:</w:t>
      </w:r>
    </w:p>
    <w:p w14:paraId="44BE5F98" w14:textId="748AF8CC" w:rsidR="00A10266" w:rsidRPr="002B357D" w:rsidRDefault="00A10266" w:rsidP="002B357D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 w:rsidRPr="002B357D">
        <w:rPr>
          <w:rFonts w:ascii="Calibri" w:hAnsi="Calibri" w:cs="Calibri"/>
        </w:rPr>
        <w:t>In Nederland is het gebruik van biociden ter bestrijding van ratten door niet-professionele</w:t>
      </w:r>
      <w:r w:rsidR="002B357D" w:rsidRPr="002B357D">
        <w:rPr>
          <w:rFonts w:ascii="Calibri" w:hAnsi="Calibri" w:cs="Calibri"/>
        </w:rPr>
        <w:t xml:space="preserve"> </w:t>
      </w:r>
      <w:r w:rsidRPr="002B357D">
        <w:rPr>
          <w:rFonts w:ascii="Calibri" w:hAnsi="Calibri" w:cs="Calibri"/>
        </w:rPr>
        <w:t>gebruikers niet toegestaan.</w:t>
      </w:r>
    </w:p>
    <w:p w14:paraId="69ECC48C" w14:textId="36665A70" w:rsidR="00A10266" w:rsidRPr="002B357D" w:rsidRDefault="00A10266" w:rsidP="002B357D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 w:rsidRPr="002B357D">
        <w:rPr>
          <w:rFonts w:ascii="Calibri" w:hAnsi="Calibri" w:cs="Calibri"/>
        </w:rPr>
        <w:t>Anticoagulantia mogen in Nederland buiten alleen gebruikt worden door gecertificeerde</w:t>
      </w:r>
      <w:r w:rsidR="002B357D" w:rsidRPr="002B357D">
        <w:rPr>
          <w:rFonts w:ascii="Calibri" w:hAnsi="Calibri" w:cs="Calibri"/>
        </w:rPr>
        <w:t xml:space="preserve"> </w:t>
      </w:r>
      <w:r w:rsidRPr="002B357D">
        <w:rPr>
          <w:rFonts w:ascii="Calibri" w:hAnsi="Calibri" w:cs="Calibri"/>
        </w:rPr>
        <w:t>professionele gebruikers als laatste schakel in een strikt IPM protocol, zoals beschreven in het</w:t>
      </w:r>
      <w:r w:rsidR="002B357D" w:rsidRPr="002B357D">
        <w:rPr>
          <w:rFonts w:ascii="Calibri" w:hAnsi="Calibri" w:cs="Calibri"/>
        </w:rPr>
        <w:t xml:space="preserve"> </w:t>
      </w:r>
      <w:r w:rsidRPr="002B357D">
        <w:rPr>
          <w:rFonts w:ascii="Calibri" w:hAnsi="Calibri" w:cs="Calibri"/>
        </w:rPr>
        <w:t>‘Handboek beheersing rattenpopulaties om gebouwen en voedselopslagplaatsen’.</w:t>
      </w:r>
    </w:p>
    <w:p w14:paraId="32DC2629" w14:textId="2A39D71F" w:rsidR="00A10266" w:rsidRPr="002B357D" w:rsidRDefault="00A10266" w:rsidP="002B357D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 w:rsidRPr="002B357D">
        <w:rPr>
          <w:rFonts w:ascii="Calibri" w:hAnsi="Calibri" w:cs="Calibri"/>
        </w:rPr>
        <w:t>Het gebruik van eerste generatie anticoagulantia is in Nederland niet toegestaan ter bestrijding van bruine ratten.</w:t>
      </w:r>
    </w:p>
    <w:p w14:paraId="4CE53796" w14:textId="04D96915" w:rsidR="00A10266" w:rsidRPr="002B357D" w:rsidRDefault="00A10266" w:rsidP="002B357D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 w:rsidRPr="002B357D">
        <w:rPr>
          <w:rFonts w:ascii="Calibri" w:hAnsi="Calibri" w:cs="Calibri"/>
        </w:rPr>
        <w:t>In Nederland worden voor onderbouwing van de claim ‘gebruik ter bestrijding van ratten’</w:t>
      </w:r>
      <w:r w:rsidR="002B357D" w:rsidRPr="002B357D">
        <w:rPr>
          <w:rFonts w:ascii="Calibri" w:hAnsi="Calibri" w:cs="Calibri"/>
        </w:rPr>
        <w:t xml:space="preserve"> </w:t>
      </w:r>
      <w:r w:rsidRPr="002B357D">
        <w:rPr>
          <w:rFonts w:ascii="Calibri" w:hAnsi="Calibri" w:cs="Calibri"/>
        </w:rPr>
        <w:t>werkzaamheidsgegevens met bruine en zwarte ratten geëist waaruit blijkt dat het biocide</w:t>
      </w:r>
      <w:r w:rsidR="002B357D" w:rsidRPr="002B357D">
        <w:rPr>
          <w:rFonts w:ascii="Calibri" w:hAnsi="Calibri" w:cs="Calibri"/>
        </w:rPr>
        <w:t xml:space="preserve"> </w:t>
      </w:r>
      <w:r w:rsidRPr="002B357D">
        <w:rPr>
          <w:rFonts w:ascii="Calibri" w:hAnsi="Calibri" w:cs="Calibri"/>
        </w:rPr>
        <w:t>voldoende werkzaam is tegen beide soorten ratten.</w:t>
      </w:r>
    </w:p>
    <w:p w14:paraId="358B14BD" w14:textId="77777777" w:rsidR="00A10266" w:rsidRPr="008C195F" w:rsidRDefault="00A10266" w:rsidP="00A10266">
      <w:pPr>
        <w:ind w:firstLine="708"/>
        <w:rPr>
          <w:rFonts w:ascii="Calibri" w:hAnsi="Calibri"/>
          <w:color w:val="FF0000"/>
        </w:rPr>
      </w:pPr>
    </w:p>
    <w:p w14:paraId="77ECCB19" w14:textId="7DDBC241" w:rsidR="00472F75" w:rsidRPr="008C195F" w:rsidRDefault="00472F75" w:rsidP="00472F75">
      <w:pPr>
        <w:rPr>
          <w:rStyle w:val="Opmaakprofiel10ptVet"/>
          <w:rFonts w:ascii="Calibri" w:hAnsi="Calibri"/>
        </w:rPr>
      </w:pPr>
      <w:r w:rsidRPr="008C195F">
        <w:rPr>
          <w:rStyle w:val="Opmaakprofiel10ptVet"/>
          <w:rFonts w:ascii="Calibri" w:hAnsi="Calibri"/>
          <w:spacing w:val="-2"/>
        </w:rPr>
        <w:t>2.</w:t>
      </w:r>
      <w:r w:rsidR="00A10266">
        <w:rPr>
          <w:rStyle w:val="Opmaakprofiel10ptVet"/>
          <w:rFonts w:ascii="Calibri" w:hAnsi="Calibri"/>
          <w:spacing w:val="-2"/>
        </w:rPr>
        <w:t>6</w:t>
      </w:r>
      <w:r w:rsidRPr="008C195F">
        <w:rPr>
          <w:rStyle w:val="Opmaakprofiel10ptVet"/>
          <w:rFonts w:ascii="Calibri" w:hAnsi="Calibri"/>
          <w:spacing w:val="-2"/>
        </w:rPr>
        <w:t xml:space="preserve"> </w:t>
      </w:r>
      <w:r w:rsidRPr="008C195F">
        <w:rPr>
          <w:rStyle w:val="Opmaakprofiel10ptVet"/>
          <w:rFonts w:ascii="Calibri" w:hAnsi="Calibri"/>
        </w:rPr>
        <w:t xml:space="preserve"> Eindconclusie</w:t>
      </w:r>
    </w:p>
    <w:p w14:paraId="523886E6" w14:textId="48098CAC" w:rsidR="00472F75" w:rsidRPr="002B357D" w:rsidRDefault="00472F75" w:rsidP="00472F75">
      <w:pPr>
        <w:rPr>
          <w:rFonts w:asciiTheme="minorHAnsi" w:hAnsiTheme="minorHAnsi"/>
        </w:rPr>
      </w:pPr>
      <w:r w:rsidRPr="002B357D">
        <w:rPr>
          <w:rStyle w:val="Calibri11Char"/>
          <w:rFonts w:asciiTheme="minorHAnsi" w:hAnsiTheme="minorHAnsi"/>
        </w:rPr>
        <w:t xml:space="preserve">Bij gebruik volgens de voorschriften is het middel </w:t>
      </w:r>
      <w:r w:rsidRPr="002B357D">
        <w:rPr>
          <w:rFonts w:asciiTheme="minorHAnsi" w:hAnsiTheme="minorHAnsi"/>
        </w:rPr>
        <w:t xml:space="preserve">Vertox Oktablok </w:t>
      </w:r>
      <w:r w:rsidR="00CF60AB">
        <w:rPr>
          <w:rFonts w:asciiTheme="minorHAnsi" w:hAnsiTheme="minorHAnsi"/>
        </w:rPr>
        <w:t xml:space="preserve">/ Vertox Oktablok Pro </w:t>
      </w:r>
      <w:r w:rsidRPr="002B357D">
        <w:rPr>
          <w:rFonts w:asciiTheme="minorHAnsi" w:hAnsiTheme="minorHAnsi"/>
        </w:rPr>
        <w:t xml:space="preserve">op basis van de werkzame stof </w:t>
      </w:r>
      <w:r w:rsidR="00A10266" w:rsidRPr="002B357D">
        <w:rPr>
          <w:rFonts w:asciiTheme="minorHAnsi" w:hAnsiTheme="minorHAnsi"/>
        </w:rPr>
        <w:t>brodifacoum</w:t>
      </w:r>
      <w:r w:rsidR="00DF2AAF" w:rsidRPr="002B357D">
        <w:rPr>
          <w:rStyle w:val="Calibri11Char"/>
          <w:rFonts w:asciiTheme="minorHAnsi" w:hAnsiTheme="minorHAnsi"/>
        </w:rPr>
        <w:t xml:space="preserve"> </w:t>
      </w:r>
      <w:r w:rsidRPr="002B357D">
        <w:rPr>
          <w:rStyle w:val="Calibri11Char"/>
          <w:rFonts w:asciiTheme="minorHAnsi" w:hAnsiTheme="minorHAnsi"/>
        </w:rPr>
        <w:t>voldoende werkzaam en heeft het geen schadelijke uitwerking op de gezondheid van de mens en het</w:t>
      </w:r>
      <w:r w:rsidRPr="002B357D">
        <w:rPr>
          <w:rFonts w:asciiTheme="minorHAnsi" w:hAnsiTheme="minorHAnsi"/>
        </w:rPr>
        <w:t xml:space="preserve"> milieu.</w:t>
      </w:r>
    </w:p>
    <w:p w14:paraId="41BC2723" w14:textId="77777777" w:rsidR="00CA24C0" w:rsidRPr="008C195F" w:rsidRDefault="00CA24C0" w:rsidP="00222660">
      <w:pPr>
        <w:rPr>
          <w:rFonts w:ascii="Calibri" w:hAnsi="Calibri" w:cs="Arial"/>
        </w:rPr>
      </w:pPr>
    </w:p>
    <w:p w14:paraId="6A363790" w14:textId="65F3BA84" w:rsidR="00222660" w:rsidRPr="008C195F" w:rsidRDefault="001203DA" w:rsidP="00222660">
      <w:pPr>
        <w:rPr>
          <w:rFonts w:ascii="Calibri" w:hAnsi="Calibri" w:cs="Arial"/>
        </w:rPr>
      </w:pPr>
      <w:r w:rsidRPr="008C195F">
        <w:rPr>
          <w:rFonts w:ascii="Calibri" w:hAnsi="Calibri" w:cs="Arial"/>
        </w:rPr>
        <w:object w:dxaOrig="9072" w:dyaOrig="1880" w14:anchorId="2C247D38">
          <v:shape id="_x0000_i1026" type="#_x0000_t75" style="width:453.75pt;height:88.5pt" o:ole="">
            <v:imagedata r:id="rId10" o:title=""/>
          </v:shape>
          <o:OLEObject Type="Link" ProgID="Word.Document.8" ShapeID="_x0000_i1026" DrawAspect="Content" r:id="rId11" UpdateMode="Always">
            <o:LinkType>EnhancedMetaFile</o:LinkType>
            <o:LockedField>false</o:LockedField>
            <o:FieldCodes>\f 0 \* MERGEFORMAT</o:FieldCodes>
          </o:OLEObject>
        </w:object>
      </w:r>
    </w:p>
    <w:p w14:paraId="3CFE84F3" w14:textId="77777777" w:rsidR="00222660" w:rsidRPr="008C195F" w:rsidRDefault="00222660" w:rsidP="00222660">
      <w:pPr>
        <w:rPr>
          <w:rFonts w:ascii="Calibri" w:hAnsi="Calibri" w:cs="Arial"/>
          <w:i/>
        </w:rPr>
      </w:pPr>
    </w:p>
    <w:p w14:paraId="0B3F3EDD" w14:textId="7D3EDDB8" w:rsidR="00222660" w:rsidRPr="008C195F" w:rsidRDefault="008C195F" w:rsidP="00222660">
      <w:pPr>
        <w:rPr>
          <w:rFonts w:ascii="Calibri" w:hAnsi="Calibri" w:cs="Arial"/>
        </w:rPr>
      </w:pPr>
      <w:r>
        <w:rPr>
          <w:rFonts w:ascii="Calibri" w:hAnsi="Calibri" w:cs="Arial"/>
        </w:rPr>
        <w:t>Ede</w:t>
      </w:r>
      <w:r w:rsidR="00222660" w:rsidRPr="008C195F">
        <w:rPr>
          <w:rFonts w:ascii="Calibri" w:hAnsi="Calibri" w:cs="Arial"/>
        </w:rPr>
        <w:t>,</w:t>
      </w:r>
      <w:r w:rsidR="00520D40">
        <w:rPr>
          <w:rFonts w:ascii="Calibri" w:hAnsi="Calibri" w:cs="Arial"/>
        </w:rPr>
        <w:t xml:space="preserve"> 5 </w:t>
      </w:r>
      <w:r w:rsidR="00FB3350">
        <w:rPr>
          <w:rFonts w:ascii="Calibri" w:hAnsi="Calibri" w:cs="Arial"/>
        </w:rPr>
        <w:t>juni</w:t>
      </w:r>
      <w:bookmarkStart w:id="0" w:name="_GoBack"/>
      <w:bookmarkEnd w:id="0"/>
      <w:r w:rsidR="006646E1">
        <w:rPr>
          <w:rFonts w:ascii="Calibri" w:hAnsi="Calibri" w:cs="Arial"/>
        </w:rPr>
        <w:t xml:space="preserve"> 2020</w:t>
      </w:r>
      <w:r w:rsidR="00222660" w:rsidRPr="008C195F">
        <w:rPr>
          <w:rFonts w:ascii="Calibri" w:hAnsi="Calibri" w:cs="Arial"/>
        </w:rPr>
        <w:t xml:space="preserve"> </w:t>
      </w:r>
      <w:sdt>
        <w:sdtPr>
          <w:alias w:val="datumbesluit"/>
          <w:id w:val="-1814633643"/>
          <w:lock w:val="contentLocked"/>
          <w:showingPlcHdr/>
          <w:dataBinding w:xpath="*/field[@name='datumbesluit']" w:storeItemID="{4F70656E-494D-5357-6F72-647630303030}"/>
          <w:text w:multiLine="1"/>
        </w:sdtPr>
        <w:sdtEndPr/>
        <w:sdtContent>
          <w:r w:rsidR="00824C65">
            <w:t xml:space="preserve">     </w:t>
          </w:r>
        </w:sdtContent>
      </w:sdt>
    </w:p>
    <w:p w14:paraId="145B5CEF" w14:textId="77777777" w:rsidR="00B4664A" w:rsidRPr="008C195F" w:rsidRDefault="00B4664A" w:rsidP="00222660">
      <w:pPr>
        <w:rPr>
          <w:rFonts w:ascii="Calibri" w:hAnsi="Calibri" w:cs="Arial"/>
        </w:rPr>
      </w:pPr>
    </w:p>
    <w:p w14:paraId="5E1D3B79" w14:textId="0577C9AB" w:rsidR="004E04B5" w:rsidRDefault="001203DA" w:rsidP="00224522">
      <w:pPr>
        <w:rPr>
          <w:rFonts w:ascii="Calibri" w:hAnsi="Calibri"/>
        </w:rPr>
      </w:pPr>
      <w:r w:rsidRPr="008C195F">
        <w:rPr>
          <w:rFonts w:ascii="Calibri" w:hAnsi="Calibri"/>
        </w:rPr>
        <w:object w:dxaOrig="9072" w:dyaOrig="2417" w14:anchorId="0EE49ABF">
          <v:shape id="_x0000_i1027" type="#_x0000_t75" style="width:453.75pt;height:114pt" o:ole="">
            <v:imagedata r:id="rId12" o:title=""/>
          </v:shape>
          <o:OLEObject Type="Link" ProgID="Word.Document.8" ShapeID="_x0000_i1027" DrawAspect="Content" r:id="rId13" UpdateMode="Always">
            <o:LinkType>EnhancedMetaFile</o:LinkType>
            <o:LockedField>false</o:LockedField>
            <o:FieldCodes>\f 0 \* MERGEFORMAT</o:FieldCodes>
          </o:OLEObject>
        </w:object>
      </w:r>
    </w:p>
    <w:p w14:paraId="0C92CCE6" w14:textId="77777777" w:rsidR="00A10266" w:rsidRDefault="00A10266" w:rsidP="00224522">
      <w:pPr>
        <w:rPr>
          <w:rFonts w:ascii="Calibri" w:hAnsi="Calibri"/>
        </w:rPr>
      </w:pPr>
    </w:p>
    <w:p w14:paraId="6ED8766E" w14:textId="77777777" w:rsidR="00A10266" w:rsidRDefault="00A10266" w:rsidP="00224522">
      <w:pPr>
        <w:rPr>
          <w:rFonts w:ascii="Calibri" w:hAnsi="Calibri"/>
        </w:rPr>
      </w:pPr>
    </w:p>
    <w:p w14:paraId="02A000BA" w14:textId="77777777" w:rsidR="004E04B5" w:rsidRPr="008C195F" w:rsidRDefault="004E04B5" w:rsidP="00224522">
      <w:pPr>
        <w:rPr>
          <w:rFonts w:ascii="Calibri" w:hAnsi="Calibri"/>
        </w:rPr>
      </w:pPr>
    </w:p>
    <w:sectPr w:rsidR="004E04B5" w:rsidRPr="008C195F" w:rsidSect="004E04B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134" w:right="1134" w:bottom="1134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48CAD" w14:textId="77777777" w:rsidR="002873EE" w:rsidRDefault="002873EE">
      <w:r>
        <w:separator/>
      </w:r>
    </w:p>
  </w:endnote>
  <w:endnote w:type="continuationSeparator" w:id="0">
    <w:p w14:paraId="4899ED9B" w14:textId="77777777" w:rsidR="002873EE" w:rsidRDefault="0028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ndardSym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214A4" w14:textId="77777777" w:rsidR="00106674" w:rsidRDefault="00106674" w:rsidP="001160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CEBE01" w14:textId="77777777" w:rsidR="00106674" w:rsidRDefault="00106674" w:rsidP="002962C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45685" w14:textId="4B18E610" w:rsidR="00106674" w:rsidRDefault="00106674" w:rsidP="001160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0EFA">
      <w:rPr>
        <w:rStyle w:val="PageNumber"/>
        <w:noProof/>
      </w:rPr>
      <w:t>2</w:t>
    </w:r>
    <w:r>
      <w:rPr>
        <w:rStyle w:val="PageNumber"/>
      </w:rPr>
      <w:fldChar w:fldCharType="end"/>
    </w:r>
  </w:p>
  <w:p w14:paraId="5B17ECC1" w14:textId="74C86BFF" w:rsidR="00106674" w:rsidRPr="00DE28EA" w:rsidRDefault="00106674" w:rsidP="004977CE">
    <w:pPr>
      <w:pStyle w:val="Calibri11"/>
      <w:rPr>
        <w:bCs/>
        <w:sz w:val="18"/>
        <w:szCs w:val="18"/>
      </w:rPr>
    </w:pPr>
    <w:proofErr w:type="spellStart"/>
    <w:r>
      <w:t>Vertox</w:t>
    </w:r>
    <w:proofErr w:type="spellEnd"/>
    <w:r>
      <w:t xml:space="preserve"> </w:t>
    </w:r>
    <w:proofErr w:type="spellStart"/>
    <w:r>
      <w:t>Oktablok</w:t>
    </w:r>
    <w:proofErr w:type="spellEnd"/>
    <w:r w:rsidR="00CF60AB">
      <w:t xml:space="preserve"> / </w:t>
    </w:r>
    <w:proofErr w:type="spellStart"/>
    <w:r w:rsidR="00CF60AB">
      <w:t>Vertox</w:t>
    </w:r>
    <w:proofErr w:type="spellEnd"/>
    <w:r w:rsidR="00CF60AB">
      <w:t xml:space="preserve"> </w:t>
    </w:r>
    <w:proofErr w:type="spellStart"/>
    <w:r w:rsidR="00CF60AB">
      <w:t>Oktablok</w:t>
    </w:r>
    <w:proofErr w:type="spellEnd"/>
    <w:r w:rsidR="00CF60AB">
      <w:t xml:space="preserve"> Pro</w:t>
    </w:r>
    <w:r>
      <w:rPr>
        <w:bCs/>
        <w:sz w:val="18"/>
        <w:szCs w:val="18"/>
      </w:rPr>
      <w:t xml:space="preserve">, </w:t>
    </w:r>
    <w:r>
      <w:t>20191833 B-TWENS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FEADC" w14:textId="77777777" w:rsidR="00CF60AB" w:rsidRDefault="00CF60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8A8D2" w14:textId="77777777" w:rsidR="002873EE" w:rsidRDefault="002873EE">
      <w:r>
        <w:separator/>
      </w:r>
    </w:p>
  </w:footnote>
  <w:footnote w:type="continuationSeparator" w:id="0">
    <w:p w14:paraId="3ADE302C" w14:textId="77777777" w:rsidR="002873EE" w:rsidRDefault="00287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C2877" w14:textId="77777777" w:rsidR="00CF60AB" w:rsidRDefault="00CF60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157D2" w14:textId="61846695" w:rsidR="00106674" w:rsidRPr="00BC204C" w:rsidRDefault="00106674" w:rsidP="004977CE">
    <w:pPr>
      <w:pStyle w:val="Calibri11"/>
      <w:rPr>
        <w:sz w:val="20"/>
      </w:rPr>
    </w:pPr>
    <w:r>
      <w:rPr>
        <w:sz w:val="20"/>
      </w:rPr>
      <w:t xml:space="preserve"> </w:t>
    </w:r>
    <w:r w:rsidR="005D29CA">
      <w:rPr>
        <w:sz w:val="20"/>
      </w:rPr>
      <w:t>NL-00</w:t>
    </w:r>
    <w:r w:rsidR="005F2214">
      <w:rPr>
        <w:sz w:val="20"/>
      </w:rPr>
      <w:t>22084-0000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EF774" w14:textId="77777777" w:rsidR="00CF60AB" w:rsidRDefault="00CF60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0428"/>
    <w:multiLevelType w:val="multilevel"/>
    <w:tmpl w:val="F41EDDD6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42B1F17"/>
    <w:multiLevelType w:val="multilevel"/>
    <w:tmpl w:val="01BAB906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7EF1D2C"/>
    <w:multiLevelType w:val="multilevel"/>
    <w:tmpl w:val="01BAB906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9CF0876"/>
    <w:multiLevelType w:val="multilevel"/>
    <w:tmpl w:val="F41EDDD6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EB32B5B"/>
    <w:multiLevelType w:val="multilevel"/>
    <w:tmpl w:val="F41EDDD6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2770FCE"/>
    <w:multiLevelType w:val="hybridMultilevel"/>
    <w:tmpl w:val="4740E3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C3525"/>
    <w:multiLevelType w:val="hybridMultilevel"/>
    <w:tmpl w:val="7E727784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146285"/>
    <w:multiLevelType w:val="hybridMultilevel"/>
    <w:tmpl w:val="8396ABEA"/>
    <w:lvl w:ilvl="0" w:tplc="2374A034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D7B83"/>
    <w:multiLevelType w:val="hybridMultilevel"/>
    <w:tmpl w:val="5D6EABF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DD3ED6"/>
    <w:multiLevelType w:val="hybridMultilevel"/>
    <w:tmpl w:val="9EF0021A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2011C77"/>
    <w:multiLevelType w:val="multilevel"/>
    <w:tmpl w:val="4E1A9DF2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43043A5E"/>
    <w:multiLevelType w:val="multilevel"/>
    <w:tmpl w:val="3ED85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4ACE082F"/>
    <w:multiLevelType w:val="multilevel"/>
    <w:tmpl w:val="98EAE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D31126C"/>
    <w:multiLevelType w:val="multilevel"/>
    <w:tmpl w:val="B19AF1CE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61A40DCA"/>
    <w:multiLevelType w:val="multilevel"/>
    <w:tmpl w:val="98EAE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63807EF5"/>
    <w:multiLevelType w:val="multilevel"/>
    <w:tmpl w:val="D52E0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5556CA"/>
    <w:multiLevelType w:val="multilevel"/>
    <w:tmpl w:val="ACB639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74B51787"/>
    <w:multiLevelType w:val="hybridMultilevel"/>
    <w:tmpl w:val="F8403F1A"/>
    <w:lvl w:ilvl="0" w:tplc="19764E3E">
      <w:numFmt w:val="bullet"/>
      <w:lvlText w:val="•"/>
      <w:lvlJc w:val="left"/>
      <w:pPr>
        <w:ind w:left="1068" w:hanging="360"/>
      </w:pPr>
      <w:rPr>
        <w:rFonts w:ascii="StandardSymL" w:eastAsia="Times New Roman" w:hAnsi="StandardSymL" w:cs="StandardSym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A7367AE"/>
    <w:multiLevelType w:val="multilevel"/>
    <w:tmpl w:val="2D104152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5"/>
  </w:num>
  <w:num w:numId="5">
    <w:abstractNumId w:val="10"/>
  </w:num>
  <w:num w:numId="6">
    <w:abstractNumId w:val="18"/>
  </w:num>
  <w:num w:numId="7">
    <w:abstractNumId w:val="0"/>
  </w:num>
  <w:num w:numId="8">
    <w:abstractNumId w:val="3"/>
  </w:num>
  <w:num w:numId="9">
    <w:abstractNumId w:val="11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12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9"/>
  </w:num>
  <w:num w:numId="19">
    <w:abstractNumId w:val="1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MS_FLAG" w:val="Waar"/>
  </w:docVars>
  <w:rsids>
    <w:rsidRoot w:val="001558BD"/>
    <w:rsid w:val="000501A3"/>
    <w:rsid w:val="00053751"/>
    <w:rsid w:val="00066F8A"/>
    <w:rsid w:val="00071794"/>
    <w:rsid w:val="00072D5E"/>
    <w:rsid w:val="00075B0A"/>
    <w:rsid w:val="00094F69"/>
    <w:rsid w:val="000A4AD1"/>
    <w:rsid w:val="000B0F55"/>
    <w:rsid w:val="000C2DC5"/>
    <w:rsid w:val="000D5B11"/>
    <w:rsid w:val="000F47A1"/>
    <w:rsid w:val="0010652E"/>
    <w:rsid w:val="00106674"/>
    <w:rsid w:val="00111884"/>
    <w:rsid w:val="00116065"/>
    <w:rsid w:val="001203DA"/>
    <w:rsid w:val="00140977"/>
    <w:rsid w:val="001558BD"/>
    <w:rsid w:val="00163AF0"/>
    <w:rsid w:val="0017659A"/>
    <w:rsid w:val="002011D6"/>
    <w:rsid w:val="00205600"/>
    <w:rsid w:val="002119B6"/>
    <w:rsid w:val="00222660"/>
    <w:rsid w:val="00224522"/>
    <w:rsid w:val="0022589F"/>
    <w:rsid w:val="00237216"/>
    <w:rsid w:val="0024510B"/>
    <w:rsid w:val="002873EE"/>
    <w:rsid w:val="002962C2"/>
    <w:rsid w:val="002A6BE6"/>
    <w:rsid w:val="002A7DFA"/>
    <w:rsid w:val="002B357D"/>
    <w:rsid w:val="002B3CBD"/>
    <w:rsid w:val="002C184B"/>
    <w:rsid w:val="002C49BD"/>
    <w:rsid w:val="002D4AA9"/>
    <w:rsid w:val="002D5E5A"/>
    <w:rsid w:val="002D7EE0"/>
    <w:rsid w:val="002E0991"/>
    <w:rsid w:val="00301ED7"/>
    <w:rsid w:val="00331CEF"/>
    <w:rsid w:val="00354DCE"/>
    <w:rsid w:val="00355F26"/>
    <w:rsid w:val="00370D64"/>
    <w:rsid w:val="00391DFE"/>
    <w:rsid w:val="003C0E4F"/>
    <w:rsid w:val="00406797"/>
    <w:rsid w:val="00422E34"/>
    <w:rsid w:val="004254C5"/>
    <w:rsid w:val="00427149"/>
    <w:rsid w:val="00427A2D"/>
    <w:rsid w:val="004424DF"/>
    <w:rsid w:val="00472F75"/>
    <w:rsid w:val="004977CE"/>
    <w:rsid w:val="004B06DB"/>
    <w:rsid w:val="004B358B"/>
    <w:rsid w:val="004C01C7"/>
    <w:rsid w:val="004D0D11"/>
    <w:rsid w:val="004E04B5"/>
    <w:rsid w:val="004E4BB1"/>
    <w:rsid w:val="0050129D"/>
    <w:rsid w:val="0051057B"/>
    <w:rsid w:val="00520D40"/>
    <w:rsid w:val="00523016"/>
    <w:rsid w:val="00527602"/>
    <w:rsid w:val="005367C2"/>
    <w:rsid w:val="0054063F"/>
    <w:rsid w:val="005425AD"/>
    <w:rsid w:val="005516CC"/>
    <w:rsid w:val="00553D00"/>
    <w:rsid w:val="00592ED7"/>
    <w:rsid w:val="005A2F99"/>
    <w:rsid w:val="005D29CA"/>
    <w:rsid w:val="005D6A7E"/>
    <w:rsid w:val="005E02A8"/>
    <w:rsid w:val="005E5223"/>
    <w:rsid w:val="005F2214"/>
    <w:rsid w:val="006062E4"/>
    <w:rsid w:val="00607CD3"/>
    <w:rsid w:val="006147F8"/>
    <w:rsid w:val="00622A8F"/>
    <w:rsid w:val="00630B2E"/>
    <w:rsid w:val="006362F8"/>
    <w:rsid w:val="00636DDD"/>
    <w:rsid w:val="0064423F"/>
    <w:rsid w:val="00644666"/>
    <w:rsid w:val="006477E4"/>
    <w:rsid w:val="00657111"/>
    <w:rsid w:val="006646E1"/>
    <w:rsid w:val="006924D1"/>
    <w:rsid w:val="00695977"/>
    <w:rsid w:val="00697B0C"/>
    <w:rsid w:val="006B0E48"/>
    <w:rsid w:val="006B11A4"/>
    <w:rsid w:val="006C24E2"/>
    <w:rsid w:val="006D331B"/>
    <w:rsid w:val="006F687D"/>
    <w:rsid w:val="00703F27"/>
    <w:rsid w:val="00704E3E"/>
    <w:rsid w:val="00714080"/>
    <w:rsid w:val="0073408A"/>
    <w:rsid w:val="00737660"/>
    <w:rsid w:val="007376C4"/>
    <w:rsid w:val="007444EC"/>
    <w:rsid w:val="007505FE"/>
    <w:rsid w:val="00761A90"/>
    <w:rsid w:val="00762E2C"/>
    <w:rsid w:val="00781123"/>
    <w:rsid w:val="00781C21"/>
    <w:rsid w:val="00786D7E"/>
    <w:rsid w:val="007E46A1"/>
    <w:rsid w:val="007F1A9A"/>
    <w:rsid w:val="007F4D57"/>
    <w:rsid w:val="00804A34"/>
    <w:rsid w:val="00815781"/>
    <w:rsid w:val="008161F1"/>
    <w:rsid w:val="00824C65"/>
    <w:rsid w:val="00824ECE"/>
    <w:rsid w:val="00833E95"/>
    <w:rsid w:val="00853495"/>
    <w:rsid w:val="00883332"/>
    <w:rsid w:val="008833FA"/>
    <w:rsid w:val="0089602C"/>
    <w:rsid w:val="008B14D4"/>
    <w:rsid w:val="008C195F"/>
    <w:rsid w:val="008D7143"/>
    <w:rsid w:val="008E223F"/>
    <w:rsid w:val="009145E9"/>
    <w:rsid w:val="00923112"/>
    <w:rsid w:val="00941A7F"/>
    <w:rsid w:val="0094429E"/>
    <w:rsid w:val="00944425"/>
    <w:rsid w:val="009467B5"/>
    <w:rsid w:val="00946BC8"/>
    <w:rsid w:val="00951C87"/>
    <w:rsid w:val="00961F4D"/>
    <w:rsid w:val="00963C5E"/>
    <w:rsid w:val="00986C37"/>
    <w:rsid w:val="009B6D4F"/>
    <w:rsid w:val="009C14C8"/>
    <w:rsid w:val="009E1DAC"/>
    <w:rsid w:val="009F62C8"/>
    <w:rsid w:val="009F74F9"/>
    <w:rsid w:val="00A04871"/>
    <w:rsid w:val="00A10266"/>
    <w:rsid w:val="00A11091"/>
    <w:rsid w:val="00A120FC"/>
    <w:rsid w:val="00A1451E"/>
    <w:rsid w:val="00A179C7"/>
    <w:rsid w:val="00A20F82"/>
    <w:rsid w:val="00A2125F"/>
    <w:rsid w:val="00A364A0"/>
    <w:rsid w:val="00A43A68"/>
    <w:rsid w:val="00A43A8D"/>
    <w:rsid w:val="00A66837"/>
    <w:rsid w:val="00A66B09"/>
    <w:rsid w:val="00A85D2B"/>
    <w:rsid w:val="00A90600"/>
    <w:rsid w:val="00AA45CF"/>
    <w:rsid w:val="00AB59A1"/>
    <w:rsid w:val="00AD1C1F"/>
    <w:rsid w:val="00AD429A"/>
    <w:rsid w:val="00AE0ED6"/>
    <w:rsid w:val="00AE5CC3"/>
    <w:rsid w:val="00AE623F"/>
    <w:rsid w:val="00B0639F"/>
    <w:rsid w:val="00B111BC"/>
    <w:rsid w:val="00B203EE"/>
    <w:rsid w:val="00B31648"/>
    <w:rsid w:val="00B4664A"/>
    <w:rsid w:val="00B5639A"/>
    <w:rsid w:val="00B62EC3"/>
    <w:rsid w:val="00B74194"/>
    <w:rsid w:val="00B9038B"/>
    <w:rsid w:val="00B93B51"/>
    <w:rsid w:val="00BB181D"/>
    <w:rsid w:val="00BC204C"/>
    <w:rsid w:val="00BC2238"/>
    <w:rsid w:val="00BC63C4"/>
    <w:rsid w:val="00BF2211"/>
    <w:rsid w:val="00BF4740"/>
    <w:rsid w:val="00C06DD4"/>
    <w:rsid w:val="00C071E0"/>
    <w:rsid w:val="00C25D21"/>
    <w:rsid w:val="00C405A4"/>
    <w:rsid w:val="00C43A8B"/>
    <w:rsid w:val="00C4607C"/>
    <w:rsid w:val="00C540F9"/>
    <w:rsid w:val="00C60413"/>
    <w:rsid w:val="00C63113"/>
    <w:rsid w:val="00C72936"/>
    <w:rsid w:val="00C73F5A"/>
    <w:rsid w:val="00C83FB8"/>
    <w:rsid w:val="00C841E2"/>
    <w:rsid w:val="00C94A7D"/>
    <w:rsid w:val="00C95BAC"/>
    <w:rsid w:val="00CA24C0"/>
    <w:rsid w:val="00CC75A8"/>
    <w:rsid w:val="00CF60AB"/>
    <w:rsid w:val="00CF79C3"/>
    <w:rsid w:val="00D006DF"/>
    <w:rsid w:val="00D05EF3"/>
    <w:rsid w:val="00D06692"/>
    <w:rsid w:val="00D153C8"/>
    <w:rsid w:val="00D15B18"/>
    <w:rsid w:val="00D3028A"/>
    <w:rsid w:val="00D31B62"/>
    <w:rsid w:val="00D33B03"/>
    <w:rsid w:val="00D33E11"/>
    <w:rsid w:val="00D35CDF"/>
    <w:rsid w:val="00D65646"/>
    <w:rsid w:val="00D7696F"/>
    <w:rsid w:val="00D8144A"/>
    <w:rsid w:val="00D9199C"/>
    <w:rsid w:val="00D95BA0"/>
    <w:rsid w:val="00DA65A0"/>
    <w:rsid w:val="00DB6560"/>
    <w:rsid w:val="00DE28EA"/>
    <w:rsid w:val="00DE7FE9"/>
    <w:rsid w:val="00DF2AAF"/>
    <w:rsid w:val="00E10E1D"/>
    <w:rsid w:val="00E56E37"/>
    <w:rsid w:val="00E9750A"/>
    <w:rsid w:val="00EA2336"/>
    <w:rsid w:val="00EB7301"/>
    <w:rsid w:val="00EC1E16"/>
    <w:rsid w:val="00EC359C"/>
    <w:rsid w:val="00EC3AAE"/>
    <w:rsid w:val="00EE77F9"/>
    <w:rsid w:val="00F06A12"/>
    <w:rsid w:val="00F20741"/>
    <w:rsid w:val="00F324E8"/>
    <w:rsid w:val="00F34F38"/>
    <w:rsid w:val="00F41D6A"/>
    <w:rsid w:val="00F44BBD"/>
    <w:rsid w:val="00F554A6"/>
    <w:rsid w:val="00F62BB1"/>
    <w:rsid w:val="00F77726"/>
    <w:rsid w:val="00F80EFA"/>
    <w:rsid w:val="00F90ADD"/>
    <w:rsid w:val="00FB3350"/>
    <w:rsid w:val="00FB764C"/>
    <w:rsid w:val="00FC6320"/>
    <w:rsid w:val="00FF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EE74EB3"/>
  <w15:chartTrackingRefBased/>
  <w15:docId w15:val="{5853E9C3-6AD6-4593-B8DE-F654AB50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4510B"/>
    <w:rPr>
      <w:rFonts w:ascii="Arial" w:hAnsi="Arial"/>
      <w:sz w:val="22"/>
      <w:szCs w:val="22"/>
    </w:rPr>
  </w:style>
  <w:style w:type="paragraph" w:styleId="Heading3">
    <w:name w:val="heading 3"/>
    <w:basedOn w:val="Normal"/>
    <w:next w:val="Normal"/>
    <w:qFormat/>
    <w:rsid w:val="0024510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27A2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27A2D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22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2011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011D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011D6"/>
    <w:rPr>
      <w:b/>
      <w:bCs/>
    </w:rPr>
  </w:style>
  <w:style w:type="paragraph" w:styleId="BalloonText">
    <w:name w:val="Balloon Text"/>
    <w:basedOn w:val="Normal"/>
    <w:semiHidden/>
    <w:rsid w:val="002011D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2962C2"/>
  </w:style>
  <w:style w:type="character" w:customStyle="1" w:styleId="Opmaakprofiel10ptVet">
    <w:name w:val="Opmaakprofiel 10 pt Vet"/>
    <w:rsid w:val="00472F75"/>
    <w:rPr>
      <w:rFonts w:ascii="Arial" w:hAnsi="Arial"/>
      <w:b/>
      <w:bCs/>
      <w:sz w:val="22"/>
      <w:szCs w:val="24"/>
      <w:lang w:val="pl-PL" w:eastAsia="pl-PL" w:bidi="ar-SA"/>
    </w:rPr>
  </w:style>
  <w:style w:type="paragraph" w:styleId="TOC1">
    <w:name w:val="toc 1"/>
    <w:aliases w:val="TOC 10"/>
    <w:basedOn w:val="Normal"/>
    <w:next w:val="Normal"/>
    <w:semiHidden/>
    <w:rsid w:val="00472F75"/>
    <w:pPr>
      <w:tabs>
        <w:tab w:val="right" w:leader="dot" w:pos="9071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Calibri11">
    <w:name w:val="Calibri 11"/>
    <w:basedOn w:val="Normal"/>
    <w:link w:val="Calibri11Char"/>
    <w:qFormat/>
    <w:rsid w:val="004977CE"/>
    <w:rPr>
      <w:rFonts w:ascii="Calibri" w:hAnsi="Calibri"/>
    </w:rPr>
  </w:style>
  <w:style w:type="character" w:customStyle="1" w:styleId="Calibri11Char">
    <w:name w:val="Calibri 11 Char"/>
    <w:basedOn w:val="DefaultParagraphFont"/>
    <w:link w:val="Calibri11"/>
    <w:rsid w:val="004977CE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2B357D"/>
    <w:pPr>
      <w:ind w:left="720"/>
      <w:contextualSpacing/>
    </w:pPr>
  </w:style>
  <w:style w:type="character" w:customStyle="1" w:styleId="frmlbl4">
    <w:name w:val="frmlbl4"/>
    <w:rsid w:val="00331CE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B0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http://intranet.ctgb.nl/ufc/file2/ctgb_sites/adminmarlies/7947285905aab8f8c29551877ffce5ee/pu/Ondertekening_besluit_voorzitter.doc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http://intranet.ctgb.nl/ufc/file2/ctgb_sites/adminmarlies/0d464c676865bf7ca12ab4d5769661f9/pu/Disclaimer_besluit_.do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http://intranet.ctgb.nl/ufc/file2/ctgb_sites/adminmarlies/2303f322c5dbb5639a32237b1ec0ec1d/pu/Kop_Besluit.doc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  <field name="doctype" markerprefix="true">BESL</field>
  <field name="aspect" markerprefix="true">NVT</field>
  <field name="middelnaam" markerprefix="true">Vertox Oktablok / Vertox Oktablok Pro</field>
  <field name="aanvraagnummer" markerprefix="true">20191833</field>
  <field name="aanvraagtype" markerprefix="true">B-TWENS</field>
  <field name="aanvraagtype_omschr" markerprefix="true">Opeenvolgende wederzijdse erkenning</field>
  <field name="toelatingsnummer" markerprefix="true"/>
  <field name="indiener_relatienaam" markerprefix="true">PelGar International Limited</field>
  <field name="indiener_straat_regel" markerprefix="true">18 rue des Remparts d'Ainay  </field>
  <field name="indiener_woonplaats_regel" markerprefix="true">FR-69002 LYON</field>
  <field name="indiener_land_regel" markerprefix="true">France</field>
  <field name="contactpers_relatienaam" markerprefix="true">Anne Withall</field>
  <field name="tussenpers_relatienaam" markerprefix="true"> </field>
  <field name="tussenpers_straat_regel" markerprefix="true">  </field>
  <field name="tussenpers_woonplaats_regel" markerprefix="true"> </field>
  <field name="tussenpers_land_regel" markerprefix="true"/>
  <field name="formele_registratiedatum" markerprefix="true">25 oktober 2019</field>
  <field name="ws_en" markerprefix="true">brodifacoum</field>
  <field name="ws_nl" markerprefix="true">brodifacoum</field>
  <field name="docnr" markerprefix="true">202006020240</field>
  <field name="author" markerprefix="true">Lubbe, L (Leo)</field>
  <field name="bestrijdingsmiddel_nr" markerprefix="true"/>
  <field name="ontvangstdatum" markerprefix="true">18 oktober 2019</field>
  <field name="stoffen" markerprefix="true"/>
  <field name="opmerkingen" markerprefix="true"/>
  <field name="dagtekening" markerprefix="true">2 juni 2020</field>
  <field name="name" markerprefix="true">200605 NL-0022084 BESL</field>
  <field name="description" markerprefix="true">200605 NL-0022084</field>
  <field name="workflow" markerprefix="true">Algemeen</field>
  <field name="lastchangeddmy" markerprefix="true">02 juni 2020</field>
  <field name="lastpublisheddmy" markerprefix="true">02 juni 2020</field>
  <field name="lastchangedmdy" markerprefix="true">June 02nd 2020</field>
  <field name="lastpublishedmdy" markerprefix="true">June 02nd 2020</field>
  <field name="allocto" markerprefix="true">Lubbe, L (Leo)</field>
  <field name="dsaanvraagnummer" markerprefix="true">20191833</field>
  <field name="dsmiddelnaam" markerprefix="true">Vertox Oktablok / Vertox Oktablok Pro</field>
  <field name="dsaanvraagtype" markerprefix="true">B-TWENS</field>
  <field name="dsbiocide" markerprefix="true">Biocide</field>
  <field name="dsafgeleide" markerprefix="true">Nieuw Middel</field>
  <field name="dsindiener_relatienaam" markerprefix="true">PelGar International Limited</field>
  <field name="dsindiener_straat_regel" markerprefix="true">18 rue des Remparts d'Ainay  </field>
  <field name="dsindiener_woonplaats_regel" markerprefix="true">FR-69002 LYON</field>
  <field name="dsindiener_land_regel" markerprefix="true">France</field>
  <field name="dscontactpers_relatienaam" markerprefix="true">Anne Withall</field>
  <field name="dstoelatingshouder_relatienaam" markerprefix="true">PelGar International Limited</field>
  <field name="dsaanvraagtype_omschr" markerprefix="true">Opeenvolgende wederzijdse erkenning</field>
  <field name="dsomschrijving_engels" markerprefix="true">Mutual recognition in sequence</field>
  <field name="dsontvangstdatum" markerprefix="true">18 oktober 2019</field>
  <field name="dsind_kinderveilige_sluiting" markerprefix="true">Nee</field>
  <field name="dsind_waarneembare_aanduiding" markerprefix="true">Nee</field>
  <field name="dstoelating_adres_regel" markerprefix="true">18 rue des Remparts d'Ainay  </field>
  <field name="dstoelating_woonplaats_regel" markerprefix="true">FR-69002 LYON</field>
  <field name="dstoelating_land_regel" markerprefix="true">France</field>
  <field name="dsbriefnaam_pl" markerprefix="true">Mr. Ruud van Driel</field>
  <field name="dstelefoonnummer_pl" markerprefix="true">0317-753824</field>
  <field name="dsemailadres_pl" markerprefix="true">ruud.van.driel@ctgb.nl</field>
  <field name="dsdoctype" markerprefix="true">DAT</field>
  <field name="dswet" markerprefix="true"/>
  <field name="dsprofessioneel" markerprefix="true">Professioneel</field>
  <field name="dstoelating_aard_preparaat_oms" markerprefix="true">Lokmiddel (klaar voor gebruik)</field>
  <field name="dsws_en" markerprefix="true">brodifacoum</field>
  <field name="dsws_nl" markerprefix="true">brodifacoum</field>
  <field name="dsetiketstof_en" markerprefix="true">brodifacoum</field>
  <field name="dsetiketstof_nl" markerprefix="true">brodifacoum</field>
  <field name="dsgevaar_clp_nl" markerprefix="true">GHS08</field>
  <field name="dssignaal_clp_nl" markerprefix="true">Gevaar</field>
  <field name="dscvm_combi_nl" markerprefix="true"/>
  <field name="dscvm_nprof_nl" markerprefix="true"/>
  <field name="dscvm_prof_nl" markerprefix="true">P201	Vóór gebruik speciale aanwijzingen raadplegen.
P202	Pas gebruiken nadat u alle veiligheidsvoorschriften gelezen en begrepen heeft.
P280A	Beschermende handschoenen dragen.
P308 + P313	Na (mogelijke) blootstelling: een arts raadplegen.
P314	Bij onwel voelen een arts raadplegen.
P405	Achter slot bewaren.
P501	Inhoud/verpakking afvoeren naar ....</field>
  <field name="dsgev_combi_nl" markerprefix="true"/>
  <field name="dscav_combi_nl" markerprefix="true"/>
  <field name="dsgev_nprof_nl" markerprefix="true"/>
  <field name="dscav_nprof_nl" markerprefix="true"/>
  <field name="dsgev_prof_nl" markerprefix="true">H373	Kan schade aan het bloed veroorzaken bij langdurige of herhaalde blootstelling.
H360D	Kan het ongeboren kind schaden.</field>
  <field name="dscav_prof_nl" markerprefix="true">EUH208	Bevat 1,2-benzisothiazool-3(2H)-on. Kan een allergische reactie veroorzaken.</field>
  <field name="dswsfact" markerprefix="true">brodifacoum	0,005 %</field>
  <field name="dstoelating_middelnaam_moeder" markerprefix="true"/>
  <field name="dstoelating_toelatinghouder_moeder" markerprefix="true"/>
  <field name="dstoelatingsnummermoeder" markerprefix="true"/>
  <field name="dstoelatingsnummer" markerprefix="true">NL-0022084-0000</field>
  <field name="dstoelating_start_datum" markerprefix="true">5 juni 2020</field>
  <field name="dstoelating_expiratie_datum" markerprefix="true">25 april 2023</field>
  <field name="dstoelating_aflevertermijn" markerprefix="true"/>
  <field name="dstoelating_opgebruiktermijn" markerprefix="true"/>
  <field name="dsgemachtigd_relatienaam" markerprefix="true"/>
  <field name="dsgemachtigd_straat_regel" markerprefix="true">  </field>
  <field name="dsgemachtigd_woonplaats_regel" markerprefix="true"> </field>
  <field name="dsgemachtigd_land_regel" markerprefix="true"/>
  <field name="dstussenpers_relatienaam" markerprefix="true"> </field>
  <field name="dstussenpers_straat_regel" markerprefix="true">  </field>
  <field name="dstussenpers_woonplaats_regel" markerprefix="true"> </field>
  <field name="dstussenpers_land_regel" markerprefix="true"/>
  <field name="dsformele_registratiedatum" markerprefix="true">25 oktober 2019</field>
  <field name="dsgemachtigd" markerprefix="true"/>
  <field name="dsstoffen" markerprefix="true"/>
  <field name="dsaanvraag" markerprefix="true"/>
  <field name="dstoelating_volgnr" markerprefix="true"/>
  <field name="dstoelating_datum_herregistratie" markerprefix="true"/>
  <field name="dstoelating_datum_compliance_check" markerprefix="true"/>
  <field name="dstoelating_opmerkingen" markerprefix="true"/>
  <field name="dstoelating_aard_preparaat" markerprefix="true"/>
  <field name="dstoepassing_aanvraag" markerprefix="true"/>
  <field name="dswvervolgnummer" markerprefix="true"/>
  <field name="dsverkoopvervolgnummer" markerprefix="true"/>
  <field name="dsopgebruikvervolgnummer" markerprefix="true"/>
  <field name="dswvervolgnummerparticulier" markerprefix="true"/>
  <field name="dsverkoopvervolgnummerparticulier" markerprefix="true"/>
  <field name="dsopgebruikvervolgnummerparticulier" markerprefix="true"/>
  <field name="dstoelating_vorigewcodenprof" markerprefix="true"/>
  <field name="dstoelating_vorigewcodeprof" markerprefix="true"/>
  <field name="dsexpiratie" markerprefix="true"/>
  <field name="dsdatum_publicatie_staatscourant" markerprefix="true"/>
  <field name="dscreatie" markerprefix="true">18 oktober 2019</field>
  <field name="dsvindplaats" markerprefix="true"/>
  <field name="dsjaarvernietiging" markerprefix="true"/>
  <field name="dsjaarafsluiting" markerprefix="true"/>
  <field name="dsopengesloten" markerprefix="true">1. open</field>
  <field name="dstoelating_houdbaarheidstermijn" markerprefix="true"/>
  <field name="dstoelating_pt" markerprefix="true"/>
  <field name="dstoelating_verpakkingsgrootte" markerprefix="true"/>
  <field name="dsgevaar_clp_en" markerprefix="true"/>
  <field name="dssignaal_clp_en" markerprefix="true"/>
  <field name="dsvoel_en" markerprefix="true"/>
  <field name="dskind_en" markerprefix="true"/>
  <field name="dstoelating_nr_bestaand" markerprefix="true"/>
  <field name="dstoelating_verpakkingsgrootte_nonprof" markerprefix="true"/>
  <field name="dstoelating_verpakkingsgrootte_prof" markerprefix="true"/>
  <field name="dstoelating_verpakking" markerprefix="true"/>
  <field name="dstoelating_verpakkingssoort_nonprof" markerprefix="true"/>
  <field name="dstoelating_verpakkingssoort_prof" markerprefix="true"/>
  <field name="dscav_combi_en" markerprefix="true"/>
  <field name="dscav_nprof_en" markerprefix="true"/>
  <field name="dscav_prof_en" markerprefix="true"/>
  <field name="dscvm_combi_en" markerprefix="true"/>
  <field name="dscvm_nprof_en" markerprefix="true"/>
  <field name="dscvm_prof_en" markerprefix="true"/>
  <field name="dsgev_combi_en" markerprefix="true"/>
  <field name="dsgev_nprof_en" markerprefix="true"/>
  <field name="dsgev_prof_en" markerprefix="true"/>
  <field name="dsgemachtigd_bedrijf" markerprefix="true"/>
  <field name="formele_registratiedatum_en" markerprefix="true">October 25th 2019</field>
  <field name="ontvangstdatum_en" markerprefix="true">October 18th 2019</field>
  <field name="dagtekening_en" markerprefix="true">June 2nd 2020</field>
  <field name="dsontvangstdatum_en" markerprefix="true">October 18th 2019</field>
  <field name="dstoelating_start_datum_en" markerprefix="true">June 5th 2020</field>
  <field name="dstoelating_expiratie_datum_en" markerprefix="true">April 25th 2023</field>
  <field name="dstoelating_aflevertermijn_en" markerprefix="true"/>
  <field name="dstoelating_opgebruiktermijn_en" markerprefix="true"/>
  <field name="dsformele_registratiedatum_en" markerprefix="true">October 25th 2019</field>
  <field name="dsaanvraag_en" markerprefix="true"/>
  <field name="dstoelating_datum_herregistratie_en" markerprefix="true"/>
  <field name="dstoelating_datum_compliance_check_en" markerprefix="true"/>
  <field name="dsverkoopvervolgnummer_en" markerprefix="true"/>
  <field name="dsopgebruikvervolgnummer_en" markerprefix="true"/>
  <field name="dsverkoopvervolgnummerparticulier_en" markerprefix="true"/>
  <field name="dsopgebruikvervolgnummerparticulier_en" markerprefix="true"/>
  <field name="dsdatum_publicatie_staatscourant_en" markerprefix="true"/>
  <field name="dscreatie_en" markerprefix="true">October 18th 2019</field>
  <field name="version" markerprefix="true">1 </field>
  <field name="status" markerprefix="true">concept</field>
  <field name="stage" markerprefix="true">5</field>
</root>
</file>

<file path=customXml/itemProps1.xml><?xml version="1.0" encoding="utf-8"?>
<ds:datastoreItem xmlns:ds="http://schemas.openxmlformats.org/officeDocument/2006/customXml" ds:itemID="{4F70656E-494D-5357-6F72-6476303030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1025</Words>
  <Characters>5638</Characters>
  <Application>Microsoft Office Word</Application>
  <DocSecurity>0</DocSecurity>
  <Lines>46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Ministerie van LNV</Company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kleinrobbenhaar</dc:creator>
  <cp:keywords/>
  <cp:lastModifiedBy>Driel, R. van (Ruud)</cp:lastModifiedBy>
  <cp:revision>3</cp:revision>
  <cp:lastPrinted>2020-05-14T11:38:00Z</cp:lastPrinted>
  <dcterms:created xsi:type="dcterms:W3CDTF">2020-06-02T12:03:00Z</dcterms:created>
  <dcterms:modified xsi:type="dcterms:W3CDTF">2020-06-03T07:41:00Z</dcterms:modified>
</cp:coreProperties>
</file>