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4AE704"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27B3D011" wp14:editId="3841DC04">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E1BC34"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48D7FCA" w14:textId="77777777" w:rsidR="009D0C0B" w:rsidRDefault="009D0C0B">
      <w:pPr>
        <w:tabs>
          <w:tab w:val="left" w:pos="8505"/>
        </w:tabs>
        <w:ind w:left="-142" w:right="-45"/>
        <w:rPr>
          <w:sz w:val="36"/>
          <w:szCs w:val="36"/>
        </w:rPr>
      </w:pPr>
    </w:p>
    <w:p w14:paraId="436C1B42" w14:textId="77777777" w:rsidR="009D0C0B" w:rsidRDefault="009D0C0B">
      <w:pPr>
        <w:tabs>
          <w:tab w:val="left" w:pos="8505"/>
        </w:tabs>
        <w:ind w:left="-142" w:right="-45"/>
        <w:jc w:val="center"/>
        <w:rPr>
          <w:b/>
          <w:bCs/>
          <w:sz w:val="22"/>
          <w:szCs w:val="36"/>
        </w:rPr>
      </w:pPr>
    </w:p>
    <w:p w14:paraId="255E99A1"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APPLICATIONS</w:t>
      </w:r>
    </w:p>
    <w:p w14:paraId="3938897C" w14:textId="77777777" w:rsidR="009D0C0B" w:rsidRDefault="009D0C0B">
      <w:pPr>
        <w:tabs>
          <w:tab w:val="left" w:pos="8505"/>
        </w:tabs>
        <w:ind w:left="-142" w:right="-45"/>
        <w:jc w:val="center"/>
        <w:rPr>
          <w:b/>
          <w:bCs/>
          <w:sz w:val="24"/>
          <w:szCs w:val="24"/>
        </w:rPr>
      </w:pPr>
    </w:p>
    <w:p w14:paraId="48FF2546"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7F45D65A" w14:textId="77777777" w:rsidR="009D0C0B" w:rsidRDefault="009D0C0B">
      <w:pPr>
        <w:tabs>
          <w:tab w:val="left" w:pos="8505"/>
        </w:tabs>
        <w:ind w:left="-142" w:right="-45"/>
        <w:jc w:val="center"/>
        <w:rPr>
          <w:b/>
          <w:bCs/>
          <w:sz w:val="36"/>
          <w:szCs w:val="24"/>
          <w:lang w:val="en-US"/>
        </w:rPr>
      </w:pPr>
    </w:p>
    <w:p w14:paraId="353D386D"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51A25600" wp14:editId="5BCA21F4">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08AA7FA6" w14:textId="77777777" w:rsidR="009D0C0B" w:rsidRPr="007E5887" w:rsidRDefault="00600982">
      <w:pPr>
        <w:keepNext/>
        <w:widowControl w:val="0"/>
        <w:tabs>
          <w:tab w:val="left" w:pos="1304"/>
        </w:tabs>
        <w:autoSpaceDE w:val="0"/>
        <w:spacing w:before="480" w:after="120" w:line="400" w:lineRule="atLeast"/>
        <w:jc w:val="center"/>
        <w:rPr>
          <w:b/>
          <w:bCs/>
          <w:sz w:val="32"/>
          <w:szCs w:val="32"/>
        </w:rPr>
      </w:pPr>
      <w:r w:rsidRPr="007E5887">
        <w:rPr>
          <w:b/>
          <w:bCs/>
          <w:sz w:val="32"/>
          <w:szCs w:val="32"/>
        </w:rPr>
        <w:t>ALGOFILM</w:t>
      </w:r>
    </w:p>
    <w:p w14:paraId="0FEFB2D0" w14:textId="77777777" w:rsidR="009D0C0B" w:rsidRDefault="009D0C0B">
      <w:pPr>
        <w:rPr>
          <w:bCs/>
          <w:sz w:val="32"/>
          <w:szCs w:val="32"/>
        </w:rPr>
      </w:pPr>
    </w:p>
    <w:p w14:paraId="79AB8F2E" w14:textId="77777777" w:rsidR="009D0C0B" w:rsidRDefault="00600982">
      <w:pPr>
        <w:tabs>
          <w:tab w:val="left" w:pos="8505"/>
        </w:tabs>
        <w:ind w:left="-142" w:right="-45"/>
        <w:jc w:val="center"/>
        <w:rPr>
          <w:bCs/>
          <w:sz w:val="32"/>
          <w:szCs w:val="32"/>
        </w:rPr>
      </w:pPr>
      <w:r>
        <w:rPr>
          <w:bCs/>
          <w:sz w:val="32"/>
          <w:szCs w:val="32"/>
        </w:rPr>
        <w:t>Product type 3</w:t>
      </w:r>
    </w:p>
    <w:p w14:paraId="45A0CBB3" w14:textId="77777777" w:rsidR="009D0C0B" w:rsidRDefault="009D0C0B">
      <w:pPr>
        <w:tabs>
          <w:tab w:val="left" w:pos="8505"/>
        </w:tabs>
        <w:ind w:right="-45"/>
        <w:rPr>
          <w:bCs/>
          <w:sz w:val="32"/>
          <w:szCs w:val="32"/>
        </w:rPr>
      </w:pPr>
    </w:p>
    <w:p w14:paraId="44B372C3" w14:textId="02D0042B" w:rsidR="009D0C0B" w:rsidRDefault="00600982">
      <w:pPr>
        <w:tabs>
          <w:tab w:val="left" w:pos="8505"/>
        </w:tabs>
        <w:ind w:left="-142" w:right="-45"/>
        <w:jc w:val="center"/>
        <w:rPr>
          <w:bCs/>
          <w:sz w:val="32"/>
          <w:szCs w:val="32"/>
        </w:rPr>
      </w:pPr>
      <w:r>
        <w:rPr>
          <w:bCs/>
          <w:sz w:val="32"/>
          <w:szCs w:val="32"/>
        </w:rPr>
        <w:t>Polyvinylpyrrolidone iodine (PVPI)</w:t>
      </w:r>
      <w:r w:rsidRPr="00017CF8">
        <w:rPr>
          <w:bCs/>
          <w:sz w:val="32"/>
          <w:szCs w:val="32"/>
        </w:rPr>
        <w:t xml:space="preserve"> </w:t>
      </w:r>
      <w:r>
        <w:rPr>
          <w:bCs/>
          <w:sz w:val="32"/>
          <w:szCs w:val="32"/>
        </w:rPr>
        <w:t xml:space="preserve">and </w:t>
      </w:r>
      <w:r w:rsidRPr="00EA702D">
        <w:rPr>
          <w:bCs/>
          <w:sz w:val="32"/>
          <w:szCs w:val="32"/>
        </w:rPr>
        <w:t>L(+) lactic acid</w:t>
      </w:r>
      <w:r>
        <w:rPr>
          <w:bCs/>
          <w:sz w:val="32"/>
          <w:szCs w:val="32"/>
        </w:rPr>
        <w:t xml:space="preserve"> </w:t>
      </w:r>
      <w:r w:rsidR="00FA480B">
        <w:rPr>
          <w:bCs/>
          <w:sz w:val="32"/>
          <w:szCs w:val="32"/>
        </w:rPr>
        <w:t>as included in the Union list of approved active substances</w:t>
      </w:r>
    </w:p>
    <w:p w14:paraId="3346696C" w14:textId="77777777" w:rsidR="009D0C0B" w:rsidRDefault="009D0C0B">
      <w:pPr>
        <w:tabs>
          <w:tab w:val="left" w:pos="8505"/>
        </w:tabs>
        <w:ind w:right="-45"/>
        <w:rPr>
          <w:bCs/>
          <w:sz w:val="32"/>
          <w:szCs w:val="32"/>
        </w:rPr>
      </w:pPr>
    </w:p>
    <w:p w14:paraId="2F47321F" w14:textId="77777777" w:rsidR="009D0C0B" w:rsidRDefault="009D0C0B">
      <w:pPr>
        <w:tabs>
          <w:tab w:val="left" w:pos="8505"/>
        </w:tabs>
        <w:ind w:right="-45"/>
        <w:jc w:val="center"/>
        <w:rPr>
          <w:bCs/>
          <w:sz w:val="32"/>
          <w:szCs w:val="32"/>
        </w:rPr>
      </w:pPr>
    </w:p>
    <w:p w14:paraId="595A9997" w14:textId="77777777" w:rsidR="009D0C0B" w:rsidRDefault="00FA480B">
      <w:pPr>
        <w:tabs>
          <w:tab w:val="left" w:pos="8505"/>
        </w:tabs>
        <w:ind w:right="-45"/>
        <w:jc w:val="center"/>
        <w:rPr>
          <w:bCs/>
          <w:sz w:val="32"/>
          <w:szCs w:val="32"/>
        </w:rPr>
      </w:pPr>
      <w:r>
        <w:rPr>
          <w:bCs/>
          <w:sz w:val="32"/>
          <w:szCs w:val="32"/>
        </w:rPr>
        <w:t xml:space="preserve">Case Number in R4BP: </w:t>
      </w:r>
      <w:r w:rsidR="00600982" w:rsidRPr="00600982">
        <w:rPr>
          <w:bCs/>
          <w:sz w:val="32"/>
          <w:szCs w:val="32"/>
        </w:rPr>
        <w:t>BC-MF051349-39</w:t>
      </w:r>
    </w:p>
    <w:p w14:paraId="03C316E4" w14:textId="77777777" w:rsidR="009D0C0B" w:rsidRDefault="009D0C0B">
      <w:pPr>
        <w:tabs>
          <w:tab w:val="left" w:pos="8505"/>
        </w:tabs>
        <w:ind w:right="-45"/>
        <w:rPr>
          <w:bCs/>
          <w:sz w:val="32"/>
          <w:szCs w:val="32"/>
        </w:rPr>
      </w:pPr>
    </w:p>
    <w:p w14:paraId="6E51E4EB" w14:textId="77777777" w:rsidR="009D0C0B" w:rsidRDefault="009D0C0B">
      <w:pPr>
        <w:tabs>
          <w:tab w:val="left" w:pos="8505"/>
        </w:tabs>
        <w:ind w:left="-142" w:right="-45"/>
        <w:jc w:val="center"/>
        <w:rPr>
          <w:bCs/>
          <w:sz w:val="32"/>
          <w:szCs w:val="32"/>
        </w:rPr>
      </w:pPr>
    </w:p>
    <w:p w14:paraId="56C7FF22"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600982">
        <w:rPr>
          <w:bCs/>
          <w:sz w:val="32"/>
          <w:szCs w:val="32"/>
        </w:rPr>
        <w:t>FR CA</w:t>
      </w:r>
    </w:p>
    <w:p w14:paraId="5193AD9E" w14:textId="77777777" w:rsidR="009D0C0B" w:rsidRDefault="00FA480B">
      <w:pPr>
        <w:tabs>
          <w:tab w:val="left" w:pos="8505"/>
        </w:tabs>
        <w:ind w:left="-142" w:right="-45"/>
        <w:jc w:val="center"/>
        <w:rPr>
          <w:bCs/>
          <w:sz w:val="32"/>
          <w:szCs w:val="32"/>
        </w:rPr>
      </w:pPr>
      <w:r>
        <w:rPr>
          <w:rFonts w:eastAsia="Verdana"/>
        </w:rPr>
        <w:t xml:space="preserve"> </w:t>
      </w:r>
    </w:p>
    <w:p w14:paraId="29786050" w14:textId="77777777" w:rsidR="009D0C0B" w:rsidRDefault="009D0C0B">
      <w:pPr>
        <w:tabs>
          <w:tab w:val="left" w:pos="8505"/>
        </w:tabs>
        <w:ind w:left="-142" w:right="-45"/>
        <w:jc w:val="center"/>
        <w:rPr>
          <w:bCs/>
          <w:sz w:val="32"/>
          <w:szCs w:val="32"/>
        </w:rPr>
      </w:pPr>
    </w:p>
    <w:p w14:paraId="0A13B5B5" w14:textId="4B015E6E" w:rsidR="009D0C0B" w:rsidRPr="00600982" w:rsidRDefault="00FA480B" w:rsidP="00600982">
      <w:pPr>
        <w:tabs>
          <w:tab w:val="left" w:pos="8505"/>
        </w:tabs>
        <w:ind w:left="-142" w:right="-45"/>
        <w:jc w:val="center"/>
        <w:rPr>
          <w:rFonts w:ascii="Times New Roman" w:hAnsi="Times New Roman" w:cs="Times New Roman"/>
          <w:bCs/>
          <w:sz w:val="50"/>
          <w:szCs w:val="50"/>
        </w:rPr>
      </w:pPr>
      <w:r>
        <w:rPr>
          <w:bCs/>
          <w:sz w:val="32"/>
          <w:szCs w:val="32"/>
        </w:rPr>
        <w:t>Date: [</w:t>
      </w:r>
      <w:r w:rsidR="00D3140E">
        <w:rPr>
          <w:bCs/>
          <w:sz w:val="32"/>
          <w:szCs w:val="32"/>
        </w:rPr>
        <w:t xml:space="preserve">28 </w:t>
      </w:r>
      <w:r w:rsidR="003B32C3">
        <w:rPr>
          <w:bCs/>
          <w:sz w:val="32"/>
          <w:szCs w:val="32"/>
        </w:rPr>
        <w:t>November 2023</w:t>
      </w:r>
      <w:r>
        <w:rPr>
          <w:bCs/>
          <w:sz w:val="32"/>
          <w:szCs w:val="32"/>
        </w:rPr>
        <w:t xml:space="preserve">] </w:t>
      </w:r>
    </w:p>
    <w:p w14:paraId="312E8FA9" w14:textId="77777777" w:rsidR="009D0C0B" w:rsidRDefault="00FA480B">
      <w:pPr>
        <w:pStyle w:val="Inhaltsverzeichnisberschrift"/>
        <w:pageBreakBefore/>
        <w:rPr>
          <w:rFonts w:cs="Verdana"/>
          <w:color w:val="000000"/>
          <w:u w:val="single"/>
        </w:rPr>
      </w:pPr>
      <w:bookmarkStart w:id="0" w:name="_Toc74732438"/>
      <w:r>
        <w:rPr>
          <w:rFonts w:ascii="Verdana" w:hAnsi="Verdana" w:cs="Verdana"/>
          <w:color w:val="000000"/>
          <w:u w:val="single"/>
        </w:rPr>
        <w:lastRenderedPageBreak/>
        <w:t>Table of Contents</w:t>
      </w:r>
      <w:bookmarkEnd w:id="0"/>
    </w:p>
    <w:p w14:paraId="624A14FE" w14:textId="77777777" w:rsidR="009D0C0B" w:rsidRDefault="009D0C0B">
      <w:pPr>
        <w:rPr>
          <w:color w:val="000000"/>
          <w:u w:val="single"/>
          <w:lang w:val="en-US" w:eastAsia="ja-JP"/>
        </w:rPr>
      </w:pPr>
    </w:p>
    <w:p w14:paraId="35B1C824" w14:textId="655E35CD" w:rsidR="00AB1CDB"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A17623">
        <w:rPr>
          <w:rFonts w:ascii="Verdana" w:hAnsi="Verdana"/>
        </w:rPr>
        <w:fldChar w:fldCharType="begin"/>
      </w:r>
      <w:r w:rsidRPr="00A17623">
        <w:rPr>
          <w:rFonts w:ascii="Verdana" w:hAnsi="Verdana"/>
        </w:rPr>
        <w:instrText xml:space="preserve"> TOC \o "1-4" \h</w:instrText>
      </w:r>
      <w:r w:rsidRPr="00A17623">
        <w:rPr>
          <w:rFonts w:ascii="Verdana" w:hAnsi="Verdana"/>
        </w:rPr>
        <w:fldChar w:fldCharType="separate"/>
      </w:r>
      <w:hyperlink w:anchor="_Toc74732438" w:history="1">
        <w:r w:rsidR="00AB1CDB" w:rsidRPr="001E7E71">
          <w:rPr>
            <w:rStyle w:val="Lienhypertexte"/>
            <w:rFonts w:ascii="Verdana" w:hAnsi="Verdana" w:cs="Verdana"/>
            <w:noProof/>
          </w:rPr>
          <w:t>Table of Contents</w:t>
        </w:r>
        <w:r w:rsidR="00AB1CDB">
          <w:rPr>
            <w:noProof/>
          </w:rPr>
          <w:tab/>
        </w:r>
        <w:r w:rsidR="00AB1CDB">
          <w:rPr>
            <w:noProof/>
          </w:rPr>
          <w:fldChar w:fldCharType="begin"/>
        </w:r>
        <w:r w:rsidR="00AB1CDB">
          <w:rPr>
            <w:noProof/>
          </w:rPr>
          <w:instrText xml:space="preserve"> PAGEREF _Toc74732438 \h </w:instrText>
        </w:r>
        <w:r w:rsidR="00AB1CDB">
          <w:rPr>
            <w:noProof/>
          </w:rPr>
        </w:r>
        <w:r w:rsidR="00AB1CDB">
          <w:rPr>
            <w:noProof/>
          </w:rPr>
          <w:fldChar w:fldCharType="separate"/>
        </w:r>
        <w:r w:rsidR="00D3140E">
          <w:rPr>
            <w:noProof/>
          </w:rPr>
          <w:t>2</w:t>
        </w:r>
        <w:r w:rsidR="00AB1CDB">
          <w:rPr>
            <w:noProof/>
          </w:rPr>
          <w:fldChar w:fldCharType="end"/>
        </w:r>
      </w:hyperlink>
    </w:p>
    <w:p w14:paraId="0057E98B" w14:textId="0DDFF536" w:rsidR="00AB1CDB" w:rsidRDefault="00D3140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4732439" w:history="1">
        <w:r w:rsidR="00AB1CDB" w:rsidRPr="001E7E71">
          <w:rPr>
            <w:rStyle w:val="Lienhypertexte"/>
            <w:rFonts w:eastAsia="Calibri" w:cs="Times New Roman"/>
            <w:i/>
            <w:noProof/>
            <w:kern w:val="1"/>
            <w:lang w:eastAsia="en-US" w:bidi="x-none"/>
          </w:rPr>
          <w:t>1</w:t>
        </w:r>
        <w:r w:rsidR="00AB1CDB">
          <w:rPr>
            <w:rFonts w:asciiTheme="minorHAnsi" w:eastAsiaTheme="minorEastAsia" w:hAnsiTheme="minorHAnsi" w:cstheme="minorBidi"/>
            <w:b w:val="0"/>
            <w:bCs w:val="0"/>
            <w:caps w:val="0"/>
            <w:noProof/>
            <w:sz w:val="22"/>
            <w:szCs w:val="22"/>
            <w:lang w:val="fr-FR" w:eastAsia="fr-FR"/>
          </w:rPr>
          <w:tab/>
        </w:r>
        <w:r w:rsidR="00AB1CDB" w:rsidRPr="001E7E71">
          <w:rPr>
            <w:rStyle w:val="Lienhypertexte"/>
            <w:rFonts w:eastAsia="Calibri"/>
            <w:noProof/>
          </w:rPr>
          <w:t>CONCLUSION</w:t>
        </w:r>
        <w:r w:rsidR="00AB1CDB">
          <w:rPr>
            <w:noProof/>
          </w:rPr>
          <w:tab/>
        </w:r>
        <w:r w:rsidR="00AB1CDB">
          <w:rPr>
            <w:noProof/>
          </w:rPr>
          <w:fldChar w:fldCharType="begin"/>
        </w:r>
        <w:r w:rsidR="00AB1CDB">
          <w:rPr>
            <w:noProof/>
          </w:rPr>
          <w:instrText xml:space="preserve"> PAGEREF _Toc74732439 \h </w:instrText>
        </w:r>
        <w:r w:rsidR="00AB1CDB">
          <w:rPr>
            <w:noProof/>
          </w:rPr>
        </w:r>
        <w:r w:rsidR="00AB1CDB">
          <w:rPr>
            <w:noProof/>
          </w:rPr>
          <w:fldChar w:fldCharType="separate"/>
        </w:r>
        <w:r>
          <w:rPr>
            <w:noProof/>
          </w:rPr>
          <w:t>4</w:t>
        </w:r>
        <w:r w:rsidR="00AB1CDB">
          <w:rPr>
            <w:noProof/>
          </w:rPr>
          <w:fldChar w:fldCharType="end"/>
        </w:r>
      </w:hyperlink>
    </w:p>
    <w:p w14:paraId="47A73284" w14:textId="72B9C73E" w:rsidR="00AB1CDB" w:rsidRDefault="00D3140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4732440" w:history="1">
        <w:r w:rsidR="00AB1CDB" w:rsidRPr="001E7E71">
          <w:rPr>
            <w:rStyle w:val="Lienhypertexte"/>
            <w:rFonts w:cs="Times New Roman"/>
            <w:i/>
            <w:noProof/>
            <w:kern w:val="1"/>
            <w:lang w:bidi="x-none"/>
          </w:rPr>
          <w:t>2</w:t>
        </w:r>
        <w:r w:rsidR="00AB1CDB">
          <w:rPr>
            <w:rFonts w:asciiTheme="minorHAnsi" w:eastAsiaTheme="minorEastAsia" w:hAnsiTheme="minorHAnsi" w:cstheme="minorBidi"/>
            <w:b w:val="0"/>
            <w:bCs w:val="0"/>
            <w:caps w:val="0"/>
            <w:noProof/>
            <w:sz w:val="22"/>
            <w:szCs w:val="22"/>
            <w:lang w:val="fr-FR" w:eastAsia="fr-FR"/>
          </w:rPr>
          <w:tab/>
        </w:r>
        <w:r w:rsidR="00AB1CDB" w:rsidRPr="001E7E71">
          <w:rPr>
            <w:rStyle w:val="Lienhypertexte"/>
            <w:rFonts w:eastAsia="Calibri"/>
            <w:noProof/>
          </w:rPr>
          <w:t>ASSESSMENT REPORT</w:t>
        </w:r>
        <w:r w:rsidR="00AB1CDB">
          <w:rPr>
            <w:noProof/>
          </w:rPr>
          <w:tab/>
        </w:r>
        <w:r w:rsidR="00AB1CDB">
          <w:rPr>
            <w:noProof/>
          </w:rPr>
          <w:fldChar w:fldCharType="begin"/>
        </w:r>
        <w:r w:rsidR="00AB1CDB">
          <w:rPr>
            <w:noProof/>
          </w:rPr>
          <w:instrText xml:space="preserve"> PAGEREF _Toc74732440 \h </w:instrText>
        </w:r>
        <w:r w:rsidR="00AB1CDB">
          <w:rPr>
            <w:noProof/>
          </w:rPr>
        </w:r>
        <w:r w:rsidR="00AB1CDB">
          <w:rPr>
            <w:noProof/>
          </w:rPr>
          <w:fldChar w:fldCharType="separate"/>
        </w:r>
        <w:r>
          <w:rPr>
            <w:noProof/>
          </w:rPr>
          <w:t>6</w:t>
        </w:r>
        <w:r w:rsidR="00AB1CDB">
          <w:rPr>
            <w:noProof/>
          </w:rPr>
          <w:fldChar w:fldCharType="end"/>
        </w:r>
      </w:hyperlink>
    </w:p>
    <w:p w14:paraId="7449D48F" w14:textId="494D2A40" w:rsidR="00AB1CDB" w:rsidRDefault="00D3140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4732441" w:history="1">
        <w:r w:rsidR="00AB1CDB" w:rsidRPr="001E7E71">
          <w:rPr>
            <w:rStyle w:val="Lienhypertexte"/>
            <w:noProof/>
            <w:lang w:val="de-DE"/>
          </w:rPr>
          <w:t>2.1</w:t>
        </w:r>
        <w:r w:rsidR="00AB1CDB">
          <w:rPr>
            <w:rFonts w:asciiTheme="minorHAnsi" w:eastAsiaTheme="minorEastAsia" w:hAnsiTheme="minorHAnsi" w:cstheme="minorBidi"/>
            <w:smallCaps w:val="0"/>
            <w:noProof/>
            <w:sz w:val="22"/>
            <w:szCs w:val="22"/>
            <w:lang w:val="fr-FR" w:eastAsia="fr-FR"/>
          </w:rPr>
          <w:tab/>
        </w:r>
        <w:r w:rsidR="00AB1CDB" w:rsidRPr="001E7E71">
          <w:rPr>
            <w:rStyle w:val="Lienhypertexte"/>
            <w:noProof/>
          </w:rPr>
          <w:t>Summary of the product assessment</w:t>
        </w:r>
        <w:r w:rsidR="00AB1CDB">
          <w:rPr>
            <w:noProof/>
          </w:rPr>
          <w:tab/>
        </w:r>
        <w:r w:rsidR="00AB1CDB">
          <w:rPr>
            <w:noProof/>
          </w:rPr>
          <w:fldChar w:fldCharType="begin"/>
        </w:r>
        <w:r w:rsidR="00AB1CDB">
          <w:rPr>
            <w:noProof/>
          </w:rPr>
          <w:instrText xml:space="preserve"> PAGEREF _Toc74732441 \h </w:instrText>
        </w:r>
        <w:r w:rsidR="00AB1CDB">
          <w:rPr>
            <w:noProof/>
          </w:rPr>
        </w:r>
        <w:r w:rsidR="00AB1CDB">
          <w:rPr>
            <w:noProof/>
          </w:rPr>
          <w:fldChar w:fldCharType="separate"/>
        </w:r>
        <w:r>
          <w:rPr>
            <w:noProof/>
          </w:rPr>
          <w:t>6</w:t>
        </w:r>
        <w:r w:rsidR="00AB1CDB">
          <w:rPr>
            <w:noProof/>
          </w:rPr>
          <w:fldChar w:fldCharType="end"/>
        </w:r>
      </w:hyperlink>
    </w:p>
    <w:p w14:paraId="4F6C5BAC" w14:textId="71EC6ABE"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42" w:history="1">
        <w:r w:rsidR="00AB1CDB" w:rsidRPr="001E7E71">
          <w:rPr>
            <w:rStyle w:val="Lienhypertexte"/>
            <w:noProof/>
          </w:rPr>
          <w:t>2.1.1</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Administrative information</w:t>
        </w:r>
        <w:r w:rsidR="00AB1CDB">
          <w:rPr>
            <w:noProof/>
          </w:rPr>
          <w:tab/>
        </w:r>
        <w:r w:rsidR="00AB1CDB">
          <w:rPr>
            <w:noProof/>
          </w:rPr>
          <w:fldChar w:fldCharType="begin"/>
        </w:r>
        <w:r w:rsidR="00AB1CDB">
          <w:rPr>
            <w:noProof/>
          </w:rPr>
          <w:instrText xml:space="preserve"> PAGEREF _Toc74732442 \h </w:instrText>
        </w:r>
        <w:r w:rsidR="00AB1CDB">
          <w:rPr>
            <w:noProof/>
          </w:rPr>
        </w:r>
        <w:r w:rsidR="00AB1CDB">
          <w:rPr>
            <w:noProof/>
          </w:rPr>
          <w:fldChar w:fldCharType="separate"/>
        </w:r>
        <w:r>
          <w:rPr>
            <w:noProof/>
          </w:rPr>
          <w:t>6</w:t>
        </w:r>
        <w:r w:rsidR="00AB1CDB">
          <w:rPr>
            <w:noProof/>
          </w:rPr>
          <w:fldChar w:fldCharType="end"/>
        </w:r>
      </w:hyperlink>
    </w:p>
    <w:p w14:paraId="0B05BAB7" w14:textId="7577DF6C"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43" w:history="1">
        <w:r w:rsidR="00AB1CDB" w:rsidRPr="001E7E71">
          <w:rPr>
            <w:rStyle w:val="Lienhypertexte"/>
            <w:b/>
            <w:bCs/>
            <w:noProof/>
            <w:lang w:eastAsia="en-GB"/>
          </w:rPr>
          <w:t>2.1.1.1</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Identifier of the product</w:t>
        </w:r>
        <w:r w:rsidR="00AB1CDB">
          <w:rPr>
            <w:noProof/>
          </w:rPr>
          <w:tab/>
        </w:r>
        <w:r w:rsidR="00AB1CDB">
          <w:rPr>
            <w:noProof/>
          </w:rPr>
          <w:fldChar w:fldCharType="begin"/>
        </w:r>
        <w:r w:rsidR="00AB1CDB">
          <w:rPr>
            <w:noProof/>
          </w:rPr>
          <w:instrText xml:space="preserve"> PAGEREF _Toc74732443 \h </w:instrText>
        </w:r>
        <w:r w:rsidR="00AB1CDB">
          <w:rPr>
            <w:noProof/>
          </w:rPr>
        </w:r>
        <w:r w:rsidR="00AB1CDB">
          <w:rPr>
            <w:noProof/>
          </w:rPr>
          <w:fldChar w:fldCharType="separate"/>
        </w:r>
        <w:r>
          <w:rPr>
            <w:noProof/>
          </w:rPr>
          <w:t>6</w:t>
        </w:r>
        <w:r w:rsidR="00AB1CDB">
          <w:rPr>
            <w:noProof/>
          </w:rPr>
          <w:fldChar w:fldCharType="end"/>
        </w:r>
      </w:hyperlink>
    </w:p>
    <w:p w14:paraId="75D8C12A" w14:textId="5174A1B7"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44" w:history="1">
        <w:r w:rsidR="00AB1CDB" w:rsidRPr="001E7E71">
          <w:rPr>
            <w:rStyle w:val="Lienhypertexte"/>
            <w:b/>
            <w:bCs/>
            <w:noProof/>
            <w:lang w:eastAsia="en-GB"/>
          </w:rPr>
          <w:t>2.1.1.2</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Authorisation holder</w:t>
        </w:r>
        <w:r w:rsidR="00AB1CDB">
          <w:rPr>
            <w:noProof/>
          </w:rPr>
          <w:tab/>
        </w:r>
        <w:r w:rsidR="00AB1CDB">
          <w:rPr>
            <w:noProof/>
          </w:rPr>
          <w:fldChar w:fldCharType="begin"/>
        </w:r>
        <w:r w:rsidR="00AB1CDB">
          <w:rPr>
            <w:noProof/>
          </w:rPr>
          <w:instrText xml:space="preserve"> PAGEREF _Toc74732444 \h </w:instrText>
        </w:r>
        <w:r w:rsidR="00AB1CDB">
          <w:rPr>
            <w:noProof/>
          </w:rPr>
        </w:r>
        <w:r w:rsidR="00AB1CDB">
          <w:rPr>
            <w:noProof/>
          </w:rPr>
          <w:fldChar w:fldCharType="separate"/>
        </w:r>
        <w:r>
          <w:rPr>
            <w:noProof/>
          </w:rPr>
          <w:t>6</w:t>
        </w:r>
        <w:r w:rsidR="00AB1CDB">
          <w:rPr>
            <w:noProof/>
          </w:rPr>
          <w:fldChar w:fldCharType="end"/>
        </w:r>
      </w:hyperlink>
    </w:p>
    <w:p w14:paraId="17775B6D" w14:textId="049E2C65"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45" w:history="1">
        <w:r w:rsidR="00AB1CDB" w:rsidRPr="001E7E71">
          <w:rPr>
            <w:rStyle w:val="Lienhypertexte"/>
            <w:b/>
            <w:bCs/>
            <w:noProof/>
            <w:lang w:eastAsia="en-GB"/>
          </w:rPr>
          <w:t>2.1.1.3</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Manufacturer(s</w:t>
        </w:r>
        <w:bookmarkStart w:id="1" w:name="_GoBack"/>
        <w:bookmarkEnd w:id="1"/>
        <w:r w:rsidR="00AB1CDB" w:rsidRPr="001E7E71">
          <w:rPr>
            <w:rStyle w:val="Lienhypertexte"/>
            <w:noProof/>
          </w:rPr>
          <w:t>) of the products</w:t>
        </w:r>
        <w:r w:rsidR="00AB1CDB">
          <w:rPr>
            <w:noProof/>
          </w:rPr>
          <w:tab/>
        </w:r>
        <w:r w:rsidR="00AB1CDB">
          <w:rPr>
            <w:noProof/>
          </w:rPr>
          <w:fldChar w:fldCharType="begin"/>
        </w:r>
        <w:r w:rsidR="00AB1CDB">
          <w:rPr>
            <w:noProof/>
          </w:rPr>
          <w:instrText xml:space="preserve"> PAGEREF _Toc74732445 \h </w:instrText>
        </w:r>
        <w:r w:rsidR="00AB1CDB">
          <w:rPr>
            <w:noProof/>
          </w:rPr>
        </w:r>
        <w:r w:rsidR="00AB1CDB">
          <w:rPr>
            <w:noProof/>
          </w:rPr>
          <w:fldChar w:fldCharType="separate"/>
        </w:r>
        <w:r>
          <w:rPr>
            <w:noProof/>
          </w:rPr>
          <w:t>6</w:t>
        </w:r>
        <w:r w:rsidR="00AB1CDB">
          <w:rPr>
            <w:noProof/>
          </w:rPr>
          <w:fldChar w:fldCharType="end"/>
        </w:r>
      </w:hyperlink>
    </w:p>
    <w:p w14:paraId="58FB1F1E" w14:textId="5D8E41A4"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46" w:history="1">
        <w:r w:rsidR="00AB1CDB" w:rsidRPr="001E7E71">
          <w:rPr>
            <w:rStyle w:val="Lienhypertexte"/>
            <w:b/>
            <w:bCs/>
            <w:noProof/>
            <w:lang w:eastAsia="en-GB"/>
          </w:rPr>
          <w:t>2.1.1.4</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Manufacturer(s) of the active substance(s)</w:t>
        </w:r>
        <w:r w:rsidR="00AB1CDB">
          <w:rPr>
            <w:noProof/>
          </w:rPr>
          <w:tab/>
        </w:r>
        <w:r w:rsidR="00AB1CDB">
          <w:rPr>
            <w:noProof/>
          </w:rPr>
          <w:fldChar w:fldCharType="begin"/>
        </w:r>
        <w:r w:rsidR="00AB1CDB">
          <w:rPr>
            <w:noProof/>
          </w:rPr>
          <w:instrText xml:space="preserve"> PAGEREF _Toc74732446 \h </w:instrText>
        </w:r>
        <w:r w:rsidR="00AB1CDB">
          <w:rPr>
            <w:noProof/>
          </w:rPr>
        </w:r>
        <w:r w:rsidR="00AB1CDB">
          <w:rPr>
            <w:noProof/>
          </w:rPr>
          <w:fldChar w:fldCharType="separate"/>
        </w:r>
        <w:r>
          <w:rPr>
            <w:noProof/>
          </w:rPr>
          <w:t>6</w:t>
        </w:r>
        <w:r w:rsidR="00AB1CDB">
          <w:rPr>
            <w:noProof/>
          </w:rPr>
          <w:fldChar w:fldCharType="end"/>
        </w:r>
      </w:hyperlink>
    </w:p>
    <w:p w14:paraId="34E5966B" w14:textId="69F68ED6"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47" w:history="1">
        <w:r w:rsidR="00AB1CDB" w:rsidRPr="001E7E71">
          <w:rPr>
            <w:rStyle w:val="Lienhypertexte"/>
            <w:rFonts w:eastAsia="Calibri"/>
            <w:noProof/>
            <w:lang w:eastAsia="en-US"/>
          </w:rPr>
          <w:t>2.1.2</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Product composition and formulation</w:t>
        </w:r>
        <w:r w:rsidR="00AB1CDB">
          <w:rPr>
            <w:noProof/>
          </w:rPr>
          <w:tab/>
        </w:r>
        <w:r w:rsidR="00AB1CDB">
          <w:rPr>
            <w:noProof/>
          </w:rPr>
          <w:fldChar w:fldCharType="begin"/>
        </w:r>
        <w:r w:rsidR="00AB1CDB">
          <w:rPr>
            <w:noProof/>
          </w:rPr>
          <w:instrText xml:space="preserve"> PAGEREF _Toc74732447 \h </w:instrText>
        </w:r>
        <w:r w:rsidR="00AB1CDB">
          <w:rPr>
            <w:noProof/>
          </w:rPr>
        </w:r>
        <w:r w:rsidR="00AB1CDB">
          <w:rPr>
            <w:noProof/>
          </w:rPr>
          <w:fldChar w:fldCharType="separate"/>
        </w:r>
        <w:r>
          <w:rPr>
            <w:noProof/>
          </w:rPr>
          <w:t>8</w:t>
        </w:r>
        <w:r w:rsidR="00AB1CDB">
          <w:rPr>
            <w:noProof/>
          </w:rPr>
          <w:fldChar w:fldCharType="end"/>
        </w:r>
      </w:hyperlink>
    </w:p>
    <w:p w14:paraId="66C85C83" w14:textId="3B8EF35F"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48" w:history="1">
        <w:r w:rsidR="00AB1CDB" w:rsidRPr="001E7E71">
          <w:rPr>
            <w:rStyle w:val="Lienhypertexte"/>
            <w:b/>
            <w:noProof/>
          </w:rPr>
          <w:t>2.1.2.1</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Identity of the active substance</w:t>
        </w:r>
        <w:r w:rsidR="00AB1CDB">
          <w:rPr>
            <w:noProof/>
          </w:rPr>
          <w:tab/>
        </w:r>
        <w:r w:rsidR="00AB1CDB">
          <w:rPr>
            <w:noProof/>
          </w:rPr>
          <w:fldChar w:fldCharType="begin"/>
        </w:r>
        <w:r w:rsidR="00AB1CDB">
          <w:rPr>
            <w:noProof/>
          </w:rPr>
          <w:instrText xml:space="preserve"> PAGEREF _Toc74732448 \h </w:instrText>
        </w:r>
        <w:r w:rsidR="00AB1CDB">
          <w:rPr>
            <w:noProof/>
          </w:rPr>
        </w:r>
        <w:r w:rsidR="00AB1CDB">
          <w:rPr>
            <w:noProof/>
          </w:rPr>
          <w:fldChar w:fldCharType="separate"/>
        </w:r>
        <w:r>
          <w:rPr>
            <w:noProof/>
          </w:rPr>
          <w:t>8</w:t>
        </w:r>
        <w:r w:rsidR="00AB1CDB">
          <w:rPr>
            <w:noProof/>
          </w:rPr>
          <w:fldChar w:fldCharType="end"/>
        </w:r>
      </w:hyperlink>
    </w:p>
    <w:p w14:paraId="2F91FF08" w14:textId="4327E310"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49" w:history="1">
        <w:r w:rsidR="00AB1CDB" w:rsidRPr="001E7E71">
          <w:rPr>
            <w:rStyle w:val="Lienhypertexte"/>
            <w:rFonts w:cs="Times New Roman"/>
            <w:b/>
            <w:noProof/>
            <w:lang w:eastAsia="fr-FR"/>
          </w:rPr>
          <w:t>2.1.2.2</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Candidate(s) for substitution</w:t>
        </w:r>
        <w:r w:rsidR="00AB1CDB">
          <w:rPr>
            <w:noProof/>
          </w:rPr>
          <w:tab/>
        </w:r>
        <w:r w:rsidR="00AB1CDB">
          <w:rPr>
            <w:noProof/>
          </w:rPr>
          <w:fldChar w:fldCharType="begin"/>
        </w:r>
        <w:r w:rsidR="00AB1CDB">
          <w:rPr>
            <w:noProof/>
          </w:rPr>
          <w:instrText xml:space="preserve"> PAGEREF _Toc74732449 \h </w:instrText>
        </w:r>
        <w:r w:rsidR="00AB1CDB">
          <w:rPr>
            <w:noProof/>
          </w:rPr>
        </w:r>
        <w:r w:rsidR="00AB1CDB">
          <w:rPr>
            <w:noProof/>
          </w:rPr>
          <w:fldChar w:fldCharType="separate"/>
        </w:r>
        <w:r>
          <w:rPr>
            <w:noProof/>
          </w:rPr>
          <w:t>9</w:t>
        </w:r>
        <w:r w:rsidR="00AB1CDB">
          <w:rPr>
            <w:noProof/>
          </w:rPr>
          <w:fldChar w:fldCharType="end"/>
        </w:r>
      </w:hyperlink>
    </w:p>
    <w:p w14:paraId="0EF1AFE6" w14:textId="6E265E1F"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50" w:history="1">
        <w:r w:rsidR="00AB1CDB" w:rsidRPr="001E7E71">
          <w:rPr>
            <w:rStyle w:val="Lienhypertexte"/>
            <w:b/>
            <w:noProof/>
          </w:rPr>
          <w:t>2.1.2.3</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Qualitative and quantitative information on the composition of the biocidal product</w:t>
        </w:r>
        <w:r w:rsidR="00AB1CDB">
          <w:rPr>
            <w:noProof/>
          </w:rPr>
          <w:tab/>
        </w:r>
        <w:r w:rsidR="00AB1CDB">
          <w:rPr>
            <w:noProof/>
          </w:rPr>
          <w:fldChar w:fldCharType="begin"/>
        </w:r>
        <w:r w:rsidR="00AB1CDB">
          <w:rPr>
            <w:noProof/>
          </w:rPr>
          <w:instrText xml:space="preserve"> PAGEREF _Toc74732450 \h </w:instrText>
        </w:r>
        <w:r w:rsidR="00AB1CDB">
          <w:rPr>
            <w:noProof/>
          </w:rPr>
        </w:r>
        <w:r w:rsidR="00AB1CDB">
          <w:rPr>
            <w:noProof/>
          </w:rPr>
          <w:fldChar w:fldCharType="separate"/>
        </w:r>
        <w:r>
          <w:rPr>
            <w:noProof/>
          </w:rPr>
          <w:t>9</w:t>
        </w:r>
        <w:r w:rsidR="00AB1CDB">
          <w:rPr>
            <w:noProof/>
          </w:rPr>
          <w:fldChar w:fldCharType="end"/>
        </w:r>
      </w:hyperlink>
    </w:p>
    <w:p w14:paraId="68F5C3CC" w14:textId="07468451"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51" w:history="1">
        <w:r w:rsidR="00AB1CDB" w:rsidRPr="001E7E71">
          <w:rPr>
            <w:rStyle w:val="Lienhypertexte"/>
            <w:rFonts w:cs="Times New Roman"/>
            <w:b/>
            <w:noProof/>
            <w:lang w:eastAsia="fr-FR"/>
          </w:rPr>
          <w:t>2.1.2.4</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Information on technical equivalence</w:t>
        </w:r>
        <w:r w:rsidR="00AB1CDB">
          <w:rPr>
            <w:noProof/>
          </w:rPr>
          <w:tab/>
        </w:r>
        <w:r w:rsidR="00AB1CDB">
          <w:rPr>
            <w:noProof/>
          </w:rPr>
          <w:fldChar w:fldCharType="begin"/>
        </w:r>
        <w:r w:rsidR="00AB1CDB">
          <w:rPr>
            <w:noProof/>
          </w:rPr>
          <w:instrText xml:space="preserve"> PAGEREF _Toc74732451 \h </w:instrText>
        </w:r>
        <w:r w:rsidR="00AB1CDB">
          <w:rPr>
            <w:noProof/>
          </w:rPr>
        </w:r>
        <w:r w:rsidR="00AB1CDB">
          <w:rPr>
            <w:noProof/>
          </w:rPr>
          <w:fldChar w:fldCharType="separate"/>
        </w:r>
        <w:r>
          <w:rPr>
            <w:noProof/>
          </w:rPr>
          <w:t>9</w:t>
        </w:r>
        <w:r w:rsidR="00AB1CDB">
          <w:rPr>
            <w:noProof/>
          </w:rPr>
          <w:fldChar w:fldCharType="end"/>
        </w:r>
      </w:hyperlink>
    </w:p>
    <w:p w14:paraId="3765609F" w14:textId="3C88420D"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52" w:history="1">
        <w:r w:rsidR="00AB1CDB" w:rsidRPr="001E7E71">
          <w:rPr>
            <w:rStyle w:val="Lienhypertexte"/>
            <w:rFonts w:cs="Times"/>
            <w:b/>
            <w:bCs/>
            <w:noProof/>
          </w:rPr>
          <w:t>2.1.2.5</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Information on the substance(s) of concern</w:t>
        </w:r>
        <w:r w:rsidR="00AB1CDB">
          <w:rPr>
            <w:noProof/>
          </w:rPr>
          <w:tab/>
        </w:r>
        <w:r w:rsidR="00AB1CDB">
          <w:rPr>
            <w:noProof/>
          </w:rPr>
          <w:fldChar w:fldCharType="begin"/>
        </w:r>
        <w:r w:rsidR="00AB1CDB">
          <w:rPr>
            <w:noProof/>
          </w:rPr>
          <w:instrText xml:space="preserve"> PAGEREF _Toc74732452 \h </w:instrText>
        </w:r>
        <w:r w:rsidR="00AB1CDB">
          <w:rPr>
            <w:noProof/>
          </w:rPr>
        </w:r>
        <w:r w:rsidR="00AB1CDB">
          <w:rPr>
            <w:noProof/>
          </w:rPr>
          <w:fldChar w:fldCharType="separate"/>
        </w:r>
        <w:r>
          <w:rPr>
            <w:noProof/>
          </w:rPr>
          <w:t>10</w:t>
        </w:r>
        <w:r w:rsidR="00AB1CDB">
          <w:rPr>
            <w:noProof/>
          </w:rPr>
          <w:fldChar w:fldCharType="end"/>
        </w:r>
      </w:hyperlink>
    </w:p>
    <w:p w14:paraId="473882BC" w14:textId="599C7CF3"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53" w:history="1">
        <w:r w:rsidR="00AB1CDB" w:rsidRPr="001E7E71">
          <w:rPr>
            <w:rStyle w:val="Lienhypertexte"/>
            <w:b/>
            <w:noProof/>
          </w:rPr>
          <w:t>2.1.2.6</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Assessment of endocrine disruption (ED) properties of the biocidal product</w:t>
        </w:r>
        <w:r w:rsidR="00AB1CDB">
          <w:rPr>
            <w:noProof/>
          </w:rPr>
          <w:tab/>
        </w:r>
        <w:r w:rsidR="00AB1CDB">
          <w:rPr>
            <w:noProof/>
          </w:rPr>
          <w:fldChar w:fldCharType="begin"/>
        </w:r>
        <w:r w:rsidR="00AB1CDB">
          <w:rPr>
            <w:noProof/>
          </w:rPr>
          <w:instrText xml:space="preserve"> PAGEREF _Toc74732453 \h </w:instrText>
        </w:r>
        <w:r w:rsidR="00AB1CDB">
          <w:rPr>
            <w:noProof/>
          </w:rPr>
        </w:r>
        <w:r w:rsidR="00AB1CDB">
          <w:rPr>
            <w:noProof/>
          </w:rPr>
          <w:fldChar w:fldCharType="separate"/>
        </w:r>
        <w:r>
          <w:rPr>
            <w:noProof/>
          </w:rPr>
          <w:t>10</w:t>
        </w:r>
        <w:r w:rsidR="00AB1CDB">
          <w:rPr>
            <w:noProof/>
          </w:rPr>
          <w:fldChar w:fldCharType="end"/>
        </w:r>
      </w:hyperlink>
    </w:p>
    <w:p w14:paraId="5DFC515E" w14:textId="333CB642"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54" w:history="1">
        <w:r w:rsidR="00AB1CDB" w:rsidRPr="001E7E71">
          <w:rPr>
            <w:rStyle w:val="Lienhypertexte"/>
            <w:b/>
            <w:noProof/>
          </w:rPr>
          <w:t>2.1.2.7</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Type of formulation</w:t>
        </w:r>
        <w:r w:rsidR="00AB1CDB">
          <w:rPr>
            <w:noProof/>
          </w:rPr>
          <w:tab/>
        </w:r>
        <w:r w:rsidR="00AB1CDB">
          <w:rPr>
            <w:noProof/>
          </w:rPr>
          <w:fldChar w:fldCharType="begin"/>
        </w:r>
        <w:r w:rsidR="00AB1CDB">
          <w:rPr>
            <w:noProof/>
          </w:rPr>
          <w:instrText xml:space="preserve"> PAGEREF _Toc74732454 \h </w:instrText>
        </w:r>
        <w:r w:rsidR="00AB1CDB">
          <w:rPr>
            <w:noProof/>
          </w:rPr>
        </w:r>
        <w:r w:rsidR="00AB1CDB">
          <w:rPr>
            <w:noProof/>
          </w:rPr>
          <w:fldChar w:fldCharType="separate"/>
        </w:r>
        <w:r>
          <w:rPr>
            <w:noProof/>
          </w:rPr>
          <w:t>10</w:t>
        </w:r>
        <w:r w:rsidR="00AB1CDB">
          <w:rPr>
            <w:noProof/>
          </w:rPr>
          <w:fldChar w:fldCharType="end"/>
        </w:r>
      </w:hyperlink>
    </w:p>
    <w:p w14:paraId="33CA72A5" w14:textId="34CBBEFB"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55" w:history="1">
        <w:r w:rsidR="00AB1CDB" w:rsidRPr="001E7E71">
          <w:rPr>
            <w:rStyle w:val="Lienhypertexte"/>
            <w:noProof/>
          </w:rPr>
          <w:t>2.1.3</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Hazard and precautionary statements</w:t>
        </w:r>
        <w:r w:rsidR="00AB1CDB">
          <w:rPr>
            <w:noProof/>
          </w:rPr>
          <w:tab/>
        </w:r>
        <w:r w:rsidR="00AB1CDB">
          <w:rPr>
            <w:noProof/>
          </w:rPr>
          <w:fldChar w:fldCharType="begin"/>
        </w:r>
        <w:r w:rsidR="00AB1CDB">
          <w:rPr>
            <w:noProof/>
          </w:rPr>
          <w:instrText xml:space="preserve"> PAGEREF _Toc74732455 \h </w:instrText>
        </w:r>
        <w:r w:rsidR="00AB1CDB">
          <w:rPr>
            <w:noProof/>
          </w:rPr>
        </w:r>
        <w:r w:rsidR="00AB1CDB">
          <w:rPr>
            <w:noProof/>
          </w:rPr>
          <w:fldChar w:fldCharType="separate"/>
        </w:r>
        <w:r>
          <w:rPr>
            <w:noProof/>
          </w:rPr>
          <w:t>10</w:t>
        </w:r>
        <w:r w:rsidR="00AB1CDB">
          <w:rPr>
            <w:noProof/>
          </w:rPr>
          <w:fldChar w:fldCharType="end"/>
        </w:r>
      </w:hyperlink>
    </w:p>
    <w:p w14:paraId="789CE234" w14:textId="5B911D9D"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56" w:history="1">
        <w:r w:rsidR="00AB1CDB" w:rsidRPr="001E7E71">
          <w:rPr>
            <w:rStyle w:val="Lienhypertexte"/>
            <w:noProof/>
          </w:rPr>
          <w:t>2.1.4</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Authorised use(s)</w:t>
        </w:r>
        <w:r w:rsidR="00AB1CDB">
          <w:rPr>
            <w:noProof/>
          </w:rPr>
          <w:tab/>
        </w:r>
        <w:r w:rsidR="00AB1CDB">
          <w:rPr>
            <w:noProof/>
          </w:rPr>
          <w:fldChar w:fldCharType="begin"/>
        </w:r>
        <w:r w:rsidR="00AB1CDB">
          <w:rPr>
            <w:noProof/>
          </w:rPr>
          <w:instrText xml:space="preserve"> PAGEREF _Toc74732456 \h </w:instrText>
        </w:r>
        <w:r w:rsidR="00AB1CDB">
          <w:rPr>
            <w:noProof/>
          </w:rPr>
        </w:r>
        <w:r w:rsidR="00AB1CDB">
          <w:rPr>
            <w:noProof/>
          </w:rPr>
          <w:fldChar w:fldCharType="separate"/>
        </w:r>
        <w:r>
          <w:rPr>
            <w:noProof/>
          </w:rPr>
          <w:t>10</w:t>
        </w:r>
        <w:r w:rsidR="00AB1CDB">
          <w:rPr>
            <w:noProof/>
          </w:rPr>
          <w:fldChar w:fldCharType="end"/>
        </w:r>
      </w:hyperlink>
    </w:p>
    <w:p w14:paraId="359EE2EC" w14:textId="6C7615DC"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57" w:history="1">
        <w:r w:rsidR="00AB1CDB" w:rsidRPr="001E7E71">
          <w:rPr>
            <w:rStyle w:val="Lienhypertexte"/>
            <w:b/>
            <w:noProof/>
          </w:rPr>
          <w:t>2.1.4.1</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Use description</w:t>
        </w:r>
        <w:r w:rsidR="00AB1CDB">
          <w:rPr>
            <w:noProof/>
          </w:rPr>
          <w:tab/>
        </w:r>
        <w:r w:rsidR="00AB1CDB">
          <w:rPr>
            <w:noProof/>
          </w:rPr>
          <w:fldChar w:fldCharType="begin"/>
        </w:r>
        <w:r w:rsidR="00AB1CDB">
          <w:rPr>
            <w:noProof/>
          </w:rPr>
          <w:instrText xml:space="preserve"> PAGEREF _Toc74732457 \h </w:instrText>
        </w:r>
        <w:r w:rsidR="00AB1CDB">
          <w:rPr>
            <w:noProof/>
          </w:rPr>
        </w:r>
        <w:r w:rsidR="00AB1CDB">
          <w:rPr>
            <w:noProof/>
          </w:rPr>
          <w:fldChar w:fldCharType="separate"/>
        </w:r>
        <w:r>
          <w:rPr>
            <w:noProof/>
          </w:rPr>
          <w:t>10</w:t>
        </w:r>
        <w:r w:rsidR="00AB1CDB">
          <w:rPr>
            <w:noProof/>
          </w:rPr>
          <w:fldChar w:fldCharType="end"/>
        </w:r>
      </w:hyperlink>
    </w:p>
    <w:p w14:paraId="2B743F4B" w14:textId="41E80A5E"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58" w:history="1">
        <w:r w:rsidR="00AB1CDB" w:rsidRPr="001E7E71">
          <w:rPr>
            <w:rStyle w:val="Lienhypertexte"/>
            <w:rFonts w:cs="Times"/>
            <w:b/>
            <w:bCs/>
            <w:noProof/>
          </w:rPr>
          <w:t>2.1.4.2</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Use-specific instructions for use</w:t>
        </w:r>
        <w:r w:rsidR="00AB1CDB">
          <w:rPr>
            <w:noProof/>
          </w:rPr>
          <w:tab/>
        </w:r>
        <w:r w:rsidR="00AB1CDB">
          <w:rPr>
            <w:noProof/>
          </w:rPr>
          <w:fldChar w:fldCharType="begin"/>
        </w:r>
        <w:r w:rsidR="00AB1CDB">
          <w:rPr>
            <w:noProof/>
          </w:rPr>
          <w:instrText xml:space="preserve"> PAGEREF _Toc74732458 \h </w:instrText>
        </w:r>
        <w:r w:rsidR="00AB1CDB">
          <w:rPr>
            <w:noProof/>
          </w:rPr>
        </w:r>
        <w:r w:rsidR="00AB1CDB">
          <w:rPr>
            <w:noProof/>
          </w:rPr>
          <w:fldChar w:fldCharType="separate"/>
        </w:r>
        <w:r>
          <w:rPr>
            <w:noProof/>
          </w:rPr>
          <w:t>11</w:t>
        </w:r>
        <w:r w:rsidR="00AB1CDB">
          <w:rPr>
            <w:noProof/>
          </w:rPr>
          <w:fldChar w:fldCharType="end"/>
        </w:r>
      </w:hyperlink>
    </w:p>
    <w:p w14:paraId="25ACE5A2" w14:textId="7A52B1FD"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59" w:history="1">
        <w:r w:rsidR="00AB1CDB" w:rsidRPr="001E7E71">
          <w:rPr>
            <w:rStyle w:val="Lienhypertexte"/>
            <w:rFonts w:cs="Times"/>
            <w:b/>
            <w:bCs/>
            <w:noProof/>
          </w:rPr>
          <w:t>2.1.4.3</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Use-specific risk mitigation measures</w:t>
        </w:r>
        <w:r w:rsidR="00AB1CDB">
          <w:rPr>
            <w:noProof/>
          </w:rPr>
          <w:tab/>
        </w:r>
        <w:r w:rsidR="00AB1CDB">
          <w:rPr>
            <w:noProof/>
          </w:rPr>
          <w:fldChar w:fldCharType="begin"/>
        </w:r>
        <w:r w:rsidR="00AB1CDB">
          <w:rPr>
            <w:noProof/>
          </w:rPr>
          <w:instrText xml:space="preserve"> PAGEREF _Toc74732459 \h </w:instrText>
        </w:r>
        <w:r w:rsidR="00AB1CDB">
          <w:rPr>
            <w:noProof/>
          </w:rPr>
        </w:r>
        <w:r w:rsidR="00AB1CDB">
          <w:rPr>
            <w:noProof/>
          </w:rPr>
          <w:fldChar w:fldCharType="separate"/>
        </w:r>
        <w:r>
          <w:rPr>
            <w:noProof/>
          </w:rPr>
          <w:t>11</w:t>
        </w:r>
        <w:r w:rsidR="00AB1CDB">
          <w:rPr>
            <w:noProof/>
          </w:rPr>
          <w:fldChar w:fldCharType="end"/>
        </w:r>
      </w:hyperlink>
    </w:p>
    <w:p w14:paraId="74F232F8" w14:textId="594B4EB4"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60" w:history="1">
        <w:r w:rsidR="00AB1CDB" w:rsidRPr="001E7E71">
          <w:rPr>
            <w:rStyle w:val="Lienhypertexte"/>
            <w:rFonts w:cs="Times"/>
            <w:b/>
            <w:bCs/>
            <w:noProof/>
          </w:rPr>
          <w:t>2.1.4.4</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Where specific to the use, the particulars of likely direct or indirect effects, first aid instructions and emergency measures to protect the environment</w:t>
        </w:r>
        <w:r w:rsidR="00AB1CDB">
          <w:rPr>
            <w:noProof/>
          </w:rPr>
          <w:tab/>
        </w:r>
        <w:r w:rsidR="00AB1CDB">
          <w:rPr>
            <w:noProof/>
          </w:rPr>
          <w:fldChar w:fldCharType="begin"/>
        </w:r>
        <w:r w:rsidR="00AB1CDB">
          <w:rPr>
            <w:noProof/>
          </w:rPr>
          <w:instrText xml:space="preserve"> PAGEREF _Toc74732460 \h </w:instrText>
        </w:r>
        <w:r w:rsidR="00AB1CDB">
          <w:rPr>
            <w:noProof/>
          </w:rPr>
        </w:r>
        <w:r w:rsidR="00AB1CDB">
          <w:rPr>
            <w:noProof/>
          </w:rPr>
          <w:fldChar w:fldCharType="separate"/>
        </w:r>
        <w:r>
          <w:rPr>
            <w:noProof/>
          </w:rPr>
          <w:t>11</w:t>
        </w:r>
        <w:r w:rsidR="00AB1CDB">
          <w:rPr>
            <w:noProof/>
          </w:rPr>
          <w:fldChar w:fldCharType="end"/>
        </w:r>
      </w:hyperlink>
    </w:p>
    <w:p w14:paraId="0A9A3A00" w14:textId="7B399E1A"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61" w:history="1">
        <w:r w:rsidR="00AB1CDB" w:rsidRPr="001E7E71">
          <w:rPr>
            <w:rStyle w:val="Lienhypertexte"/>
            <w:rFonts w:cs="Times"/>
            <w:b/>
            <w:bCs/>
            <w:noProof/>
          </w:rPr>
          <w:t>2.1.4.5</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Where specific to the use, the instructions for safe disposal of the product and its packaging</w:t>
        </w:r>
        <w:r w:rsidR="00AB1CDB">
          <w:rPr>
            <w:noProof/>
          </w:rPr>
          <w:tab/>
        </w:r>
        <w:r w:rsidR="00AB1CDB">
          <w:rPr>
            <w:noProof/>
          </w:rPr>
          <w:fldChar w:fldCharType="begin"/>
        </w:r>
        <w:r w:rsidR="00AB1CDB">
          <w:rPr>
            <w:noProof/>
          </w:rPr>
          <w:instrText xml:space="preserve"> PAGEREF _Toc74732461 \h </w:instrText>
        </w:r>
        <w:r w:rsidR="00AB1CDB">
          <w:rPr>
            <w:noProof/>
          </w:rPr>
        </w:r>
        <w:r w:rsidR="00AB1CDB">
          <w:rPr>
            <w:noProof/>
          </w:rPr>
          <w:fldChar w:fldCharType="separate"/>
        </w:r>
        <w:r>
          <w:rPr>
            <w:noProof/>
          </w:rPr>
          <w:t>11</w:t>
        </w:r>
        <w:r w:rsidR="00AB1CDB">
          <w:rPr>
            <w:noProof/>
          </w:rPr>
          <w:fldChar w:fldCharType="end"/>
        </w:r>
      </w:hyperlink>
    </w:p>
    <w:p w14:paraId="59AFC6AC" w14:textId="0F32D182"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62" w:history="1">
        <w:r w:rsidR="00AB1CDB" w:rsidRPr="001E7E71">
          <w:rPr>
            <w:rStyle w:val="Lienhypertexte"/>
            <w:rFonts w:cs="Times"/>
            <w:b/>
            <w:bCs/>
            <w:noProof/>
          </w:rPr>
          <w:t>2.1.4.6</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Where specific to the use, the conditions of storage and shelf-life of the product under normal conditions of storage</w:t>
        </w:r>
        <w:r w:rsidR="00AB1CDB">
          <w:rPr>
            <w:noProof/>
          </w:rPr>
          <w:tab/>
        </w:r>
        <w:r w:rsidR="00AB1CDB">
          <w:rPr>
            <w:noProof/>
          </w:rPr>
          <w:fldChar w:fldCharType="begin"/>
        </w:r>
        <w:r w:rsidR="00AB1CDB">
          <w:rPr>
            <w:noProof/>
          </w:rPr>
          <w:instrText xml:space="preserve"> PAGEREF _Toc74732462 \h </w:instrText>
        </w:r>
        <w:r w:rsidR="00AB1CDB">
          <w:rPr>
            <w:noProof/>
          </w:rPr>
        </w:r>
        <w:r w:rsidR="00AB1CDB">
          <w:rPr>
            <w:noProof/>
          </w:rPr>
          <w:fldChar w:fldCharType="separate"/>
        </w:r>
        <w:r>
          <w:rPr>
            <w:noProof/>
          </w:rPr>
          <w:t>11</w:t>
        </w:r>
        <w:r w:rsidR="00AB1CDB">
          <w:rPr>
            <w:noProof/>
          </w:rPr>
          <w:fldChar w:fldCharType="end"/>
        </w:r>
      </w:hyperlink>
    </w:p>
    <w:p w14:paraId="4765A8EC" w14:textId="5F177372"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63" w:history="1">
        <w:r w:rsidR="00AB1CDB" w:rsidRPr="001E7E71">
          <w:rPr>
            <w:rStyle w:val="Lienhypertexte"/>
            <w:noProof/>
          </w:rPr>
          <w:t>2.1.5</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General directions for use</w:t>
        </w:r>
        <w:r w:rsidR="00AB1CDB">
          <w:rPr>
            <w:noProof/>
          </w:rPr>
          <w:tab/>
        </w:r>
        <w:r w:rsidR="00AB1CDB">
          <w:rPr>
            <w:noProof/>
          </w:rPr>
          <w:fldChar w:fldCharType="begin"/>
        </w:r>
        <w:r w:rsidR="00AB1CDB">
          <w:rPr>
            <w:noProof/>
          </w:rPr>
          <w:instrText xml:space="preserve"> PAGEREF _Toc74732463 \h </w:instrText>
        </w:r>
        <w:r w:rsidR="00AB1CDB">
          <w:rPr>
            <w:noProof/>
          </w:rPr>
        </w:r>
        <w:r w:rsidR="00AB1CDB">
          <w:rPr>
            <w:noProof/>
          </w:rPr>
          <w:fldChar w:fldCharType="separate"/>
        </w:r>
        <w:r>
          <w:rPr>
            <w:noProof/>
          </w:rPr>
          <w:t>12</w:t>
        </w:r>
        <w:r w:rsidR="00AB1CDB">
          <w:rPr>
            <w:noProof/>
          </w:rPr>
          <w:fldChar w:fldCharType="end"/>
        </w:r>
      </w:hyperlink>
    </w:p>
    <w:p w14:paraId="220E49EA" w14:textId="6431410D"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64" w:history="1">
        <w:r w:rsidR="00AB1CDB" w:rsidRPr="001E7E71">
          <w:rPr>
            <w:rStyle w:val="Lienhypertexte"/>
            <w:b/>
            <w:noProof/>
          </w:rPr>
          <w:t>2.1.5.1</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Instructions for use</w:t>
        </w:r>
        <w:r w:rsidR="00AB1CDB">
          <w:rPr>
            <w:noProof/>
          </w:rPr>
          <w:tab/>
        </w:r>
        <w:r w:rsidR="00AB1CDB">
          <w:rPr>
            <w:noProof/>
          </w:rPr>
          <w:fldChar w:fldCharType="begin"/>
        </w:r>
        <w:r w:rsidR="00AB1CDB">
          <w:rPr>
            <w:noProof/>
          </w:rPr>
          <w:instrText xml:space="preserve"> PAGEREF _Toc74732464 \h </w:instrText>
        </w:r>
        <w:r w:rsidR="00AB1CDB">
          <w:rPr>
            <w:noProof/>
          </w:rPr>
        </w:r>
        <w:r w:rsidR="00AB1CDB">
          <w:rPr>
            <w:noProof/>
          </w:rPr>
          <w:fldChar w:fldCharType="separate"/>
        </w:r>
        <w:r>
          <w:rPr>
            <w:noProof/>
          </w:rPr>
          <w:t>12</w:t>
        </w:r>
        <w:r w:rsidR="00AB1CDB">
          <w:rPr>
            <w:noProof/>
          </w:rPr>
          <w:fldChar w:fldCharType="end"/>
        </w:r>
      </w:hyperlink>
    </w:p>
    <w:p w14:paraId="19366A3B" w14:textId="1ED59885"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65" w:history="1">
        <w:r w:rsidR="00AB1CDB" w:rsidRPr="001E7E71">
          <w:rPr>
            <w:rStyle w:val="Lienhypertexte"/>
            <w:b/>
            <w:noProof/>
          </w:rPr>
          <w:t>2.1.5.2</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Risk mitigation measures</w:t>
        </w:r>
        <w:r w:rsidR="00AB1CDB">
          <w:rPr>
            <w:noProof/>
          </w:rPr>
          <w:tab/>
        </w:r>
        <w:r w:rsidR="00AB1CDB">
          <w:rPr>
            <w:noProof/>
          </w:rPr>
          <w:fldChar w:fldCharType="begin"/>
        </w:r>
        <w:r w:rsidR="00AB1CDB">
          <w:rPr>
            <w:noProof/>
          </w:rPr>
          <w:instrText xml:space="preserve"> PAGEREF _Toc74732465 \h </w:instrText>
        </w:r>
        <w:r w:rsidR="00AB1CDB">
          <w:rPr>
            <w:noProof/>
          </w:rPr>
        </w:r>
        <w:r w:rsidR="00AB1CDB">
          <w:rPr>
            <w:noProof/>
          </w:rPr>
          <w:fldChar w:fldCharType="separate"/>
        </w:r>
        <w:r>
          <w:rPr>
            <w:noProof/>
          </w:rPr>
          <w:t>12</w:t>
        </w:r>
        <w:r w:rsidR="00AB1CDB">
          <w:rPr>
            <w:noProof/>
          </w:rPr>
          <w:fldChar w:fldCharType="end"/>
        </w:r>
      </w:hyperlink>
    </w:p>
    <w:p w14:paraId="57961334" w14:textId="3B8A8F1E"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66" w:history="1">
        <w:r w:rsidR="00AB1CDB" w:rsidRPr="001E7E71">
          <w:rPr>
            <w:rStyle w:val="Lienhypertexte"/>
            <w:b/>
            <w:noProof/>
          </w:rPr>
          <w:t>2.1.5.3</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Particulars of likely direct or indirect effects, first aid instructions and emergency measures to protect the environment</w:t>
        </w:r>
        <w:r w:rsidR="00AB1CDB">
          <w:rPr>
            <w:noProof/>
          </w:rPr>
          <w:tab/>
        </w:r>
        <w:r w:rsidR="00AB1CDB">
          <w:rPr>
            <w:noProof/>
          </w:rPr>
          <w:fldChar w:fldCharType="begin"/>
        </w:r>
        <w:r w:rsidR="00AB1CDB">
          <w:rPr>
            <w:noProof/>
          </w:rPr>
          <w:instrText xml:space="preserve"> PAGEREF _Toc74732466 \h </w:instrText>
        </w:r>
        <w:r w:rsidR="00AB1CDB">
          <w:rPr>
            <w:noProof/>
          </w:rPr>
        </w:r>
        <w:r w:rsidR="00AB1CDB">
          <w:rPr>
            <w:noProof/>
          </w:rPr>
          <w:fldChar w:fldCharType="separate"/>
        </w:r>
        <w:r>
          <w:rPr>
            <w:noProof/>
          </w:rPr>
          <w:t>12</w:t>
        </w:r>
        <w:r w:rsidR="00AB1CDB">
          <w:rPr>
            <w:noProof/>
          </w:rPr>
          <w:fldChar w:fldCharType="end"/>
        </w:r>
      </w:hyperlink>
    </w:p>
    <w:p w14:paraId="336B8D74" w14:textId="4509C2DA"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67" w:history="1">
        <w:r w:rsidR="00AB1CDB" w:rsidRPr="001E7E71">
          <w:rPr>
            <w:rStyle w:val="Lienhypertexte"/>
            <w:b/>
            <w:noProof/>
          </w:rPr>
          <w:t>2.1.5.4</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Instructions for safe disposal of the product and its packaging</w:t>
        </w:r>
        <w:r w:rsidR="00AB1CDB">
          <w:rPr>
            <w:noProof/>
          </w:rPr>
          <w:tab/>
        </w:r>
        <w:r w:rsidR="00AB1CDB">
          <w:rPr>
            <w:noProof/>
          </w:rPr>
          <w:fldChar w:fldCharType="begin"/>
        </w:r>
        <w:r w:rsidR="00AB1CDB">
          <w:rPr>
            <w:noProof/>
          </w:rPr>
          <w:instrText xml:space="preserve"> PAGEREF _Toc74732467 \h </w:instrText>
        </w:r>
        <w:r w:rsidR="00AB1CDB">
          <w:rPr>
            <w:noProof/>
          </w:rPr>
        </w:r>
        <w:r w:rsidR="00AB1CDB">
          <w:rPr>
            <w:noProof/>
          </w:rPr>
          <w:fldChar w:fldCharType="separate"/>
        </w:r>
        <w:r>
          <w:rPr>
            <w:noProof/>
          </w:rPr>
          <w:t>12</w:t>
        </w:r>
        <w:r w:rsidR="00AB1CDB">
          <w:rPr>
            <w:noProof/>
          </w:rPr>
          <w:fldChar w:fldCharType="end"/>
        </w:r>
      </w:hyperlink>
    </w:p>
    <w:p w14:paraId="401E73A2" w14:textId="794AB6DE"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68" w:history="1">
        <w:r w:rsidR="00AB1CDB" w:rsidRPr="001E7E71">
          <w:rPr>
            <w:rStyle w:val="Lienhypertexte"/>
            <w:b/>
            <w:noProof/>
          </w:rPr>
          <w:t>2.1.5.5</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Conditions of storage and shelf-life of the product under normal conditions of storage</w:t>
        </w:r>
        <w:r w:rsidR="00AB1CDB">
          <w:rPr>
            <w:noProof/>
          </w:rPr>
          <w:tab/>
        </w:r>
        <w:r w:rsidR="00AB1CDB">
          <w:rPr>
            <w:noProof/>
          </w:rPr>
          <w:fldChar w:fldCharType="begin"/>
        </w:r>
        <w:r w:rsidR="00AB1CDB">
          <w:rPr>
            <w:noProof/>
          </w:rPr>
          <w:instrText xml:space="preserve"> PAGEREF _Toc74732468 \h </w:instrText>
        </w:r>
        <w:r w:rsidR="00AB1CDB">
          <w:rPr>
            <w:noProof/>
          </w:rPr>
        </w:r>
        <w:r w:rsidR="00AB1CDB">
          <w:rPr>
            <w:noProof/>
          </w:rPr>
          <w:fldChar w:fldCharType="separate"/>
        </w:r>
        <w:r>
          <w:rPr>
            <w:noProof/>
          </w:rPr>
          <w:t>12</w:t>
        </w:r>
        <w:r w:rsidR="00AB1CDB">
          <w:rPr>
            <w:noProof/>
          </w:rPr>
          <w:fldChar w:fldCharType="end"/>
        </w:r>
      </w:hyperlink>
    </w:p>
    <w:p w14:paraId="6B46D52E" w14:textId="4B30B177"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69" w:history="1">
        <w:r w:rsidR="00AB1CDB" w:rsidRPr="001E7E71">
          <w:rPr>
            <w:rStyle w:val="Lienhypertexte"/>
            <w:noProof/>
          </w:rPr>
          <w:t>2.1.6</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Other information</w:t>
        </w:r>
        <w:r w:rsidR="00AB1CDB">
          <w:rPr>
            <w:noProof/>
          </w:rPr>
          <w:tab/>
        </w:r>
        <w:r w:rsidR="00AB1CDB">
          <w:rPr>
            <w:noProof/>
          </w:rPr>
          <w:fldChar w:fldCharType="begin"/>
        </w:r>
        <w:r w:rsidR="00AB1CDB">
          <w:rPr>
            <w:noProof/>
          </w:rPr>
          <w:instrText xml:space="preserve"> PAGEREF _Toc74732469 \h </w:instrText>
        </w:r>
        <w:r w:rsidR="00AB1CDB">
          <w:rPr>
            <w:noProof/>
          </w:rPr>
        </w:r>
        <w:r w:rsidR="00AB1CDB">
          <w:rPr>
            <w:noProof/>
          </w:rPr>
          <w:fldChar w:fldCharType="separate"/>
        </w:r>
        <w:r>
          <w:rPr>
            <w:noProof/>
          </w:rPr>
          <w:t>12</w:t>
        </w:r>
        <w:r w:rsidR="00AB1CDB">
          <w:rPr>
            <w:noProof/>
          </w:rPr>
          <w:fldChar w:fldCharType="end"/>
        </w:r>
      </w:hyperlink>
    </w:p>
    <w:p w14:paraId="176D42EB" w14:textId="3731FFCC"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70" w:history="1">
        <w:r w:rsidR="00AB1CDB" w:rsidRPr="001E7E71">
          <w:rPr>
            <w:rStyle w:val="Lienhypertexte"/>
            <w:rFonts w:eastAsia="Calibri"/>
            <w:noProof/>
            <w:lang w:eastAsia="en-US"/>
          </w:rPr>
          <w:t>2.1.7</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Packaging of the biocidal product</w:t>
        </w:r>
        <w:r w:rsidR="00AB1CDB">
          <w:rPr>
            <w:noProof/>
          </w:rPr>
          <w:tab/>
        </w:r>
        <w:r w:rsidR="00AB1CDB">
          <w:rPr>
            <w:noProof/>
          </w:rPr>
          <w:fldChar w:fldCharType="begin"/>
        </w:r>
        <w:r w:rsidR="00AB1CDB">
          <w:rPr>
            <w:noProof/>
          </w:rPr>
          <w:instrText xml:space="preserve"> PAGEREF _Toc74732470 \h </w:instrText>
        </w:r>
        <w:r w:rsidR="00AB1CDB">
          <w:rPr>
            <w:noProof/>
          </w:rPr>
        </w:r>
        <w:r w:rsidR="00AB1CDB">
          <w:rPr>
            <w:noProof/>
          </w:rPr>
          <w:fldChar w:fldCharType="separate"/>
        </w:r>
        <w:r>
          <w:rPr>
            <w:noProof/>
          </w:rPr>
          <w:t>13</w:t>
        </w:r>
        <w:r w:rsidR="00AB1CDB">
          <w:rPr>
            <w:noProof/>
          </w:rPr>
          <w:fldChar w:fldCharType="end"/>
        </w:r>
      </w:hyperlink>
    </w:p>
    <w:p w14:paraId="55ACF8ED" w14:textId="4BA13D85"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71" w:history="1">
        <w:r w:rsidR="00AB1CDB" w:rsidRPr="001E7E71">
          <w:rPr>
            <w:rStyle w:val="Lienhypertexte"/>
            <w:noProof/>
            <w:lang w:eastAsia="en-US"/>
          </w:rPr>
          <w:t>2.1.8</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lang w:eastAsia="en-US"/>
          </w:rPr>
          <w:t>Documentation</w:t>
        </w:r>
        <w:r w:rsidR="00AB1CDB">
          <w:rPr>
            <w:noProof/>
          </w:rPr>
          <w:tab/>
        </w:r>
        <w:r w:rsidR="00AB1CDB">
          <w:rPr>
            <w:noProof/>
          </w:rPr>
          <w:fldChar w:fldCharType="begin"/>
        </w:r>
        <w:r w:rsidR="00AB1CDB">
          <w:rPr>
            <w:noProof/>
          </w:rPr>
          <w:instrText xml:space="preserve"> PAGEREF _Toc74732471 \h </w:instrText>
        </w:r>
        <w:r w:rsidR="00AB1CDB">
          <w:rPr>
            <w:noProof/>
          </w:rPr>
        </w:r>
        <w:r w:rsidR="00AB1CDB">
          <w:rPr>
            <w:noProof/>
          </w:rPr>
          <w:fldChar w:fldCharType="separate"/>
        </w:r>
        <w:r>
          <w:rPr>
            <w:noProof/>
          </w:rPr>
          <w:t>13</w:t>
        </w:r>
        <w:r w:rsidR="00AB1CDB">
          <w:rPr>
            <w:noProof/>
          </w:rPr>
          <w:fldChar w:fldCharType="end"/>
        </w:r>
      </w:hyperlink>
    </w:p>
    <w:p w14:paraId="67D687D8" w14:textId="5C94A086"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72" w:history="1">
        <w:r w:rsidR="00AB1CDB" w:rsidRPr="001E7E71">
          <w:rPr>
            <w:rStyle w:val="Lienhypertexte"/>
            <w:rFonts w:cs="Times New Roman"/>
            <w:b/>
            <w:iCs/>
            <w:noProof/>
            <w:lang w:eastAsia="en-US"/>
          </w:rPr>
          <w:t>2.1.8.1</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Data submitted in relation to product application</w:t>
        </w:r>
        <w:r w:rsidR="00AB1CDB">
          <w:rPr>
            <w:noProof/>
          </w:rPr>
          <w:tab/>
        </w:r>
        <w:r w:rsidR="00AB1CDB">
          <w:rPr>
            <w:noProof/>
          </w:rPr>
          <w:fldChar w:fldCharType="begin"/>
        </w:r>
        <w:r w:rsidR="00AB1CDB">
          <w:rPr>
            <w:noProof/>
          </w:rPr>
          <w:instrText xml:space="preserve"> PAGEREF _Toc74732472 \h </w:instrText>
        </w:r>
        <w:r w:rsidR="00AB1CDB">
          <w:rPr>
            <w:noProof/>
          </w:rPr>
        </w:r>
        <w:r w:rsidR="00AB1CDB">
          <w:rPr>
            <w:noProof/>
          </w:rPr>
          <w:fldChar w:fldCharType="separate"/>
        </w:r>
        <w:r>
          <w:rPr>
            <w:noProof/>
          </w:rPr>
          <w:t>13</w:t>
        </w:r>
        <w:r w:rsidR="00AB1CDB">
          <w:rPr>
            <w:noProof/>
          </w:rPr>
          <w:fldChar w:fldCharType="end"/>
        </w:r>
      </w:hyperlink>
    </w:p>
    <w:p w14:paraId="2C264AF4" w14:textId="0FE39781"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73" w:history="1">
        <w:r w:rsidR="00AB1CDB" w:rsidRPr="001E7E71">
          <w:rPr>
            <w:rStyle w:val="Lienhypertexte"/>
            <w:rFonts w:cs="Times New Roman"/>
            <w:b/>
            <w:iCs/>
            <w:noProof/>
            <w:lang w:eastAsia="en-US"/>
          </w:rPr>
          <w:t>2.1.8.2</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Access to documentation</w:t>
        </w:r>
        <w:r w:rsidR="00AB1CDB">
          <w:rPr>
            <w:noProof/>
          </w:rPr>
          <w:tab/>
        </w:r>
        <w:r w:rsidR="00AB1CDB">
          <w:rPr>
            <w:noProof/>
          </w:rPr>
          <w:fldChar w:fldCharType="begin"/>
        </w:r>
        <w:r w:rsidR="00AB1CDB">
          <w:rPr>
            <w:noProof/>
          </w:rPr>
          <w:instrText xml:space="preserve"> PAGEREF _Toc74732473 \h </w:instrText>
        </w:r>
        <w:r w:rsidR="00AB1CDB">
          <w:rPr>
            <w:noProof/>
          </w:rPr>
        </w:r>
        <w:r w:rsidR="00AB1CDB">
          <w:rPr>
            <w:noProof/>
          </w:rPr>
          <w:fldChar w:fldCharType="separate"/>
        </w:r>
        <w:r>
          <w:rPr>
            <w:noProof/>
          </w:rPr>
          <w:t>13</w:t>
        </w:r>
        <w:r w:rsidR="00AB1CDB">
          <w:rPr>
            <w:noProof/>
          </w:rPr>
          <w:fldChar w:fldCharType="end"/>
        </w:r>
      </w:hyperlink>
    </w:p>
    <w:p w14:paraId="5416322E" w14:textId="5D873229" w:rsidR="00AB1CDB" w:rsidRDefault="00D3140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4732474" w:history="1">
        <w:r w:rsidR="00AB1CDB" w:rsidRPr="001E7E71">
          <w:rPr>
            <w:rStyle w:val="Lienhypertexte"/>
            <w:noProof/>
            <w:lang w:val="de-DE"/>
          </w:rPr>
          <w:t>2.2</w:t>
        </w:r>
        <w:r w:rsidR="00AB1CDB">
          <w:rPr>
            <w:rFonts w:asciiTheme="minorHAnsi" w:eastAsiaTheme="minorEastAsia" w:hAnsiTheme="minorHAnsi" w:cstheme="minorBidi"/>
            <w:smallCaps w:val="0"/>
            <w:noProof/>
            <w:sz w:val="22"/>
            <w:szCs w:val="22"/>
            <w:lang w:val="fr-FR" w:eastAsia="fr-FR"/>
          </w:rPr>
          <w:tab/>
        </w:r>
        <w:r w:rsidR="00AB1CDB" w:rsidRPr="001E7E71">
          <w:rPr>
            <w:rStyle w:val="Lienhypertexte"/>
            <w:noProof/>
          </w:rPr>
          <w:t>Assessment of the biocidal product</w:t>
        </w:r>
        <w:r w:rsidR="00AB1CDB">
          <w:rPr>
            <w:noProof/>
          </w:rPr>
          <w:tab/>
        </w:r>
        <w:r w:rsidR="00AB1CDB">
          <w:rPr>
            <w:noProof/>
          </w:rPr>
          <w:fldChar w:fldCharType="begin"/>
        </w:r>
        <w:r w:rsidR="00AB1CDB">
          <w:rPr>
            <w:noProof/>
          </w:rPr>
          <w:instrText xml:space="preserve"> PAGEREF _Toc74732474 \h </w:instrText>
        </w:r>
        <w:r w:rsidR="00AB1CDB">
          <w:rPr>
            <w:noProof/>
          </w:rPr>
        </w:r>
        <w:r w:rsidR="00AB1CDB">
          <w:rPr>
            <w:noProof/>
          </w:rPr>
          <w:fldChar w:fldCharType="separate"/>
        </w:r>
        <w:r>
          <w:rPr>
            <w:noProof/>
          </w:rPr>
          <w:t>14</w:t>
        </w:r>
        <w:r w:rsidR="00AB1CDB">
          <w:rPr>
            <w:noProof/>
          </w:rPr>
          <w:fldChar w:fldCharType="end"/>
        </w:r>
      </w:hyperlink>
    </w:p>
    <w:p w14:paraId="728FE9BF" w14:textId="15D23E4C"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75" w:history="1">
        <w:r w:rsidR="00AB1CDB" w:rsidRPr="001E7E71">
          <w:rPr>
            <w:rStyle w:val="Lienhypertexte"/>
            <w:noProof/>
          </w:rPr>
          <w:t>2.2.1</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Intended use(s) as applied for by the applicant</w:t>
        </w:r>
        <w:r w:rsidR="00AB1CDB">
          <w:rPr>
            <w:noProof/>
          </w:rPr>
          <w:tab/>
        </w:r>
        <w:r w:rsidR="00AB1CDB">
          <w:rPr>
            <w:noProof/>
          </w:rPr>
          <w:fldChar w:fldCharType="begin"/>
        </w:r>
        <w:r w:rsidR="00AB1CDB">
          <w:rPr>
            <w:noProof/>
          </w:rPr>
          <w:instrText xml:space="preserve"> PAGEREF _Toc74732475 \h </w:instrText>
        </w:r>
        <w:r w:rsidR="00AB1CDB">
          <w:rPr>
            <w:noProof/>
          </w:rPr>
        </w:r>
        <w:r w:rsidR="00AB1CDB">
          <w:rPr>
            <w:noProof/>
          </w:rPr>
          <w:fldChar w:fldCharType="separate"/>
        </w:r>
        <w:r>
          <w:rPr>
            <w:noProof/>
          </w:rPr>
          <w:t>14</w:t>
        </w:r>
        <w:r w:rsidR="00AB1CDB">
          <w:rPr>
            <w:noProof/>
          </w:rPr>
          <w:fldChar w:fldCharType="end"/>
        </w:r>
      </w:hyperlink>
    </w:p>
    <w:p w14:paraId="160738D4" w14:textId="51D83D15"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76" w:history="1">
        <w:r w:rsidR="00AB1CDB" w:rsidRPr="001E7E71">
          <w:rPr>
            <w:rStyle w:val="Lienhypertexte"/>
            <w:rFonts w:eastAsia="Calibri"/>
            <w:noProof/>
            <w:lang w:eastAsia="sv-SE"/>
          </w:rPr>
          <w:t>2.2.2</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Physical, chemical and technical properties</w:t>
        </w:r>
        <w:r w:rsidR="00AB1CDB">
          <w:rPr>
            <w:noProof/>
          </w:rPr>
          <w:tab/>
        </w:r>
        <w:r w:rsidR="00AB1CDB">
          <w:rPr>
            <w:noProof/>
          </w:rPr>
          <w:fldChar w:fldCharType="begin"/>
        </w:r>
        <w:r w:rsidR="00AB1CDB">
          <w:rPr>
            <w:noProof/>
          </w:rPr>
          <w:instrText xml:space="preserve"> PAGEREF _Toc74732476 \h </w:instrText>
        </w:r>
        <w:r w:rsidR="00AB1CDB">
          <w:rPr>
            <w:noProof/>
          </w:rPr>
        </w:r>
        <w:r w:rsidR="00AB1CDB">
          <w:rPr>
            <w:noProof/>
          </w:rPr>
          <w:fldChar w:fldCharType="separate"/>
        </w:r>
        <w:r>
          <w:rPr>
            <w:noProof/>
          </w:rPr>
          <w:t>15</w:t>
        </w:r>
        <w:r w:rsidR="00AB1CDB">
          <w:rPr>
            <w:noProof/>
          </w:rPr>
          <w:fldChar w:fldCharType="end"/>
        </w:r>
      </w:hyperlink>
    </w:p>
    <w:p w14:paraId="2E1BDAFC" w14:textId="661821D0"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77" w:history="1">
        <w:r w:rsidR="00AB1CDB" w:rsidRPr="001E7E71">
          <w:rPr>
            <w:rStyle w:val="Lienhypertexte"/>
            <w:rFonts w:eastAsia="Calibri"/>
            <w:noProof/>
            <w:lang w:eastAsia="en-US"/>
          </w:rPr>
          <w:t>2.2.3</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Physical hazards and respective characteristics</w:t>
        </w:r>
        <w:r w:rsidR="00AB1CDB">
          <w:rPr>
            <w:noProof/>
          </w:rPr>
          <w:tab/>
        </w:r>
        <w:r w:rsidR="00AB1CDB">
          <w:rPr>
            <w:noProof/>
          </w:rPr>
          <w:fldChar w:fldCharType="begin"/>
        </w:r>
        <w:r w:rsidR="00AB1CDB">
          <w:rPr>
            <w:noProof/>
          </w:rPr>
          <w:instrText xml:space="preserve"> PAGEREF _Toc74732477 \h </w:instrText>
        </w:r>
        <w:r w:rsidR="00AB1CDB">
          <w:rPr>
            <w:noProof/>
          </w:rPr>
        </w:r>
        <w:r w:rsidR="00AB1CDB">
          <w:rPr>
            <w:noProof/>
          </w:rPr>
          <w:fldChar w:fldCharType="separate"/>
        </w:r>
        <w:r>
          <w:rPr>
            <w:noProof/>
          </w:rPr>
          <w:t>24</w:t>
        </w:r>
        <w:r w:rsidR="00AB1CDB">
          <w:rPr>
            <w:noProof/>
          </w:rPr>
          <w:fldChar w:fldCharType="end"/>
        </w:r>
      </w:hyperlink>
    </w:p>
    <w:p w14:paraId="7DACB156" w14:textId="39061EBE"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78" w:history="1">
        <w:r w:rsidR="00AB1CDB" w:rsidRPr="001E7E71">
          <w:rPr>
            <w:rStyle w:val="Lienhypertexte"/>
            <w:noProof/>
          </w:rPr>
          <w:t>2.2.4</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Methods for detection and identification</w:t>
        </w:r>
        <w:r w:rsidR="00AB1CDB">
          <w:rPr>
            <w:noProof/>
          </w:rPr>
          <w:tab/>
        </w:r>
        <w:r w:rsidR="00AB1CDB">
          <w:rPr>
            <w:noProof/>
          </w:rPr>
          <w:fldChar w:fldCharType="begin"/>
        </w:r>
        <w:r w:rsidR="00AB1CDB">
          <w:rPr>
            <w:noProof/>
          </w:rPr>
          <w:instrText xml:space="preserve"> PAGEREF _Toc74732478 \h </w:instrText>
        </w:r>
        <w:r w:rsidR="00AB1CDB">
          <w:rPr>
            <w:noProof/>
          </w:rPr>
        </w:r>
        <w:r w:rsidR="00AB1CDB">
          <w:rPr>
            <w:noProof/>
          </w:rPr>
          <w:fldChar w:fldCharType="separate"/>
        </w:r>
        <w:r>
          <w:rPr>
            <w:noProof/>
          </w:rPr>
          <w:t>28</w:t>
        </w:r>
        <w:r w:rsidR="00AB1CDB">
          <w:rPr>
            <w:noProof/>
          </w:rPr>
          <w:fldChar w:fldCharType="end"/>
        </w:r>
      </w:hyperlink>
    </w:p>
    <w:p w14:paraId="651C2E7F" w14:textId="587D1A43"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79" w:history="1">
        <w:r w:rsidR="00AB1CDB" w:rsidRPr="001E7E71">
          <w:rPr>
            <w:rStyle w:val="Lienhypertexte"/>
            <w:noProof/>
          </w:rPr>
          <w:t>2.2.5</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Efficacy against target organisms</w:t>
        </w:r>
        <w:r w:rsidR="00AB1CDB">
          <w:rPr>
            <w:noProof/>
          </w:rPr>
          <w:tab/>
        </w:r>
        <w:r w:rsidR="00AB1CDB">
          <w:rPr>
            <w:noProof/>
          </w:rPr>
          <w:fldChar w:fldCharType="begin"/>
        </w:r>
        <w:r w:rsidR="00AB1CDB">
          <w:rPr>
            <w:noProof/>
          </w:rPr>
          <w:instrText xml:space="preserve"> PAGEREF _Toc74732479 \h </w:instrText>
        </w:r>
        <w:r w:rsidR="00AB1CDB">
          <w:rPr>
            <w:noProof/>
          </w:rPr>
        </w:r>
        <w:r w:rsidR="00AB1CDB">
          <w:rPr>
            <w:noProof/>
          </w:rPr>
          <w:fldChar w:fldCharType="separate"/>
        </w:r>
        <w:r>
          <w:rPr>
            <w:noProof/>
          </w:rPr>
          <w:t>48</w:t>
        </w:r>
        <w:r w:rsidR="00AB1CDB">
          <w:rPr>
            <w:noProof/>
          </w:rPr>
          <w:fldChar w:fldCharType="end"/>
        </w:r>
      </w:hyperlink>
    </w:p>
    <w:p w14:paraId="05309A87" w14:textId="74535A53"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0" w:history="1">
        <w:r w:rsidR="00AB1CDB" w:rsidRPr="001E7E71">
          <w:rPr>
            <w:rStyle w:val="Lienhypertexte"/>
            <w:rFonts w:cs="Times New Roman"/>
            <w:b/>
            <w:iCs/>
            <w:noProof/>
            <w:lang w:eastAsia="en-US"/>
          </w:rPr>
          <w:t>2.2.5.1</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Function and field of use</w:t>
        </w:r>
        <w:r w:rsidR="00AB1CDB">
          <w:rPr>
            <w:noProof/>
          </w:rPr>
          <w:tab/>
        </w:r>
        <w:r w:rsidR="00AB1CDB">
          <w:rPr>
            <w:noProof/>
          </w:rPr>
          <w:fldChar w:fldCharType="begin"/>
        </w:r>
        <w:r w:rsidR="00AB1CDB">
          <w:rPr>
            <w:noProof/>
          </w:rPr>
          <w:instrText xml:space="preserve"> PAGEREF _Toc74732480 \h </w:instrText>
        </w:r>
        <w:r w:rsidR="00AB1CDB">
          <w:rPr>
            <w:noProof/>
          </w:rPr>
        </w:r>
        <w:r w:rsidR="00AB1CDB">
          <w:rPr>
            <w:noProof/>
          </w:rPr>
          <w:fldChar w:fldCharType="separate"/>
        </w:r>
        <w:r>
          <w:rPr>
            <w:noProof/>
          </w:rPr>
          <w:t>48</w:t>
        </w:r>
        <w:r w:rsidR="00AB1CDB">
          <w:rPr>
            <w:noProof/>
          </w:rPr>
          <w:fldChar w:fldCharType="end"/>
        </w:r>
      </w:hyperlink>
    </w:p>
    <w:p w14:paraId="34A4DF19" w14:textId="453CCAC7"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1" w:history="1">
        <w:r w:rsidR="00AB1CDB" w:rsidRPr="001E7E71">
          <w:rPr>
            <w:rStyle w:val="Lienhypertexte"/>
            <w:rFonts w:cs="Times New Roman"/>
            <w:b/>
            <w:iCs/>
            <w:noProof/>
            <w:lang w:eastAsia="en-US"/>
          </w:rPr>
          <w:t>2.2.5.2</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Organisms to be controlled and products, organisms or objects to be protected</w:t>
        </w:r>
        <w:r w:rsidR="00AB1CDB">
          <w:rPr>
            <w:noProof/>
          </w:rPr>
          <w:tab/>
        </w:r>
        <w:r w:rsidR="00AB1CDB">
          <w:rPr>
            <w:noProof/>
          </w:rPr>
          <w:fldChar w:fldCharType="begin"/>
        </w:r>
        <w:r w:rsidR="00AB1CDB">
          <w:rPr>
            <w:noProof/>
          </w:rPr>
          <w:instrText xml:space="preserve"> PAGEREF _Toc74732481 \h </w:instrText>
        </w:r>
        <w:r w:rsidR="00AB1CDB">
          <w:rPr>
            <w:noProof/>
          </w:rPr>
        </w:r>
        <w:r w:rsidR="00AB1CDB">
          <w:rPr>
            <w:noProof/>
          </w:rPr>
          <w:fldChar w:fldCharType="separate"/>
        </w:r>
        <w:r>
          <w:rPr>
            <w:noProof/>
          </w:rPr>
          <w:t>48</w:t>
        </w:r>
        <w:r w:rsidR="00AB1CDB">
          <w:rPr>
            <w:noProof/>
          </w:rPr>
          <w:fldChar w:fldCharType="end"/>
        </w:r>
      </w:hyperlink>
    </w:p>
    <w:p w14:paraId="340F8272" w14:textId="4BB14683"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2" w:history="1">
        <w:r w:rsidR="00AB1CDB" w:rsidRPr="001E7E71">
          <w:rPr>
            <w:rStyle w:val="Lienhypertexte"/>
            <w:rFonts w:cs="Times New Roman"/>
            <w:b/>
            <w:iCs/>
            <w:noProof/>
            <w:lang w:eastAsia="en-US"/>
          </w:rPr>
          <w:t>2.2.5.3</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Effects on target organisms, including unacceptable suffering</w:t>
        </w:r>
        <w:r w:rsidR="00AB1CDB">
          <w:rPr>
            <w:noProof/>
          </w:rPr>
          <w:tab/>
        </w:r>
        <w:r w:rsidR="00AB1CDB">
          <w:rPr>
            <w:noProof/>
          </w:rPr>
          <w:fldChar w:fldCharType="begin"/>
        </w:r>
        <w:r w:rsidR="00AB1CDB">
          <w:rPr>
            <w:noProof/>
          </w:rPr>
          <w:instrText xml:space="preserve"> PAGEREF _Toc74732482 \h </w:instrText>
        </w:r>
        <w:r w:rsidR="00AB1CDB">
          <w:rPr>
            <w:noProof/>
          </w:rPr>
        </w:r>
        <w:r w:rsidR="00AB1CDB">
          <w:rPr>
            <w:noProof/>
          </w:rPr>
          <w:fldChar w:fldCharType="separate"/>
        </w:r>
        <w:r>
          <w:rPr>
            <w:noProof/>
          </w:rPr>
          <w:t>48</w:t>
        </w:r>
        <w:r w:rsidR="00AB1CDB">
          <w:rPr>
            <w:noProof/>
          </w:rPr>
          <w:fldChar w:fldCharType="end"/>
        </w:r>
      </w:hyperlink>
    </w:p>
    <w:p w14:paraId="520C2A60" w14:textId="32C2C7F6"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3" w:history="1">
        <w:r w:rsidR="00AB1CDB" w:rsidRPr="001E7E71">
          <w:rPr>
            <w:rStyle w:val="Lienhypertexte"/>
            <w:rFonts w:cs="Times New Roman"/>
            <w:b/>
            <w:iCs/>
            <w:noProof/>
            <w:lang w:eastAsia="en-US"/>
          </w:rPr>
          <w:t>2.2.5.4</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Mode of action, including time delay</w:t>
        </w:r>
        <w:r w:rsidR="00AB1CDB">
          <w:rPr>
            <w:noProof/>
          </w:rPr>
          <w:tab/>
        </w:r>
        <w:r w:rsidR="00AB1CDB">
          <w:rPr>
            <w:noProof/>
          </w:rPr>
          <w:fldChar w:fldCharType="begin"/>
        </w:r>
        <w:r w:rsidR="00AB1CDB">
          <w:rPr>
            <w:noProof/>
          </w:rPr>
          <w:instrText xml:space="preserve"> PAGEREF _Toc74732483 \h </w:instrText>
        </w:r>
        <w:r w:rsidR="00AB1CDB">
          <w:rPr>
            <w:noProof/>
          </w:rPr>
        </w:r>
        <w:r w:rsidR="00AB1CDB">
          <w:rPr>
            <w:noProof/>
          </w:rPr>
          <w:fldChar w:fldCharType="separate"/>
        </w:r>
        <w:r>
          <w:rPr>
            <w:noProof/>
          </w:rPr>
          <w:t>48</w:t>
        </w:r>
        <w:r w:rsidR="00AB1CDB">
          <w:rPr>
            <w:noProof/>
          </w:rPr>
          <w:fldChar w:fldCharType="end"/>
        </w:r>
      </w:hyperlink>
    </w:p>
    <w:p w14:paraId="37C29259" w14:textId="6B76B08B"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4" w:history="1">
        <w:r w:rsidR="00AB1CDB" w:rsidRPr="001E7E71">
          <w:rPr>
            <w:rStyle w:val="Lienhypertexte"/>
            <w:rFonts w:cs="Times New Roman"/>
            <w:b/>
            <w:iCs/>
            <w:noProof/>
            <w:lang w:eastAsia="en-US"/>
          </w:rPr>
          <w:t>2.2.5.5</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Efficacy data</w:t>
        </w:r>
        <w:r w:rsidR="00AB1CDB">
          <w:rPr>
            <w:noProof/>
          </w:rPr>
          <w:tab/>
        </w:r>
        <w:r w:rsidR="00AB1CDB">
          <w:rPr>
            <w:noProof/>
          </w:rPr>
          <w:fldChar w:fldCharType="begin"/>
        </w:r>
        <w:r w:rsidR="00AB1CDB">
          <w:rPr>
            <w:noProof/>
          </w:rPr>
          <w:instrText xml:space="preserve"> PAGEREF _Toc74732484 \h </w:instrText>
        </w:r>
        <w:r w:rsidR="00AB1CDB">
          <w:rPr>
            <w:noProof/>
          </w:rPr>
        </w:r>
        <w:r w:rsidR="00AB1CDB">
          <w:rPr>
            <w:noProof/>
          </w:rPr>
          <w:fldChar w:fldCharType="separate"/>
        </w:r>
        <w:r>
          <w:rPr>
            <w:noProof/>
          </w:rPr>
          <w:t>49</w:t>
        </w:r>
        <w:r w:rsidR="00AB1CDB">
          <w:rPr>
            <w:noProof/>
          </w:rPr>
          <w:fldChar w:fldCharType="end"/>
        </w:r>
      </w:hyperlink>
    </w:p>
    <w:p w14:paraId="3E752245" w14:textId="07A62BE2"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5" w:history="1">
        <w:r w:rsidR="00AB1CDB" w:rsidRPr="001E7E71">
          <w:rPr>
            <w:rStyle w:val="Lienhypertexte"/>
            <w:rFonts w:cs="Times New Roman"/>
            <w:b/>
            <w:iCs/>
            <w:noProof/>
            <w:lang w:eastAsia="en-US"/>
          </w:rPr>
          <w:t>2.2.5.6</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Occurrence of resistance and resistance management</w:t>
        </w:r>
        <w:r w:rsidR="00AB1CDB">
          <w:rPr>
            <w:noProof/>
          </w:rPr>
          <w:tab/>
        </w:r>
        <w:r w:rsidR="00AB1CDB">
          <w:rPr>
            <w:noProof/>
          </w:rPr>
          <w:fldChar w:fldCharType="begin"/>
        </w:r>
        <w:r w:rsidR="00AB1CDB">
          <w:rPr>
            <w:noProof/>
          </w:rPr>
          <w:instrText xml:space="preserve"> PAGEREF _Toc74732485 \h </w:instrText>
        </w:r>
        <w:r w:rsidR="00AB1CDB">
          <w:rPr>
            <w:noProof/>
          </w:rPr>
        </w:r>
        <w:r w:rsidR="00AB1CDB">
          <w:rPr>
            <w:noProof/>
          </w:rPr>
          <w:fldChar w:fldCharType="separate"/>
        </w:r>
        <w:r>
          <w:rPr>
            <w:noProof/>
          </w:rPr>
          <w:t>53</w:t>
        </w:r>
        <w:r w:rsidR="00AB1CDB">
          <w:rPr>
            <w:noProof/>
          </w:rPr>
          <w:fldChar w:fldCharType="end"/>
        </w:r>
      </w:hyperlink>
    </w:p>
    <w:p w14:paraId="2EB084EA" w14:textId="426BA602"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6" w:history="1">
        <w:r w:rsidR="00AB1CDB" w:rsidRPr="001E7E71">
          <w:rPr>
            <w:rStyle w:val="Lienhypertexte"/>
            <w:rFonts w:cs="Times New Roman"/>
            <w:b/>
            <w:iCs/>
            <w:noProof/>
            <w:lang w:eastAsia="en-US"/>
          </w:rPr>
          <w:t>2.2.5.7</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Known limitations</w:t>
        </w:r>
        <w:r w:rsidR="00AB1CDB">
          <w:rPr>
            <w:noProof/>
          </w:rPr>
          <w:tab/>
        </w:r>
        <w:r w:rsidR="00AB1CDB">
          <w:rPr>
            <w:noProof/>
          </w:rPr>
          <w:fldChar w:fldCharType="begin"/>
        </w:r>
        <w:r w:rsidR="00AB1CDB">
          <w:rPr>
            <w:noProof/>
          </w:rPr>
          <w:instrText xml:space="preserve"> PAGEREF _Toc74732486 \h </w:instrText>
        </w:r>
        <w:r w:rsidR="00AB1CDB">
          <w:rPr>
            <w:noProof/>
          </w:rPr>
        </w:r>
        <w:r w:rsidR="00AB1CDB">
          <w:rPr>
            <w:noProof/>
          </w:rPr>
          <w:fldChar w:fldCharType="separate"/>
        </w:r>
        <w:r>
          <w:rPr>
            <w:noProof/>
          </w:rPr>
          <w:t>53</w:t>
        </w:r>
        <w:r w:rsidR="00AB1CDB">
          <w:rPr>
            <w:noProof/>
          </w:rPr>
          <w:fldChar w:fldCharType="end"/>
        </w:r>
      </w:hyperlink>
    </w:p>
    <w:p w14:paraId="44E7C24D" w14:textId="5F10075A"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7" w:history="1">
        <w:r w:rsidR="00AB1CDB" w:rsidRPr="001E7E71">
          <w:rPr>
            <w:rStyle w:val="Lienhypertexte"/>
            <w:rFonts w:cs="Times New Roman"/>
            <w:b/>
            <w:iCs/>
            <w:noProof/>
            <w:lang w:eastAsia="en-US"/>
          </w:rPr>
          <w:t>2.2.5.8</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Evaluation of the label claims</w:t>
        </w:r>
        <w:r w:rsidR="00AB1CDB">
          <w:rPr>
            <w:noProof/>
          </w:rPr>
          <w:tab/>
        </w:r>
        <w:r w:rsidR="00AB1CDB">
          <w:rPr>
            <w:noProof/>
          </w:rPr>
          <w:fldChar w:fldCharType="begin"/>
        </w:r>
        <w:r w:rsidR="00AB1CDB">
          <w:rPr>
            <w:noProof/>
          </w:rPr>
          <w:instrText xml:space="preserve"> PAGEREF _Toc74732487 \h </w:instrText>
        </w:r>
        <w:r w:rsidR="00AB1CDB">
          <w:rPr>
            <w:noProof/>
          </w:rPr>
        </w:r>
        <w:r w:rsidR="00AB1CDB">
          <w:rPr>
            <w:noProof/>
          </w:rPr>
          <w:fldChar w:fldCharType="separate"/>
        </w:r>
        <w:r>
          <w:rPr>
            <w:noProof/>
          </w:rPr>
          <w:t>53</w:t>
        </w:r>
        <w:r w:rsidR="00AB1CDB">
          <w:rPr>
            <w:noProof/>
          </w:rPr>
          <w:fldChar w:fldCharType="end"/>
        </w:r>
      </w:hyperlink>
    </w:p>
    <w:p w14:paraId="0A15CDC8" w14:textId="258B8799"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88" w:history="1">
        <w:r w:rsidR="00AB1CDB" w:rsidRPr="001E7E71">
          <w:rPr>
            <w:rStyle w:val="Lienhypertexte"/>
            <w:b/>
            <w:noProof/>
          </w:rPr>
          <w:t>2.2.5.9</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Relevant information if the product is intended to be authorised for use with other biocidal product(s)</w:t>
        </w:r>
        <w:r w:rsidR="00AB1CDB">
          <w:rPr>
            <w:noProof/>
          </w:rPr>
          <w:tab/>
        </w:r>
        <w:r w:rsidR="00AB1CDB">
          <w:rPr>
            <w:noProof/>
          </w:rPr>
          <w:fldChar w:fldCharType="begin"/>
        </w:r>
        <w:r w:rsidR="00AB1CDB">
          <w:rPr>
            <w:noProof/>
          </w:rPr>
          <w:instrText xml:space="preserve"> PAGEREF _Toc74732488 \h </w:instrText>
        </w:r>
        <w:r w:rsidR="00AB1CDB">
          <w:rPr>
            <w:noProof/>
          </w:rPr>
        </w:r>
        <w:r w:rsidR="00AB1CDB">
          <w:rPr>
            <w:noProof/>
          </w:rPr>
          <w:fldChar w:fldCharType="separate"/>
        </w:r>
        <w:r>
          <w:rPr>
            <w:noProof/>
          </w:rPr>
          <w:t>53</w:t>
        </w:r>
        <w:r w:rsidR="00AB1CDB">
          <w:rPr>
            <w:noProof/>
          </w:rPr>
          <w:fldChar w:fldCharType="end"/>
        </w:r>
      </w:hyperlink>
    </w:p>
    <w:p w14:paraId="018421EA" w14:textId="320C287B"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89" w:history="1">
        <w:r w:rsidR="00AB1CDB" w:rsidRPr="001E7E71">
          <w:rPr>
            <w:rStyle w:val="Lienhypertexte"/>
            <w:rFonts w:eastAsia="Calibri" w:cs="Times New Roman"/>
            <w:noProof/>
            <w:lang w:eastAsia="en-US"/>
          </w:rPr>
          <w:t>2.2.6</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Risk assessment for human health</w:t>
        </w:r>
        <w:r w:rsidR="00AB1CDB">
          <w:rPr>
            <w:noProof/>
          </w:rPr>
          <w:tab/>
        </w:r>
        <w:r w:rsidR="00AB1CDB">
          <w:rPr>
            <w:noProof/>
          </w:rPr>
          <w:fldChar w:fldCharType="begin"/>
        </w:r>
        <w:r w:rsidR="00AB1CDB">
          <w:rPr>
            <w:noProof/>
          </w:rPr>
          <w:instrText xml:space="preserve"> PAGEREF _Toc74732489 \h </w:instrText>
        </w:r>
        <w:r w:rsidR="00AB1CDB">
          <w:rPr>
            <w:noProof/>
          </w:rPr>
        </w:r>
        <w:r w:rsidR="00AB1CDB">
          <w:rPr>
            <w:noProof/>
          </w:rPr>
          <w:fldChar w:fldCharType="separate"/>
        </w:r>
        <w:r>
          <w:rPr>
            <w:noProof/>
          </w:rPr>
          <w:t>54</w:t>
        </w:r>
        <w:r w:rsidR="00AB1CDB">
          <w:rPr>
            <w:noProof/>
          </w:rPr>
          <w:fldChar w:fldCharType="end"/>
        </w:r>
      </w:hyperlink>
    </w:p>
    <w:p w14:paraId="4515C096" w14:textId="463D446C"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90" w:history="1">
        <w:r w:rsidR="00AB1CDB" w:rsidRPr="001E7E71">
          <w:rPr>
            <w:rStyle w:val="Lienhypertexte"/>
            <w:b/>
            <w:noProof/>
          </w:rPr>
          <w:t>2.2.6.1</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Assessment of effects on Human Health</w:t>
        </w:r>
        <w:r w:rsidR="00AB1CDB">
          <w:rPr>
            <w:noProof/>
          </w:rPr>
          <w:tab/>
        </w:r>
        <w:r w:rsidR="00AB1CDB">
          <w:rPr>
            <w:noProof/>
          </w:rPr>
          <w:fldChar w:fldCharType="begin"/>
        </w:r>
        <w:r w:rsidR="00AB1CDB">
          <w:rPr>
            <w:noProof/>
          </w:rPr>
          <w:instrText xml:space="preserve"> PAGEREF _Toc74732490 \h </w:instrText>
        </w:r>
        <w:r w:rsidR="00AB1CDB">
          <w:rPr>
            <w:noProof/>
          </w:rPr>
        </w:r>
        <w:r w:rsidR="00AB1CDB">
          <w:rPr>
            <w:noProof/>
          </w:rPr>
          <w:fldChar w:fldCharType="separate"/>
        </w:r>
        <w:r>
          <w:rPr>
            <w:noProof/>
          </w:rPr>
          <w:t>54</w:t>
        </w:r>
        <w:r w:rsidR="00AB1CDB">
          <w:rPr>
            <w:noProof/>
          </w:rPr>
          <w:fldChar w:fldCharType="end"/>
        </w:r>
      </w:hyperlink>
    </w:p>
    <w:p w14:paraId="6E8A0545" w14:textId="350BCC76"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91" w:history="1">
        <w:r w:rsidR="00AB1CDB" w:rsidRPr="001E7E71">
          <w:rPr>
            <w:rStyle w:val="Lienhypertexte"/>
            <w:b/>
            <w:noProof/>
          </w:rPr>
          <w:t>2.2.6.2</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Exposure assessment and risk characterisation on Human Health</w:t>
        </w:r>
        <w:r w:rsidR="00AB1CDB">
          <w:rPr>
            <w:noProof/>
          </w:rPr>
          <w:tab/>
        </w:r>
        <w:r w:rsidR="00AB1CDB">
          <w:rPr>
            <w:noProof/>
          </w:rPr>
          <w:fldChar w:fldCharType="begin"/>
        </w:r>
        <w:r w:rsidR="00AB1CDB">
          <w:rPr>
            <w:noProof/>
          </w:rPr>
          <w:instrText xml:space="preserve"> PAGEREF _Toc74732491 \h </w:instrText>
        </w:r>
        <w:r w:rsidR="00AB1CDB">
          <w:rPr>
            <w:noProof/>
          </w:rPr>
        </w:r>
        <w:r w:rsidR="00AB1CDB">
          <w:rPr>
            <w:noProof/>
          </w:rPr>
          <w:fldChar w:fldCharType="separate"/>
        </w:r>
        <w:r>
          <w:rPr>
            <w:noProof/>
          </w:rPr>
          <w:t>56</w:t>
        </w:r>
        <w:r w:rsidR="00AB1CDB">
          <w:rPr>
            <w:noProof/>
          </w:rPr>
          <w:fldChar w:fldCharType="end"/>
        </w:r>
      </w:hyperlink>
    </w:p>
    <w:p w14:paraId="3FF91802" w14:textId="7EAF024C"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92" w:history="1">
        <w:r w:rsidR="00AB1CDB" w:rsidRPr="001E7E71">
          <w:rPr>
            <w:rStyle w:val="Lienhypertexte"/>
            <w:b/>
            <w:noProof/>
          </w:rPr>
          <w:t>2.2.6.3</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Risk characterisation for consumers</w:t>
        </w:r>
        <w:r w:rsidR="00AB1CDB">
          <w:rPr>
            <w:noProof/>
          </w:rPr>
          <w:tab/>
        </w:r>
        <w:r w:rsidR="00AB1CDB">
          <w:rPr>
            <w:noProof/>
          </w:rPr>
          <w:fldChar w:fldCharType="begin"/>
        </w:r>
        <w:r w:rsidR="00AB1CDB">
          <w:rPr>
            <w:noProof/>
          </w:rPr>
          <w:instrText xml:space="preserve"> PAGEREF _Toc74732492 \h </w:instrText>
        </w:r>
        <w:r w:rsidR="00AB1CDB">
          <w:rPr>
            <w:noProof/>
          </w:rPr>
        </w:r>
        <w:r w:rsidR="00AB1CDB">
          <w:rPr>
            <w:noProof/>
          </w:rPr>
          <w:fldChar w:fldCharType="separate"/>
        </w:r>
        <w:r>
          <w:rPr>
            <w:noProof/>
          </w:rPr>
          <w:t>68</w:t>
        </w:r>
        <w:r w:rsidR="00AB1CDB">
          <w:rPr>
            <w:noProof/>
          </w:rPr>
          <w:fldChar w:fldCharType="end"/>
        </w:r>
      </w:hyperlink>
    </w:p>
    <w:p w14:paraId="521AECF3" w14:textId="39B7F3B5"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93" w:history="1">
        <w:r w:rsidR="00AB1CDB" w:rsidRPr="001E7E71">
          <w:rPr>
            <w:rStyle w:val="Lienhypertexte"/>
            <w:rFonts w:eastAsia="Calibri" w:cs="Times New Roman"/>
            <w:noProof/>
            <w:lang w:eastAsia="en-US"/>
          </w:rPr>
          <w:t>2.2.7</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Risk assessment for animal health</w:t>
        </w:r>
        <w:r w:rsidR="00AB1CDB">
          <w:rPr>
            <w:noProof/>
          </w:rPr>
          <w:tab/>
        </w:r>
        <w:r w:rsidR="00AB1CDB">
          <w:rPr>
            <w:noProof/>
          </w:rPr>
          <w:fldChar w:fldCharType="begin"/>
        </w:r>
        <w:r w:rsidR="00AB1CDB">
          <w:rPr>
            <w:noProof/>
          </w:rPr>
          <w:instrText xml:space="preserve"> PAGEREF _Toc74732493 \h </w:instrText>
        </w:r>
        <w:r w:rsidR="00AB1CDB">
          <w:rPr>
            <w:noProof/>
          </w:rPr>
        </w:r>
        <w:r w:rsidR="00AB1CDB">
          <w:rPr>
            <w:noProof/>
          </w:rPr>
          <w:fldChar w:fldCharType="separate"/>
        </w:r>
        <w:r>
          <w:rPr>
            <w:noProof/>
          </w:rPr>
          <w:t>69</w:t>
        </w:r>
        <w:r w:rsidR="00AB1CDB">
          <w:rPr>
            <w:noProof/>
          </w:rPr>
          <w:fldChar w:fldCharType="end"/>
        </w:r>
      </w:hyperlink>
    </w:p>
    <w:p w14:paraId="6E011984" w14:textId="5045BFBE"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94" w:history="1">
        <w:r w:rsidR="00AB1CDB" w:rsidRPr="001E7E71">
          <w:rPr>
            <w:rStyle w:val="Lienhypertexte"/>
            <w:rFonts w:eastAsia="Calibri" w:cs="Times New Roman"/>
            <w:noProof/>
            <w:lang w:eastAsia="en-US"/>
          </w:rPr>
          <w:t>2.2.8</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Risk assessment for the environment</w:t>
        </w:r>
        <w:r w:rsidR="00AB1CDB">
          <w:rPr>
            <w:noProof/>
          </w:rPr>
          <w:tab/>
        </w:r>
        <w:r w:rsidR="00AB1CDB">
          <w:rPr>
            <w:noProof/>
          </w:rPr>
          <w:fldChar w:fldCharType="begin"/>
        </w:r>
        <w:r w:rsidR="00AB1CDB">
          <w:rPr>
            <w:noProof/>
          </w:rPr>
          <w:instrText xml:space="preserve"> PAGEREF _Toc74732494 \h </w:instrText>
        </w:r>
        <w:r w:rsidR="00AB1CDB">
          <w:rPr>
            <w:noProof/>
          </w:rPr>
        </w:r>
        <w:r w:rsidR="00AB1CDB">
          <w:rPr>
            <w:noProof/>
          </w:rPr>
          <w:fldChar w:fldCharType="separate"/>
        </w:r>
        <w:r>
          <w:rPr>
            <w:noProof/>
          </w:rPr>
          <w:t>69</w:t>
        </w:r>
        <w:r w:rsidR="00AB1CDB">
          <w:rPr>
            <w:noProof/>
          </w:rPr>
          <w:fldChar w:fldCharType="end"/>
        </w:r>
      </w:hyperlink>
    </w:p>
    <w:p w14:paraId="3B3CC4BB" w14:textId="48A74502"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95" w:history="1">
        <w:r w:rsidR="00AB1CDB" w:rsidRPr="001E7E71">
          <w:rPr>
            <w:rStyle w:val="Lienhypertexte"/>
            <w:rFonts w:cs="Times New Roman"/>
            <w:b/>
            <w:iCs/>
            <w:noProof/>
            <w:lang w:eastAsia="en-US"/>
          </w:rPr>
          <w:t>2.2.8.1</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Effects assessment on the environment</w:t>
        </w:r>
        <w:r w:rsidR="00AB1CDB">
          <w:rPr>
            <w:noProof/>
          </w:rPr>
          <w:tab/>
        </w:r>
        <w:r w:rsidR="00AB1CDB">
          <w:rPr>
            <w:noProof/>
          </w:rPr>
          <w:fldChar w:fldCharType="begin"/>
        </w:r>
        <w:r w:rsidR="00AB1CDB">
          <w:rPr>
            <w:noProof/>
          </w:rPr>
          <w:instrText xml:space="preserve"> PAGEREF _Toc74732495 \h </w:instrText>
        </w:r>
        <w:r w:rsidR="00AB1CDB">
          <w:rPr>
            <w:noProof/>
          </w:rPr>
        </w:r>
        <w:r w:rsidR="00AB1CDB">
          <w:rPr>
            <w:noProof/>
          </w:rPr>
          <w:fldChar w:fldCharType="separate"/>
        </w:r>
        <w:r>
          <w:rPr>
            <w:noProof/>
          </w:rPr>
          <w:t>70</w:t>
        </w:r>
        <w:r w:rsidR="00AB1CDB">
          <w:rPr>
            <w:noProof/>
          </w:rPr>
          <w:fldChar w:fldCharType="end"/>
        </w:r>
      </w:hyperlink>
    </w:p>
    <w:p w14:paraId="25540371" w14:textId="7F312CB9"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96" w:history="1">
        <w:r w:rsidR="00AB1CDB" w:rsidRPr="001E7E71">
          <w:rPr>
            <w:rStyle w:val="Lienhypertexte"/>
            <w:rFonts w:cs="Times New Roman"/>
            <w:b/>
            <w:noProof/>
            <w:lang w:eastAsia="en-US"/>
          </w:rPr>
          <w:t>2.2.8.2</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Exposure assessment</w:t>
        </w:r>
        <w:r w:rsidR="00AB1CDB">
          <w:rPr>
            <w:noProof/>
          </w:rPr>
          <w:tab/>
        </w:r>
        <w:r w:rsidR="00AB1CDB">
          <w:rPr>
            <w:noProof/>
          </w:rPr>
          <w:fldChar w:fldCharType="begin"/>
        </w:r>
        <w:r w:rsidR="00AB1CDB">
          <w:rPr>
            <w:noProof/>
          </w:rPr>
          <w:instrText xml:space="preserve"> PAGEREF _Toc74732496 \h </w:instrText>
        </w:r>
        <w:r w:rsidR="00AB1CDB">
          <w:rPr>
            <w:noProof/>
          </w:rPr>
        </w:r>
        <w:r w:rsidR="00AB1CDB">
          <w:rPr>
            <w:noProof/>
          </w:rPr>
          <w:fldChar w:fldCharType="separate"/>
        </w:r>
        <w:r>
          <w:rPr>
            <w:noProof/>
          </w:rPr>
          <w:t>75</w:t>
        </w:r>
        <w:r w:rsidR="00AB1CDB">
          <w:rPr>
            <w:noProof/>
          </w:rPr>
          <w:fldChar w:fldCharType="end"/>
        </w:r>
      </w:hyperlink>
    </w:p>
    <w:p w14:paraId="2314C0CC" w14:textId="24F05645" w:rsidR="00AB1CDB" w:rsidRDefault="00D3140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4732497" w:history="1">
        <w:r w:rsidR="00AB1CDB" w:rsidRPr="001E7E71">
          <w:rPr>
            <w:rStyle w:val="Lienhypertexte"/>
            <w:b/>
            <w:noProof/>
            <w:lang w:eastAsia="en-US"/>
          </w:rPr>
          <w:t>2.2.8.3</w:t>
        </w:r>
        <w:r w:rsidR="00AB1CDB">
          <w:rPr>
            <w:rFonts w:asciiTheme="minorHAnsi" w:eastAsiaTheme="minorEastAsia" w:hAnsiTheme="minorHAnsi" w:cstheme="minorBidi"/>
            <w:noProof/>
            <w:sz w:val="22"/>
            <w:szCs w:val="22"/>
            <w:lang w:val="fr-FR" w:eastAsia="fr-FR"/>
          </w:rPr>
          <w:tab/>
        </w:r>
        <w:r w:rsidR="00AB1CDB" w:rsidRPr="001E7E71">
          <w:rPr>
            <w:rStyle w:val="Lienhypertexte"/>
            <w:noProof/>
          </w:rPr>
          <w:t>Risk characterisation</w:t>
        </w:r>
        <w:r w:rsidR="00AB1CDB">
          <w:rPr>
            <w:noProof/>
          </w:rPr>
          <w:tab/>
        </w:r>
        <w:r w:rsidR="00AB1CDB">
          <w:rPr>
            <w:noProof/>
          </w:rPr>
          <w:fldChar w:fldCharType="begin"/>
        </w:r>
        <w:r w:rsidR="00AB1CDB">
          <w:rPr>
            <w:noProof/>
          </w:rPr>
          <w:instrText xml:space="preserve"> PAGEREF _Toc74732497 \h </w:instrText>
        </w:r>
        <w:r w:rsidR="00AB1CDB">
          <w:rPr>
            <w:noProof/>
          </w:rPr>
        </w:r>
        <w:r w:rsidR="00AB1CDB">
          <w:rPr>
            <w:noProof/>
          </w:rPr>
          <w:fldChar w:fldCharType="separate"/>
        </w:r>
        <w:r>
          <w:rPr>
            <w:noProof/>
          </w:rPr>
          <w:t>83</w:t>
        </w:r>
        <w:r w:rsidR="00AB1CDB">
          <w:rPr>
            <w:noProof/>
          </w:rPr>
          <w:fldChar w:fldCharType="end"/>
        </w:r>
      </w:hyperlink>
    </w:p>
    <w:p w14:paraId="6E35152B" w14:textId="34CD6D09"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98" w:history="1">
        <w:r w:rsidR="00AB1CDB" w:rsidRPr="001E7E71">
          <w:rPr>
            <w:rStyle w:val="Lienhypertexte"/>
            <w:rFonts w:eastAsia="Calibri" w:cs="Times New Roman"/>
            <w:noProof/>
            <w:lang w:eastAsia="en-US"/>
          </w:rPr>
          <w:t>2.2.9</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Measures to protect man, animals and the environment</w:t>
        </w:r>
        <w:r w:rsidR="00AB1CDB">
          <w:rPr>
            <w:noProof/>
          </w:rPr>
          <w:tab/>
        </w:r>
        <w:r w:rsidR="00AB1CDB">
          <w:rPr>
            <w:noProof/>
          </w:rPr>
          <w:fldChar w:fldCharType="begin"/>
        </w:r>
        <w:r w:rsidR="00AB1CDB">
          <w:rPr>
            <w:noProof/>
          </w:rPr>
          <w:instrText xml:space="preserve"> PAGEREF _Toc74732498 \h </w:instrText>
        </w:r>
        <w:r w:rsidR="00AB1CDB">
          <w:rPr>
            <w:noProof/>
          </w:rPr>
        </w:r>
        <w:r w:rsidR="00AB1CDB">
          <w:rPr>
            <w:noProof/>
          </w:rPr>
          <w:fldChar w:fldCharType="separate"/>
        </w:r>
        <w:r>
          <w:rPr>
            <w:noProof/>
          </w:rPr>
          <w:t>87</w:t>
        </w:r>
        <w:r w:rsidR="00AB1CDB">
          <w:rPr>
            <w:noProof/>
          </w:rPr>
          <w:fldChar w:fldCharType="end"/>
        </w:r>
      </w:hyperlink>
    </w:p>
    <w:p w14:paraId="057A0245" w14:textId="7A5E50FA"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499" w:history="1">
        <w:r w:rsidR="00AB1CDB" w:rsidRPr="001E7E71">
          <w:rPr>
            <w:rStyle w:val="Lienhypertexte"/>
            <w:rFonts w:eastAsia="Calibri"/>
            <w:noProof/>
            <w:lang w:eastAsia="en-US"/>
          </w:rPr>
          <w:t>2.2.10</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Assessment of a combination of biocidal products</w:t>
        </w:r>
        <w:r w:rsidR="00AB1CDB">
          <w:rPr>
            <w:noProof/>
          </w:rPr>
          <w:tab/>
        </w:r>
        <w:r w:rsidR="00AB1CDB">
          <w:rPr>
            <w:noProof/>
          </w:rPr>
          <w:fldChar w:fldCharType="begin"/>
        </w:r>
        <w:r w:rsidR="00AB1CDB">
          <w:rPr>
            <w:noProof/>
          </w:rPr>
          <w:instrText xml:space="preserve"> PAGEREF _Toc74732499 \h </w:instrText>
        </w:r>
        <w:r w:rsidR="00AB1CDB">
          <w:rPr>
            <w:noProof/>
          </w:rPr>
        </w:r>
        <w:r w:rsidR="00AB1CDB">
          <w:rPr>
            <w:noProof/>
          </w:rPr>
          <w:fldChar w:fldCharType="separate"/>
        </w:r>
        <w:r>
          <w:rPr>
            <w:noProof/>
          </w:rPr>
          <w:t>88</w:t>
        </w:r>
        <w:r w:rsidR="00AB1CDB">
          <w:rPr>
            <w:noProof/>
          </w:rPr>
          <w:fldChar w:fldCharType="end"/>
        </w:r>
      </w:hyperlink>
    </w:p>
    <w:p w14:paraId="34B5B70E" w14:textId="799C21ED" w:rsidR="00AB1CDB" w:rsidRDefault="00D3140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4732500" w:history="1">
        <w:r w:rsidR="00AB1CDB" w:rsidRPr="001E7E71">
          <w:rPr>
            <w:rStyle w:val="Lienhypertexte"/>
            <w:rFonts w:eastAsia="Calibri" w:cs="Times New Roman"/>
            <w:noProof/>
            <w:lang w:eastAsia="en-US"/>
          </w:rPr>
          <w:t>2.2.11</w:t>
        </w:r>
        <w:r w:rsidR="00AB1CDB">
          <w:rPr>
            <w:rFonts w:asciiTheme="minorHAnsi" w:eastAsiaTheme="minorEastAsia" w:hAnsiTheme="minorHAnsi" w:cstheme="minorBidi"/>
            <w:i w:val="0"/>
            <w:iCs w:val="0"/>
            <w:noProof/>
            <w:sz w:val="22"/>
            <w:szCs w:val="22"/>
            <w:lang w:val="fr-FR" w:eastAsia="fr-FR"/>
          </w:rPr>
          <w:tab/>
        </w:r>
        <w:r w:rsidR="00AB1CDB" w:rsidRPr="001E7E71">
          <w:rPr>
            <w:rStyle w:val="Lienhypertexte"/>
            <w:noProof/>
          </w:rPr>
          <w:t>Comparative assessment</w:t>
        </w:r>
        <w:r w:rsidR="00AB1CDB">
          <w:rPr>
            <w:noProof/>
          </w:rPr>
          <w:tab/>
        </w:r>
        <w:r w:rsidR="00AB1CDB">
          <w:rPr>
            <w:noProof/>
          </w:rPr>
          <w:fldChar w:fldCharType="begin"/>
        </w:r>
        <w:r w:rsidR="00AB1CDB">
          <w:rPr>
            <w:noProof/>
          </w:rPr>
          <w:instrText xml:space="preserve"> PAGEREF _Toc74732500 \h </w:instrText>
        </w:r>
        <w:r w:rsidR="00AB1CDB">
          <w:rPr>
            <w:noProof/>
          </w:rPr>
        </w:r>
        <w:r w:rsidR="00AB1CDB">
          <w:rPr>
            <w:noProof/>
          </w:rPr>
          <w:fldChar w:fldCharType="separate"/>
        </w:r>
        <w:r>
          <w:rPr>
            <w:noProof/>
          </w:rPr>
          <w:t>88</w:t>
        </w:r>
        <w:r w:rsidR="00AB1CDB">
          <w:rPr>
            <w:noProof/>
          </w:rPr>
          <w:fldChar w:fldCharType="end"/>
        </w:r>
      </w:hyperlink>
    </w:p>
    <w:p w14:paraId="3A3C7173" w14:textId="40927794" w:rsidR="00AB1CDB" w:rsidRDefault="00D3140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4732501" w:history="1">
        <w:r w:rsidR="00AB1CDB" w:rsidRPr="001E7E71">
          <w:rPr>
            <w:rStyle w:val="Lienhypertexte"/>
            <w:rFonts w:cs="Times New Roman"/>
            <w:i/>
            <w:noProof/>
            <w:kern w:val="1"/>
            <w:lang w:bidi="x-none"/>
          </w:rPr>
          <w:t>3</w:t>
        </w:r>
        <w:r w:rsidR="00AB1CDB">
          <w:rPr>
            <w:rFonts w:asciiTheme="minorHAnsi" w:eastAsiaTheme="minorEastAsia" w:hAnsiTheme="minorHAnsi" w:cstheme="minorBidi"/>
            <w:b w:val="0"/>
            <w:bCs w:val="0"/>
            <w:caps w:val="0"/>
            <w:noProof/>
            <w:sz w:val="22"/>
            <w:szCs w:val="22"/>
            <w:lang w:val="fr-FR" w:eastAsia="fr-FR"/>
          </w:rPr>
          <w:tab/>
        </w:r>
        <w:r w:rsidR="00AB1CDB" w:rsidRPr="001E7E71">
          <w:rPr>
            <w:rStyle w:val="Lienhypertexte"/>
            <w:rFonts w:eastAsia="Calibri"/>
            <w:noProof/>
          </w:rPr>
          <w:t>Annexes</w:t>
        </w:r>
        <w:r w:rsidR="00AB1CDB">
          <w:rPr>
            <w:noProof/>
          </w:rPr>
          <w:tab/>
        </w:r>
        <w:r w:rsidR="00AB1CDB">
          <w:rPr>
            <w:noProof/>
          </w:rPr>
          <w:fldChar w:fldCharType="begin"/>
        </w:r>
        <w:r w:rsidR="00AB1CDB">
          <w:rPr>
            <w:noProof/>
          </w:rPr>
          <w:instrText xml:space="preserve"> PAGEREF _Toc74732501 \h </w:instrText>
        </w:r>
        <w:r w:rsidR="00AB1CDB">
          <w:rPr>
            <w:noProof/>
          </w:rPr>
        </w:r>
        <w:r w:rsidR="00AB1CDB">
          <w:rPr>
            <w:noProof/>
          </w:rPr>
          <w:fldChar w:fldCharType="separate"/>
        </w:r>
        <w:r>
          <w:rPr>
            <w:noProof/>
          </w:rPr>
          <w:t>89</w:t>
        </w:r>
        <w:r w:rsidR="00AB1CDB">
          <w:rPr>
            <w:noProof/>
          </w:rPr>
          <w:fldChar w:fldCharType="end"/>
        </w:r>
      </w:hyperlink>
    </w:p>
    <w:p w14:paraId="3BD908B1" w14:textId="292297ED" w:rsidR="00AB1CDB" w:rsidRDefault="00D3140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4732502" w:history="1">
        <w:r w:rsidR="00AB1CDB" w:rsidRPr="001E7E71">
          <w:rPr>
            <w:rStyle w:val="Lienhypertexte"/>
            <w:noProof/>
            <w:lang w:val="de-DE"/>
          </w:rPr>
          <w:t>3.1</w:t>
        </w:r>
        <w:r w:rsidR="00AB1CDB">
          <w:rPr>
            <w:rFonts w:asciiTheme="minorHAnsi" w:eastAsiaTheme="minorEastAsia" w:hAnsiTheme="minorHAnsi" w:cstheme="minorBidi"/>
            <w:smallCaps w:val="0"/>
            <w:noProof/>
            <w:sz w:val="22"/>
            <w:szCs w:val="22"/>
            <w:lang w:val="fr-FR" w:eastAsia="fr-FR"/>
          </w:rPr>
          <w:tab/>
        </w:r>
        <w:r w:rsidR="00AB1CDB" w:rsidRPr="001E7E71">
          <w:rPr>
            <w:rStyle w:val="Lienhypertexte"/>
            <w:noProof/>
          </w:rPr>
          <w:t>List of studies for the biocidal product</w:t>
        </w:r>
        <w:r w:rsidR="00AB1CDB">
          <w:rPr>
            <w:noProof/>
          </w:rPr>
          <w:tab/>
        </w:r>
        <w:r w:rsidR="00AB1CDB">
          <w:rPr>
            <w:noProof/>
          </w:rPr>
          <w:fldChar w:fldCharType="begin"/>
        </w:r>
        <w:r w:rsidR="00AB1CDB">
          <w:rPr>
            <w:noProof/>
          </w:rPr>
          <w:instrText xml:space="preserve"> PAGEREF _Toc74732502 \h </w:instrText>
        </w:r>
        <w:r w:rsidR="00AB1CDB">
          <w:rPr>
            <w:noProof/>
          </w:rPr>
        </w:r>
        <w:r w:rsidR="00AB1CDB">
          <w:rPr>
            <w:noProof/>
          </w:rPr>
          <w:fldChar w:fldCharType="separate"/>
        </w:r>
        <w:r>
          <w:rPr>
            <w:noProof/>
          </w:rPr>
          <w:t>89</w:t>
        </w:r>
        <w:r w:rsidR="00AB1CDB">
          <w:rPr>
            <w:noProof/>
          </w:rPr>
          <w:fldChar w:fldCharType="end"/>
        </w:r>
      </w:hyperlink>
    </w:p>
    <w:p w14:paraId="102F45D2" w14:textId="3672760D" w:rsidR="00AB1CDB" w:rsidRDefault="00D3140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4732503" w:history="1">
        <w:r w:rsidR="00AB1CDB" w:rsidRPr="001E7E71">
          <w:rPr>
            <w:rStyle w:val="Lienhypertexte"/>
            <w:noProof/>
            <w:lang w:val="de-DE"/>
          </w:rPr>
          <w:t>3.2</w:t>
        </w:r>
        <w:r w:rsidR="00AB1CDB">
          <w:rPr>
            <w:rFonts w:asciiTheme="minorHAnsi" w:eastAsiaTheme="minorEastAsia" w:hAnsiTheme="minorHAnsi" w:cstheme="minorBidi"/>
            <w:smallCaps w:val="0"/>
            <w:noProof/>
            <w:sz w:val="22"/>
            <w:szCs w:val="22"/>
            <w:lang w:val="fr-FR" w:eastAsia="fr-FR"/>
          </w:rPr>
          <w:tab/>
        </w:r>
        <w:r w:rsidR="00AB1CDB" w:rsidRPr="001E7E71">
          <w:rPr>
            <w:rStyle w:val="Lienhypertexte"/>
            <w:noProof/>
          </w:rPr>
          <w:t>Output tables from exposure assessment tools</w:t>
        </w:r>
        <w:r w:rsidR="00AB1CDB">
          <w:rPr>
            <w:noProof/>
          </w:rPr>
          <w:tab/>
        </w:r>
        <w:r w:rsidR="00AB1CDB">
          <w:rPr>
            <w:noProof/>
          </w:rPr>
          <w:fldChar w:fldCharType="begin"/>
        </w:r>
        <w:r w:rsidR="00AB1CDB">
          <w:rPr>
            <w:noProof/>
          </w:rPr>
          <w:instrText xml:space="preserve"> PAGEREF _Toc74732503 \h </w:instrText>
        </w:r>
        <w:r w:rsidR="00AB1CDB">
          <w:rPr>
            <w:noProof/>
          </w:rPr>
        </w:r>
        <w:r w:rsidR="00AB1CDB">
          <w:rPr>
            <w:noProof/>
          </w:rPr>
          <w:fldChar w:fldCharType="separate"/>
        </w:r>
        <w:r>
          <w:rPr>
            <w:noProof/>
          </w:rPr>
          <w:t>92</w:t>
        </w:r>
        <w:r w:rsidR="00AB1CDB">
          <w:rPr>
            <w:noProof/>
          </w:rPr>
          <w:fldChar w:fldCharType="end"/>
        </w:r>
      </w:hyperlink>
    </w:p>
    <w:p w14:paraId="009642C3" w14:textId="63181AA0" w:rsidR="00AB1CDB" w:rsidRDefault="00D3140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4732504" w:history="1">
        <w:r w:rsidR="00AB1CDB" w:rsidRPr="001E7E71">
          <w:rPr>
            <w:rStyle w:val="Lienhypertexte"/>
            <w:noProof/>
            <w:lang w:val="de-DE"/>
          </w:rPr>
          <w:t>3.3</w:t>
        </w:r>
        <w:r w:rsidR="00AB1CDB">
          <w:rPr>
            <w:rFonts w:asciiTheme="minorHAnsi" w:eastAsiaTheme="minorEastAsia" w:hAnsiTheme="minorHAnsi" w:cstheme="minorBidi"/>
            <w:smallCaps w:val="0"/>
            <w:noProof/>
            <w:sz w:val="22"/>
            <w:szCs w:val="22"/>
            <w:lang w:val="fr-FR" w:eastAsia="fr-FR"/>
          </w:rPr>
          <w:tab/>
        </w:r>
        <w:r w:rsidR="00AB1CDB" w:rsidRPr="001E7E71">
          <w:rPr>
            <w:rStyle w:val="Lienhypertexte"/>
            <w:noProof/>
            <w:lang w:val="de-DE"/>
          </w:rPr>
          <w:t>Residue behaviour</w:t>
        </w:r>
        <w:r w:rsidR="00AB1CDB">
          <w:rPr>
            <w:noProof/>
          </w:rPr>
          <w:tab/>
        </w:r>
        <w:r w:rsidR="00AB1CDB">
          <w:rPr>
            <w:noProof/>
          </w:rPr>
          <w:fldChar w:fldCharType="begin"/>
        </w:r>
        <w:r w:rsidR="00AB1CDB">
          <w:rPr>
            <w:noProof/>
          </w:rPr>
          <w:instrText xml:space="preserve"> PAGEREF _Toc74732504 \h </w:instrText>
        </w:r>
        <w:r w:rsidR="00AB1CDB">
          <w:rPr>
            <w:noProof/>
          </w:rPr>
        </w:r>
        <w:r w:rsidR="00AB1CDB">
          <w:rPr>
            <w:noProof/>
          </w:rPr>
          <w:fldChar w:fldCharType="separate"/>
        </w:r>
        <w:r>
          <w:rPr>
            <w:noProof/>
          </w:rPr>
          <w:t>92</w:t>
        </w:r>
        <w:r w:rsidR="00AB1CDB">
          <w:rPr>
            <w:noProof/>
          </w:rPr>
          <w:fldChar w:fldCharType="end"/>
        </w:r>
      </w:hyperlink>
    </w:p>
    <w:p w14:paraId="1F8BF288" w14:textId="71C6774A" w:rsidR="00AB1CDB" w:rsidRDefault="00D3140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4732505" w:history="1">
        <w:r w:rsidR="00AB1CDB" w:rsidRPr="001E7E71">
          <w:rPr>
            <w:rStyle w:val="Lienhypertexte"/>
            <w:caps/>
            <w:noProof/>
            <w:lang w:val="de-DE" w:eastAsia="en-US"/>
          </w:rPr>
          <w:t>3.4</w:t>
        </w:r>
        <w:r w:rsidR="00AB1CDB">
          <w:rPr>
            <w:rFonts w:asciiTheme="minorHAnsi" w:eastAsiaTheme="minorEastAsia" w:hAnsiTheme="minorHAnsi" w:cstheme="minorBidi"/>
            <w:smallCaps w:val="0"/>
            <w:noProof/>
            <w:sz w:val="22"/>
            <w:szCs w:val="22"/>
            <w:lang w:val="fr-FR" w:eastAsia="fr-FR"/>
          </w:rPr>
          <w:tab/>
        </w:r>
        <w:r w:rsidR="00AB1CDB" w:rsidRPr="001E7E71">
          <w:rPr>
            <w:rStyle w:val="Lienhypertexte"/>
            <w:noProof/>
          </w:rPr>
          <w:t>Summaries of the efficacy studies</w:t>
        </w:r>
        <w:r w:rsidR="00AB1CDB">
          <w:rPr>
            <w:noProof/>
          </w:rPr>
          <w:tab/>
        </w:r>
        <w:r w:rsidR="00AB1CDB">
          <w:rPr>
            <w:noProof/>
          </w:rPr>
          <w:fldChar w:fldCharType="begin"/>
        </w:r>
        <w:r w:rsidR="00AB1CDB">
          <w:rPr>
            <w:noProof/>
          </w:rPr>
          <w:instrText xml:space="preserve"> PAGEREF _Toc74732505 \h </w:instrText>
        </w:r>
        <w:r w:rsidR="00AB1CDB">
          <w:rPr>
            <w:noProof/>
          </w:rPr>
        </w:r>
        <w:r w:rsidR="00AB1CDB">
          <w:rPr>
            <w:noProof/>
          </w:rPr>
          <w:fldChar w:fldCharType="separate"/>
        </w:r>
        <w:r>
          <w:rPr>
            <w:noProof/>
          </w:rPr>
          <w:t>97</w:t>
        </w:r>
        <w:r w:rsidR="00AB1CDB">
          <w:rPr>
            <w:noProof/>
          </w:rPr>
          <w:fldChar w:fldCharType="end"/>
        </w:r>
      </w:hyperlink>
    </w:p>
    <w:p w14:paraId="56E40E05" w14:textId="14BF6D33" w:rsidR="00AB1CDB" w:rsidRDefault="00D3140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4732506" w:history="1">
        <w:r w:rsidR="00AB1CDB" w:rsidRPr="001E7E71">
          <w:rPr>
            <w:rStyle w:val="Lienhypertexte"/>
            <w:rFonts w:eastAsia="Verdana"/>
            <w:caps/>
            <w:noProof/>
            <w:lang w:val="de-DE" w:eastAsia="en-US"/>
          </w:rPr>
          <w:t>3.5</w:t>
        </w:r>
        <w:r w:rsidR="00AB1CDB">
          <w:rPr>
            <w:rFonts w:asciiTheme="minorHAnsi" w:eastAsiaTheme="minorEastAsia" w:hAnsiTheme="minorHAnsi" w:cstheme="minorBidi"/>
            <w:smallCaps w:val="0"/>
            <w:noProof/>
            <w:sz w:val="22"/>
            <w:szCs w:val="22"/>
            <w:lang w:val="fr-FR" w:eastAsia="fr-FR"/>
          </w:rPr>
          <w:tab/>
        </w:r>
        <w:r w:rsidR="00AB1CDB" w:rsidRPr="001E7E71">
          <w:rPr>
            <w:rStyle w:val="Lienhypertexte"/>
            <w:noProof/>
            <w:lang w:val="de-DE"/>
          </w:rPr>
          <w:t>Confidential annex</w:t>
        </w:r>
        <w:r w:rsidR="00AB1CDB">
          <w:rPr>
            <w:noProof/>
          </w:rPr>
          <w:tab/>
        </w:r>
        <w:r w:rsidR="00AB1CDB">
          <w:rPr>
            <w:noProof/>
          </w:rPr>
          <w:fldChar w:fldCharType="begin"/>
        </w:r>
        <w:r w:rsidR="00AB1CDB">
          <w:rPr>
            <w:noProof/>
          </w:rPr>
          <w:instrText xml:space="preserve"> PAGEREF _Toc74732506 \h </w:instrText>
        </w:r>
        <w:r w:rsidR="00AB1CDB">
          <w:rPr>
            <w:noProof/>
          </w:rPr>
        </w:r>
        <w:r w:rsidR="00AB1CDB">
          <w:rPr>
            <w:noProof/>
          </w:rPr>
          <w:fldChar w:fldCharType="separate"/>
        </w:r>
        <w:r>
          <w:rPr>
            <w:noProof/>
          </w:rPr>
          <w:t>97</w:t>
        </w:r>
        <w:r w:rsidR="00AB1CDB">
          <w:rPr>
            <w:noProof/>
          </w:rPr>
          <w:fldChar w:fldCharType="end"/>
        </w:r>
      </w:hyperlink>
    </w:p>
    <w:p w14:paraId="6EE8B6D9" w14:textId="08D9457B" w:rsidR="009D0C0B" w:rsidRPr="00A17623" w:rsidRDefault="00FA480B">
      <w:pPr>
        <w:spacing w:line="276" w:lineRule="auto"/>
        <w:rPr>
          <w:rFonts w:eastAsia="Calibri"/>
          <w:b/>
          <w:bCs/>
          <w:caps/>
          <w:lang w:val="fr-FR" w:eastAsia="en-US"/>
        </w:rPr>
      </w:pPr>
      <w:r w:rsidRPr="00A17623">
        <w:fldChar w:fldCharType="end"/>
      </w:r>
    </w:p>
    <w:p w14:paraId="70BB947F" w14:textId="77777777" w:rsidR="009D0C0B" w:rsidRDefault="00FA480B">
      <w:pPr>
        <w:pStyle w:val="Titre1"/>
        <w:pageBreakBefore/>
        <w:rPr>
          <w:rFonts w:eastAsia="Calibri"/>
          <w:i/>
          <w:lang w:eastAsia="en-US"/>
        </w:rPr>
      </w:pPr>
      <w:bookmarkStart w:id="2" w:name="_Toc74732439"/>
      <w:r>
        <w:rPr>
          <w:rFonts w:eastAsia="Calibri"/>
        </w:rPr>
        <w:lastRenderedPageBreak/>
        <w:t>CONCLUSION</w:t>
      </w:r>
      <w:bookmarkEnd w:id="2"/>
    </w:p>
    <w:p w14:paraId="505E3846" w14:textId="77777777" w:rsidR="008C7AD3" w:rsidRPr="00026E84" w:rsidRDefault="008C7AD3" w:rsidP="00D14F77">
      <w:pPr>
        <w:pStyle w:val="Paragraphedeliste"/>
        <w:keepNext/>
        <w:keepLines/>
        <w:shd w:val="clear" w:color="auto" w:fill="C8C2B6"/>
        <w:autoSpaceDE w:val="0"/>
        <w:autoSpaceDN w:val="0"/>
        <w:adjustRightInd w:val="0"/>
        <w:spacing w:before="360" w:after="120"/>
        <w:ind w:left="0" w:right="-1"/>
        <w:jc w:val="both"/>
        <w:outlineLvl w:val="0"/>
        <w:rPr>
          <w:rFonts w:cs="Arial"/>
          <w:b/>
          <w:bCs/>
          <w:smallCaps/>
          <w:sz w:val="24"/>
          <w:szCs w:val="24"/>
          <w:lang w:eastAsia="fr-FR"/>
        </w:rPr>
      </w:pPr>
      <w:r w:rsidRPr="00026E84">
        <w:rPr>
          <w:rFonts w:cs="Arial"/>
          <w:b/>
          <w:bCs/>
          <w:smallCaps/>
          <w:sz w:val="24"/>
          <w:szCs w:val="24"/>
          <w:lang w:eastAsia="fr-FR"/>
        </w:rPr>
        <w:t>Introduction of the application</w:t>
      </w:r>
    </w:p>
    <w:p w14:paraId="49A1AFB8" w14:textId="77777777" w:rsidR="008C7AD3" w:rsidRPr="00026E84" w:rsidRDefault="008C7AD3" w:rsidP="00D14F77">
      <w:pPr>
        <w:pStyle w:val="Paragraphedeliste"/>
        <w:ind w:left="0" w:right="-1"/>
        <w:jc w:val="both"/>
        <w:rPr>
          <w:rFonts w:cs="Arial"/>
          <w:b/>
          <w:u w:val="single"/>
          <w:lang w:eastAsia="fr-FR"/>
        </w:rPr>
      </w:pPr>
    </w:p>
    <w:p w14:paraId="5ADEFAF6" w14:textId="123079D7" w:rsidR="008C7AD3" w:rsidRPr="00026E84" w:rsidRDefault="008C7AD3" w:rsidP="00D14F77">
      <w:pPr>
        <w:ind w:right="-1"/>
        <w:jc w:val="both"/>
        <w:rPr>
          <w:lang w:val="en-US" w:eastAsia="fr-FR"/>
        </w:rPr>
      </w:pPr>
      <w:r w:rsidRPr="00026E84">
        <w:rPr>
          <w:lang w:val="en-US" w:eastAsia="fr-FR"/>
        </w:rPr>
        <w:t xml:space="preserve">France, as e-CA, received an application from </w:t>
      </w:r>
      <w:r w:rsidR="00C850BA">
        <w:t xml:space="preserve">Centre Technique d’Hygiène (CTH) </w:t>
      </w:r>
      <w:r w:rsidRPr="00026E84">
        <w:rPr>
          <w:lang w:val="en-US" w:eastAsia="fr-FR"/>
        </w:rPr>
        <w:t xml:space="preserve">for </w:t>
      </w:r>
      <w:r w:rsidRPr="00C850BA">
        <w:rPr>
          <w:lang w:val="en-US" w:eastAsia="fr-FR"/>
        </w:rPr>
        <w:t>national authorisation</w:t>
      </w:r>
      <w:r w:rsidR="00C850BA" w:rsidRPr="00C850BA">
        <w:rPr>
          <w:lang w:val="en-US" w:eastAsia="fr-FR"/>
        </w:rPr>
        <w:t xml:space="preserve"> </w:t>
      </w:r>
      <w:r w:rsidRPr="00C850BA">
        <w:rPr>
          <w:lang w:val="en-US" w:eastAsia="fr-FR"/>
        </w:rPr>
        <w:t xml:space="preserve">for the biocidal product </w:t>
      </w:r>
      <w:r w:rsidR="00C850BA" w:rsidRPr="00C850BA">
        <w:rPr>
          <w:lang w:val="en-US" w:eastAsia="fr-FR"/>
        </w:rPr>
        <w:t>ALGOFILM</w:t>
      </w:r>
      <w:r w:rsidRPr="00026E84">
        <w:rPr>
          <w:lang w:val="en-US" w:eastAsia="fr-FR"/>
        </w:rPr>
        <w:t>.</w:t>
      </w:r>
    </w:p>
    <w:p w14:paraId="374E9665" w14:textId="77777777" w:rsidR="008C7AD3" w:rsidRPr="00037E00" w:rsidRDefault="008C7AD3" w:rsidP="00D14F77">
      <w:pPr>
        <w:ind w:right="-1"/>
        <w:jc w:val="both"/>
        <w:rPr>
          <w:lang w:val="en-US" w:eastAsia="fr-FR"/>
        </w:rPr>
      </w:pPr>
    </w:p>
    <w:p w14:paraId="5CEC712A" w14:textId="1E13F572" w:rsidR="008C7AD3" w:rsidRDefault="008C7AD3" w:rsidP="00D14F77">
      <w:pPr>
        <w:ind w:right="-1"/>
        <w:jc w:val="both"/>
        <w:rPr>
          <w:lang w:val="en-US" w:eastAsia="fr-FR"/>
        </w:rPr>
      </w:pPr>
      <w:r w:rsidRPr="00037E00">
        <w:rPr>
          <w:lang w:val="en-US" w:eastAsia="fr-FR"/>
        </w:rPr>
        <w:t xml:space="preserve">The biocidal product </w:t>
      </w:r>
      <w:r w:rsidR="00C850BA" w:rsidRPr="00C850BA">
        <w:rPr>
          <w:lang w:val="en-US" w:eastAsia="fr-FR"/>
        </w:rPr>
        <w:t>ALGOF</w:t>
      </w:r>
      <w:r w:rsidR="00C850BA" w:rsidRPr="00037E00">
        <w:rPr>
          <w:lang w:val="en-US" w:eastAsia="fr-FR"/>
        </w:rPr>
        <w:t>ILM</w:t>
      </w:r>
      <w:r w:rsidR="00037E00">
        <w:rPr>
          <w:lang w:val="en-US" w:eastAsia="fr-FR"/>
        </w:rPr>
        <w:t>,</w:t>
      </w:r>
      <w:r w:rsidR="00C850BA" w:rsidRPr="00037E00" w:rsidDel="00C850BA">
        <w:rPr>
          <w:lang w:val="en-US" w:eastAsia="fr-FR"/>
        </w:rPr>
        <w:t xml:space="preserve"> </w:t>
      </w:r>
      <w:r w:rsidRPr="00037E00">
        <w:rPr>
          <w:lang w:val="en-US" w:eastAsia="fr-FR"/>
        </w:rPr>
        <w:t>containing</w:t>
      </w:r>
      <w:r w:rsidR="00C850BA" w:rsidRPr="00037E00">
        <w:rPr>
          <w:lang w:val="en-US" w:eastAsia="fr-FR"/>
        </w:rPr>
        <w:t xml:space="preserve"> 0</w:t>
      </w:r>
      <w:r w:rsidR="00E10894">
        <w:rPr>
          <w:lang w:val="en-US" w:eastAsia="fr-FR"/>
        </w:rPr>
        <w:t>.</w:t>
      </w:r>
      <w:r w:rsidR="00C850BA" w:rsidRPr="00037E00">
        <w:rPr>
          <w:lang w:val="en-US" w:eastAsia="fr-FR"/>
        </w:rPr>
        <w:t xml:space="preserve">9 % of </w:t>
      </w:r>
      <w:r w:rsidR="00037E00">
        <w:rPr>
          <w:lang w:val="en-US" w:eastAsia="fr-FR"/>
        </w:rPr>
        <w:t>p</w:t>
      </w:r>
      <w:r w:rsidR="00037E00" w:rsidRPr="00037E00">
        <w:rPr>
          <w:lang w:val="en-US" w:eastAsia="fr-FR"/>
        </w:rPr>
        <w:t>olyvinylpyrrolidone iodine (PVPI) and</w:t>
      </w:r>
      <w:r w:rsidR="00C850BA" w:rsidRPr="00037E00">
        <w:rPr>
          <w:lang w:val="en-US" w:eastAsia="fr-FR"/>
        </w:rPr>
        <w:t xml:space="preserve"> 0</w:t>
      </w:r>
      <w:r w:rsidR="00E10894">
        <w:rPr>
          <w:lang w:val="en-US" w:eastAsia="fr-FR"/>
        </w:rPr>
        <w:t>.</w:t>
      </w:r>
      <w:r w:rsidR="00C850BA" w:rsidRPr="00037E00">
        <w:rPr>
          <w:lang w:val="en-US" w:eastAsia="fr-FR"/>
        </w:rPr>
        <w:t>08 % of L-(+)-lactic acid</w:t>
      </w:r>
      <w:r w:rsidR="00037E00">
        <w:rPr>
          <w:lang w:val="en-US" w:eastAsia="fr-FR"/>
        </w:rPr>
        <w:t xml:space="preserve">, </w:t>
      </w:r>
      <w:r w:rsidRPr="00026E84">
        <w:rPr>
          <w:lang w:val="en-US" w:eastAsia="fr-FR"/>
        </w:rPr>
        <w:t>is a product type (PT</w:t>
      </w:r>
      <w:r w:rsidR="00037E00">
        <w:rPr>
          <w:lang w:val="en-US" w:eastAsia="fr-FR"/>
        </w:rPr>
        <w:t xml:space="preserve"> 3</w:t>
      </w:r>
      <w:r w:rsidRPr="00026E84">
        <w:rPr>
          <w:lang w:val="en-US" w:eastAsia="fr-FR"/>
        </w:rPr>
        <w:t>)</w:t>
      </w:r>
      <w:r w:rsidR="00037E00">
        <w:rPr>
          <w:lang w:val="en-US" w:eastAsia="fr-FR"/>
        </w:rPr>
        <w:t xml:space="preserve"> against bacteria and yeasts</w:t>
      </w:r>
      <w:r w:rsidR="00037E00" w:rsidRPr="00037E00">
        <w:rPr>
          <w:lang w:val="en-US" w:eastAsia="fr-FR"/>
        </w:rPr>
        <w:t xml:space="preserve"> for teats disinfection after milking</w:t>
      </w:r>
      <w:r w:rsidRPr="00026E84">
        <w:rPr>
          <w:lang w:val="en-US" w:eastAsia="fr-FR"/>
        </w:rPr>
        <w:t xml:space="preserve">. </w:t>
      </w:r>
      <w:r w:rsidRPr="00037E00">
        <w:rPr>
          <w:lang w:val="en-US" w:eastAsia="fr-FR"/>
        </w:rPr>
        <w:t xml:space="preserve">The biocide product </w:t>
      </w:r>
      <w:r w:rsidRPr="00026E84">
        <w:rPr>
          <w:lang w:val="en-US" w:eastAsia="fr-FR"/>
        </w:rPr>
        <w:t xml:space="preserve">is a </w:t>
      </w:r>
      <w:r w:rsidRPr="00037E00">
        <w:rPr>
          <w:lang w:val="en-US" w:eastAsia="fr-FR"/>
        </w:rPr>
        <w:t>RTU</w:t>
      </w:r>
      <w:r w:rsidR="00037E00">
        <w:rPr>
          <w:lang w:val="en-US" w:eastAsia="fr-FR"/>
        </w:rPr>
        <w:t xml:space="preserve"> </w:t>
      </w:r>
      <w:r w:rsidRPr="00026E84">
        <w:rPr>
          <w:lang w:val="en-US" w:eastAsia="fr-FR"/>
        </w:rPr>
        <w:t xml:space="preserve">used by </w:t>
      </w:r>
      <w:r w:rsidR="00037E00">
        <w:rPr>
          <w:lang w:val="en-US" w:eastAsia="fr-FR"/>
        </w:rPr>
        <w:t>professional</w:t>
      </w:r>
      <w:r w:rsidRPr="00026E84">
        <w:rPr>
          <w:lang w:val="en-US" w:eastAsia="fr-FR"/>
        </w:rPr>
        <w:t xml:space="preserve"> users.</w:t>
      </w:r>
    </w:p>
    <w:p w14:paraId="7AD350A7" w14:textId="77777777" w:rsidR="00C850BA" w:rsidRPr="00037E00" w:rsidRDefault="00C850BA" w:rsidP="00D14F77">
      <w:pPr>
        <w:ind w:right="-1"/>
        <w:jc w:val="both"/>
        <w:rPr>
          <w:lang w:val="en-US" w:eastAsia="fr-FR"/>
        </w:rPr>
      </w:pPr>
    </w:p>
    <w:p w14:paraId="285AB6EA" w14:textId="77777777" w:rsidR="008C7AD3" w:rsidRPr="00026E84" w:rsidRDefault="008C7AD3" w:rsidP="00D14F77">
      <w:pPr>
        <w:pStyle w:val="Paragraphedeliste"/>
        <w:keepNext/>
        <w:keepLines/>
        <w:shd w:val="clear" w:color="auto" w:fill="C8C2B6"/>
        <w:autoSpaceDE w:val="0"/>
        <w:autoSpaceDN w:val="0"/>
        <w:adjustRightInd w:val="0"/>
        <w:spacing w:before="360" w:after="120"/>
        <w:ind w:left="0" w:right="-1"/>
        <w:jc w:val="both"/>
        <w:outlineLvl w:val="0"/>
        <w:rPr>
          <w:rFonts w:cs="Arial"/>
          <w:b/>
          <w:bCs/>
          <w:smallCaps/>
          <w:sz w:val="24"/>
          <w:szCs w:val="24"/>
          <w:lang w:eastAsia="fr-FR"/>
        </w:rPr>
      </w:pPr>
      <w:r w:rsidRPr="00026E84">
        <w:rPr>
          <w:rFonts w:cs="Arial"/>
          <w:b/>
          <w:bCs/>
          <w:smallCaps/>
          <w:sz w:val="24"/>
          <w:szCs w:val="24"/>
          <w:lang w:eastAsia="fr-FR"/>
        </w:rPr>
        <w:t>Summary and overall conclusion of the assessment</w:t>
      </w:r>
    </w:p>
    <w:p w14:paraId="02D4411E" w14:textId="21C6BA25" w:rsidR="00850DB8" w:rsidRDefault="008D6BE8" w:rsidP="00D14F77">
      <w:pPr>
        <w:spacing w:line="260" w:lineRule="atLeast"/>
        <w:ind w:right="-1"/>
        <w:contextualSpacing/>
        <w:jc w:val="both"/>
        <w:rPr>
          <w:b/>
          <w:bCs/>
          <w:lang w:val="en-US" w:eastAsia="en-US"/>
        </w:rPr>
      </w:pPr>
      <w:r w:rsidRPr="00AB1CDB">
        <w:rPr>
          <w:b/>
          <w:bCs/>
          <w:lang w:val="en-US" w:eastAsia="en-US"/>
        </w:rPr>
        <w:t>Conclusion</w:t>
      </w:r>
      <w:r w:rsidRPr="00380DC2">
        <w:rPr>
          <w:rFonts w:eastAsia="Calibri" w:cs="Arial"/>
          <w:i/>
          <w:color w:val="000000"/>
          <w:lang w:val="en-US" w:eastAsia="en-GB"/>
        </w:rPr>
        <w:t xml:space="preserve"> </w:t>
      </w:r>
      <w:r w:rsidRPr="00AB1CDB">
        <w:rPr>
          <w:b/>
          <w:bCs/>
          <w:lang w:val="en-US" w:eastAsia="en-US"/>
        </w:rPr>
        <w:t>on physico-chemical and physical hazards properties</w:t>
      </w:r>
    </w:p>
    <w:p w14:paraId="5FDFD2A4" w14:textId="77777777" w:rsidR="00D14F77" w:rsidRDefault="00D14F77" w:rsidP="00D14F77">
      <w:pPr>
        <w:spacing w:line="260" w:lineRule="atLeast"/>
        <w:ind w:right="-1"/>
        <w:contextualSpacing/>
        <w:jc w:val="both"/>
        <w:rPr>
          <w:rFonts w:eastAsia="Calibri" w:cs="Arial"/>
          <w:i/>
          <w:color w:val="000000"/>
          <w:lang w:eastAsia="en-GB"/>
        </w:rPr>
      </w:pPr>
    </w:p>
    <w:p w14:paraId="62CC0A62" w14:textId="2D687AB8" w:rsidR="00850DB8" w:rsidRPr="00026E84" w:rsidRDefault="00850DB8" w:rsidP="00AB1CDB">
      <w:pPr>
        <w:ind w:right="-1"/>
        <w:jc w:val="both"/>
        <w:rPr>
          <w:lang w:eastAsia="fr-FR"/>
        </w:rPr>
      </w:pPr>
      <w:r w:rsidRPr="00026E84">
        <w:rPr>
          <w:lang w:eastAsia="fr-FR"/>
        </w:rPr>
        <w:t xml:space="preserve">The physico-chemical properties of the </w:t>
      </w:r>
      <w:r w:rsidRPr="00671E9D">
        <w:rPr>
          <w:lang w:val="en-US" w:eastAsia="fr-FR"/>
        </w:rPr>
        <w:t xml:space="preserve">product </w:t>
      </w:r>
      <w:r w:rsidR="00037E00">
        <w:rPr>
          <w:rFonts w:eastAsia="Calibri" w:cs="Arial"/>
          <w:color w:val="000000"/>
          <w:lang w:eastAsia="en-GB"/>
        </w:rPr>
        <w:t xml:space="preserve">ALGOFILM </w:t>
      </w:r>
      <w:r w:rsidRPr="00026E84">
        <w:rPr>
          <w:lang w:eastAsia="fr-FR"/>
        </w:rPr>
        <w:t xml:space="preserve">have been described and considered acceptable in the conditions of use detailed in the SPC. </w:t>
      </w:r>
    </w:p>
    <w:p w14:paraId="1EB60B6E" w14:textId="5B05C8FD" w:rsidR="00671E9D" w:rsidRDefault="00671E9D" w:rsidP="00AB1CDB">
      <w:pPr>
        <w:spacing w:line="260" w:lineRule="atLeast"/>
        <w:ind w:right="-1"/>
        <w:contextualSpacing/>
        <w:jc w:val="both"/>
        <w:rPr>
          <w:rFonts w:eastAsia="Calibri" w:cs="Arial"/>
          <w:color w:val="000000"/>
          <w:lang w:eastAsia="en-GB"/>
        </w:rPr>
      </w:pPr>
      <w:r>
        <w:rPr>
          <w:rFonts w:eastAsia="Calibri" w:cs="Arial"/>
          <w:color w:val="000000"/>
          <w:lang w:eastAsia="en-GB"/>
        </w:rPr>
        <w:t>The content of active substance decrease</w:t>
      </w:r>
      <w:r w:rsidR="00AB6FB1">
        <w:rPr>
          <w:rFonts w:eastAsia="Calibri" w:cs="Arial"/>
          <w:color w:val="000000"/>
          <w:lang w:eastAsia="en-GB"/>
        </w:rPr>
        <w:t xml:space="preserve"> more than 10%</w:t>
      </w:r>
      <w:r>
        <w:rPr>
          <w:rFonts w:eastAsia="Calibri" w:cs="Arial"/>
          <w:color w:val="000000"/>
          <w:lang w:eastAsia="en-GB"/>
        </w:rPr>
        <w:t xml:space="preserve"> after long-term storage stability</w:t>
      </w:r>
      <w:r w:rsidR="000F7B12">
        <w:rPr>
          <w:rFonts w:eastAsia="Calibri" w:cs="Arial"/>
          <w:color w:val="000000"/>
          <w:lang w:eastAsia="en-GB"/>
        </w:rPr>
        <w:t xml:space="preserve"> but efficacy is demonstrated on a 12 months aged product</w:t>
      </w:r>
      <w:r>
        <w:rPr>
          <w:rFonts w:eastAsia="Calibri" w:cs="Arial"/>
          <w:color w:val="000000"/>
          <w:lang w:eastAsia="en-GB"/>
        </w:rPr>
        <w:t>.</w:t>
      </w:r>
    </w:p>
    <w:p w14:paraId="48E14165" w14:textId="2D186A54" w:rsidR="00671E9D" w:rsidRDefault="00671E9D" w:rsidP="00AB1CDB">
      <w:pPr>
        <w:spacing w:line="260" w:lineRule="atLeast"/>
        <w:ind w:right="-1"/>
        <w:contextualSpacing/>
        <w:jc w:val="both"/>
        <w:rPr>
          <w:rFonts w:eastAsia="Calibri" w:cs="Arial"/>
          <w:color w:val="000000"/>
          <w:lang w:eastAsia="en-GB"/>
        </w:rPr>
      </w:pPr>
      <w:r>
        <w:rPr>
          <w:rFonts w:eastAsia="Calibri" w:cs="Arial"/>
          <w:color w:val="000000"/>
          <w:lang w:eastAsia="en-GB"/>
        </w:rPr>
        <w:t xml:space="preserve">Therefore, a </w:t>
      </w:r>
      <w:r w:rsidR="000F7B12">
        <w:rPr>
          <w:rFonts w:eastAsia="Calibri" w:cs="Arial"/>
          <w:color w:val="000000"/>
          <w:lang w:eastAsia="en-GB"/>
        </w:rPr>
        <w:t>12</w:t>
      </w:r>
      <w:r>
        <w:rPr>
          <w:rFonts w:eastAsia="Calibri" w:cs="Arial"/>
          <w:color w:val="000000"/>
          <w:lang w:eastAsia="en-GB"/>
        </w:rPr>
        <w:t xml:space="preserve"> months shelf life can be granted at this step.</w:t>
      </w:r>
    </w:p>
    <w:p w14:paraId="04969B25" w14:textId="77777777" w:rsidR="00671E9D" w:rsidRDefault="00671E9D" w:rsidP="00AB1CDB">
      <w:pPr>
        <w:spacing w:line="260" w:lineRule="atLeast"/>
        <w:ind w:right="-1"/>
        <w:contextualSpacing/>
        <w:jc w:val="both"/>
        <w:rPr>
          <w:rFonts w:eastAsia="Calibri" w:cs="Arial"/>
          <w:color w:val="000000"/>
          <w:lang w:eastAsia="en-GB"/>
        </w:rPr>
      </w:pPr>
    </w:p>
    <w:p w14:paraId="20CA9556" w14:textId="77777777" w:rsidR="00671E9D" w:rsidRDefault="00671E9D" w:rsidP="00AB1CDB">
      <w:pPr>
        <w:spacing w:line="260" w:lineRule="atLeast"/>
        <w:ind w:right="-1"/>
        <w:contextualSpacing/>
        <w:jc w:val="both"/>
        <w:rPr>
          <w:rFonts w:eastAsia="Calibri" w:cs="Arial"/>
          <w:color w:val="000000"/>
          <w:lang w:eastAsia="en-GB"/>
        </w:rPr>
      </w:pPr>
      <w:r>
        <w:rPr>
          <w:rFonts w:eastAsia="Calibri" w:cs="Arial"/>
          <w:color w:val="000000"/>
          <w:lang w:eastAsia="en-GB"/>
        </w:rPr>
        <w:t>A new ongoing long-term storage study should be provided in post-authorization.</w:t>
      </w:r>
    </w:p>
    <w:p w14:paraId="48B72E96" w14:textId="77777777" w:rsidR="00850DB8" w:rsidRPr="00026E84" w:rsidRDefault="00850DB8" w:rsidP="00AB1CDB">
      <w:pPr>
        <w:ind w:right="-1"/>
        <w:jc w:val="both"/>
        <w:rPr>
          <w:lang w:eastAsia="fr-FR"/>
        </w:rPr>
      </w:pPr>
    </w:p>
    <w:p w14:paraId="36831A4B" w14:textId="2100AF7C" w:rsidR="00850DB8" w:rsidRPr="00026E84" w:rsidRDefault="00671E9D" w:rsidP="00AB1CDB">
      <w:pPr>
        <w:ind w:right="-1"/>
        <w:jc w:val="both"/>
        <w:rPr>
          <w:lang w:eastAsia="fr-FR"/>
        </w:rPr>
      </w:pPr>
      <w:r>
        <w:rPr>
          <w:rFonts w:eastAsia="Calibri" w:cs="Arial"/>
          <w:color w:val="000000"/>
          <w:lang w:eastAsia="en-GB"/>
        </w:rPr>
        <w:t>Analytical methods for the determination of the active substances, iodine and L-(+)-lactic acid, and the two degradation products of iodine</w:t>
      </w:r>
      <w:r w:rsidR="003D2C4F">
        <w:rPr>
          <w:rFonts w:eastAsia="Calibri" w:cs="Arial"/>
          <w:color w:val="000000"/>
          <w:lang w:eastAsia="en-GB"/>
        </w:rPr>
        <w:t>,</w:t>
      </w:r>
      <w:r>
        <w:rPr>
          <w:rFonts w:eastAsia="Calibri" w:cs="Arial"/>
          <w:color w:val="000000"/>
          <w:lang w:eastAsia="en-GB"/>
        </w:rPr>
        <w:t xml:space="preserve"> iodide and iodate</w:t>
      </w:r>
      <w:r w:rsidR="003D2C4F">
        <w:rPr>
          <w:rFonts w:eastAsia="Calibri" w:cs="Arial"/>
          <w:color w:val="000000"/>
          <w:lang w:eastAsia="en-GB"/>
        </w:rPr>
        <w:t>,</w:t>
      </w:r>
      <w:r>
        <w:rPr>
          <w:rFonts w:eastAsia="Calibri" w:cs="Arial"/>
          <w:color w:val="000000"/>
          <w:lang w:eastAsia="en-GB"/>
        </w:rPr>
        <w:t xml:space="preserve"> have been developed and validated for their determination in the biocidal product ALGOFILM.</w:t>
      </w:r>
    </w:p>
    <w:p w14:paraId="34260607" w14:textId="52D10361" w:rsidR="00D53823" w:rsidRDefault="00D53823">
      <w:pPr>
        <w:spacing w:line="260" w:lineRule="atLeast"/>
        <w:ind w:left="360"/>
        <w:contextualSpacing/>
        <w:jc w:val="both"/>
        <w:rPr>
          <w:rFonts w:eastAsia="Calibri" w:cs="Arial"/>
          <w:color w:val="000000"/>
          <w:lang w:eastAsia="en-GB"/>
        </w:rPr>
      </w:pPr>
    </w:p>
    <w:p w14:paraId="377B80BF" w14:textId="4C2B0ED7" w:rsidR="00BB55A0" w:rsidRDefault="00BB55A0" w:rsidP="00BB55A0">
      <w:pPr>
        <w:spacing w:line="260" w:lineRule="atLeast"/>
        <w:contextualSpacing/>
        <w:jc w:val="both"/>
        <w:rPr>
          <w:rFonts w:eastAsia="Calibri" w:cs="Arial"/>
          <w:b/>
          <w:color w:val="000000"/>
          <w:lang w:eastAsia="en-GB"/>
        </w:rPr>
      </w:pPr>
      <w:r w:rsidRPr="00BB55A0">
        <w:rPr>
          <w:rFonts w:eastAsia="Calibri" w:cs="Arial"/>
          <w:b/>
          <w:color w:val="000000"/>
          <w:lang w:eastAsia="en-GB"/>
        </w:rPr>
        <w:t xml:space="preserve">Conclusion </w:t>
      </w:r>
      <w:r w:rsidR="009B0F8C">
        <w:rPr>
          <w:rFonts w:eastAsia="Calibri" w:cs="Arial"/>
          <w:b/>
          <w:color w:val="000000"/>
          <w:lang w:eastAsia="en-GB"/>
        </w:rPr>
        <w:t>on</w:t>
      </w:r>
      <w:r w:rsidRPr="00BB55A0">
        <w:rPr>
          <w:rFonts w:eastAsia="Calibri" w:cs="Arial"/>
          <w:b/>
          <w:color w:val="000000"/>
          <w:lang w:eastAsia="en-GB"/>
        </w:rPr>
        <w:t xml:space="preserve"> efficacy</w:t>
      </w:r>
    </w:p>
    <w:p w14:paraId="2AE51BF5" w14:textId="77777777" w:rsidR="00AB1CDB" w:rsidRPr="00BB55A0" w:rsidRDefault="00AB1CDB" w:rsidP="00BB55A0">
      <w:pPr>
        <w:spacing w:line="260" w:lineRule="atLeast"/>
        <w:contextualSpacing/>
        <w:jc w:val="both"/>
        <w:rPr>
          <w:rFonts w:eastAsia="Calibri" w:cs="Arial"/>
          <w:b/>
          <w:color w:val="000000"/>
          <w:lang w:eastAsia="en-GB"/>
        </w:rPr>
      </w:pPr>
    </w:p>
    <w:p w14:paraId="17566C27" w14:textId="59951B21" w:rsidR="008C7AD3" w:rsidRPr="00026E84" w:rsidRDefault="00BB55A0" w:rsidP="008C7AD3">
      <w:pPr>
        <w:jc w:val="both"/>
        <w:rPr>
          <w:lang w:eastAsia="fr-FR"/>
        </w:rPr>
      </w:pPr>
      <w:r>
        <w:rPr>
          <w:rFonts w:eastAsia="Calibri" w:cs="Arial"/>
          <w:bCs/>
          <w:iCs/>
          <w:lang w:val="sv-SE" w:eastAsia="en-US"/>
        </w:rPr>
        <w:t>T</w:t>
      </w:r>
      <w:r w:rsidRPr="00053DE4">
        <w:rPr>
          <w:rFonts w:eastAsia="Calibri" w:cs="Arial"/>
          <w:bCs/>
          <w:iCs/>
          <w:lang w:val="sv-SE" w:eastAsia="en-US"/>
        </w:rPr>
        <w:t xml:space="preserve">he product </w:t>
      </w:r>
      <w:r>
        <w:rPr>
          <w:rFonts w:eastAsia="Calibri" w:cs="Arial"/>
          <w:bCs/>
          <w:iCs/>
          <w:lang w:val="sv-SE" w:eastAsia="en-US"/>
        </w:rPr>
        <w:t>ALGOFILM</w:t>
      </w:r>
      <w:r w:rsidRPr="00053DE4">
        <w:rPr>
          <w:rFonts w:eastAsia="Calibri" w:cs="Arial"/>
          <w:bCs/>
          <w:iCs/>
          <w:lang w:val="sv-SE" w:eastAsia="en-US"/>
        </w:rPr>
        <w:t xml:space="preserve"> has demonstrated a sufficient efficacy for the </w:t>
      </w:r>
      <w:r>
        <w:rPr>
          <w:rFonts w:eastAsia="Calibri" w:cs="Arial"/>
          <w:bCs/>
          <w:iCs/>
          <w:lang w:val="sv-SE" w:eastAsia="en-US"/>
        </w:rPr>
        <w:t>t</w:t>
      </w:r>
      <w:r w:rsidRPr="002152B7">
        <w:rPr>
          <w:rFonts w:eastAsia="Calibri"/>
          <w:lang w:eastAsia="fi-FI"/>
        </w:rPr>
        <w:t>eat disinfection after milking by manual or automated dipping</w:t>
      </w:r>
      <w:r w:rsidR="00724581">
        <w:rPr>
          <w:rFonts w:eastAsia="Calibri"/>
          <w:lang w:eastAsia="fi-FI"/>
        </w:rPr>
        <w:t xml:space="preserve">, as ready-to use, </w:t>
      </w:r>
      <w:r w:rsidRPr="002152B7">
        <w:rPr>
          <w:rFonts w:eastAsia="Calibri"/>
          <w:lang w:eastAsia="fi-FI"/>
        </w:rPr>
        <w:t>with a contact time of 5 minutes,</w:t>
      </w:r>
      <w:r>
        <w:rPr>
          <w:rFonts w:eastAsia="Calibri"/>
          <w:lang w:eastAsia="fi-FI"/>
        </w:rPr>
        <w:t xml:space="preserve"> </w:t>
      </w:r>
      <w:r w:rsidRPr="002152B7">
        <w:rPr>
          <w:rFonts w:eastAsia="Calibri"/>
          <w:lang w:eastAsia="fi-FI"/>
        </w:rPr>
        <w:t>against bacteria and yeasts</w:t>
      </w:r>
      <w:r w:rsidR="008C7AD3">
        <w:rPr>
          <w:rFonts w:eastAsia="Calibri"/>
          <w:lang w:eastAsia="fi-FI"/>
        </w:rPr>
        <w:t xml:space="preserve">, </w:t>
      </w:r>
      <w:r w:rsidR="008C7AD3" w:rsidRPr="00026E84">
        <w:rPr>
          <w:lang w:eastAsia="fr-FR"/>
        </w:rPr>
        <w:t>in the conditions of use detailed in the SPC.</w:t>
      </w:r>
    </w:p>
    <w:p w14:paraId="0A7C5EF0" w14:textId="5007702D" w:rsidR="00BB55A0" w:rsidRDefault="00BB55A0">
      <w:pPr>
        <w:spacing w:line="260" w:lineRule="atLeast"/>
        <w:ind w:left="360"/>
        <w:contextualSpacing/>
        <w:jc w:val="both"/>
        <w:rPr>
          <w:rFonts w:eastAsia="Calibri" w:cs="Arial"/>
          <w:color w:val="000000"/>
          <w:lang w:eastAsia="en-GB"/>
        </w:rPr>
      </w:pPr>
    </w:p>
    <w:p w14:paraId="44D814CC" w14:textId="191BC41B" w:rsidR="00850DB8" w:rsidRDefault="008C7AD3" w:rsidP="00D14F77">
      <w:pPr>
        <w:jc w:val="both"/>
        <w:rPr>
          <w:b/>
          <w:bCs/>
          <w:lang w:val="en-US"/>
        </w:rPr>
      </w:pPr>
      <w:r w:rsidRPr="00AB1CDB">
        <w:rPr>
          <w:b/>
          <w:bCs/>
          <w:lang w:val="en-US"/>
        </w:rPr>
        <w:t>Substances of concern (SoCs)</w:t>
      </w:r>
    </w:p>
    <w:p w14:paraId="593EEFFC" w14:textId="77777777" w:rsidR="00D14F77" w:rsidRPr="00AB1CDB" w:rsidRDefault="00D14F77" w:rsidP="00D14F77">
      <w:pPr>
        <w:jc w:val="both"/>
        <w:rPr>
          <w:b/>
          <w:bCs/>
          <w:lang w:val="en-US"/>
        </w:rPr>
      </w:pPr>
    </w:p>
    <w:p w14:paraId="1E2C017C" w14:textId="77777777" w:rsidR="00B455D9" w:rsidRDefault="00B455D9" w:rsidP="00D14F77">
      <w:pPr>
        <w:jc w:val="both"/>
        <w:rPr>
          <w:iCs/>
          <w:lang w:val="en-029"/>
        </w:rPr>
      </w:pPr>
      <w:r>
        <w:rPr>
          <w:rFonts w:eastAsia="Calibri" w:cs="Times"/>
          <w:bCs/>
          <w:szCs w:val="29"/>
        </w:rPr>
        <w:t>No substance of concern (SoC) has been identified</w:t>
      </w:r>
      <w:r w:rsidDel="00B455D9">
        <w:rPr>
          <w:iCs/>
          <w:lang w:val="en-029"/>
        </w:rPr>
        <w:t xml:space="preserve"> </w:t>
      </w:r>
    </w:p>
    <w:p w14:paraId="33E9A04A" w14:textId="77777777" w:rsidR="008C7AD3" w:rsidRPr="00D14F77" w:rsidRDefault="008C7AD3" w:rsidP="00D14F77">
      <w:pPr>
        <w:autoSpaceDE w:val="0"/>
        <w:autoSpaceDN w:val="0"/>
        <w:adjustRightInd w:val="0"/>
        <w:jc w:val="both"/>
        <w:rPr>
          <w:rFonts w:cs="Arial"/>
          <w:iCs/>
          <w:color w:val="FF0000"/>
          <w:lang w:val="en-US" w:eastAsia="fr-FR"/>
        </w:rPr>
      </w:pPr>
    </w:p>
    <w:p w14:paraId="486752FA" w14:textId="77777777" w:rsidR="008C7AD3" w:rsidRPr="00AB1CDB" w:rsidRDefault="008C7AD3" w:rsidP="00D14F77">
      <w:pPr>
        <w:spacing w:line="260" w:lineRule="atLeast"/>
        <w:ind w:left="360"/>
        <w:contextualSpacing/>
        <w:jc w:val="both"/>
        <w:rPr>
          <w:rFonts w:eastAsia="Calibri" w:cs="Arial"/>
          <w:color w:val="000000"/>
          <w:lang w:val="en-US" w:eastAsia="en-GB"/>
        </w:rPr>
      </w:pPr>
    </w:p>
    <w:p w14:paraId="0B862EBE" w14:textId="358D8D6F" w:rsidR="008C7AD3" w:rsidRPr="00AB1CDB" w:rsidRDefault="008C7AD3" w:rsidP="00D14F77">
      <w:pPr>
        <w:spacing w:line="260" w:lineRule="atLeast"/>
        <w:contextualSpacing/>
        <w:jc w:val="both"/>
        <w:rPr>
          <w:b/>
          <w:bCs/>
          <w:lang w:val="en-US" w:eastAsia="en-US"/>
        </w:rPr>
      </w:pPr>
      <w:r w:rsidRPr="00AB1CDB">
        <w:rPr>
          <w:b/>
          <w:bCs/>
          <w:lang w:val="en-US" w:eastAsia="en-US"/>
        </w:rPr>
        <w:t xml:space="preserve">Conclusion on risk for human health </w:t>
      </w:r>
    </w:p>
    <w:p w14:paraId="1E6D7C47" w14:textId="77777777" w:rsidR="00D14F77" w:rsidRDefault="00D14F77" w:rsidP="00D14F77">
      <w:pPr>
        <w:jc w:val="both"/>
        <w:rPr>
          <w:bCs/>
          <w:lang w:val="en-US" w:eastAsia="en-US"/>
        </w:rPr>
      </w:pPr>
    </w:p>
    <w:p w14:paraId="4DDE9BAD" w14:textId="17FEA0DA" w:rsidR="00037E00" w:rsidRDefault="00037E00" w:rsidP="00D14F77">
      <w:pPr>
        <w:jc w:val="both"/>
        <w:rPr>
          <w:rFonts w:eastAsia="Calibri"/>
          <w:lang w:eastAsia="en-US"/>
        </w:rPr>
      </w:pPr>
      <w:r>
        <w:rPr>
          <w:lang w:val="en-US" w:eastAsia="fr-FR"/>
        </w:rPr>
        <w:t>T</w:t>
      </w:r>
      <w:r w:rsidRPr="00850DB8">
        <w:rPr>
          <w:lang w:val="en-US" w:eastAsia="fr-FR"/>
        </w:rPr>
        <w:t xml:space="preserve">he product </w:t>
      </w:r>
      <w:r>
        <w:rPr>
          <w:lang w:val="en-US" w:eastAsia="fr-FR"/>
        </w:rPr>
        <w:t>ALGOFILM</w:t>
      </w:r>
      <w:r w:rsidRPr="00026E84">
        <w:rPr>
          <w:color w:val="000000"/>
          <w:lang w:eastAsia="de-DE"/>
        </w:rPr>
        <w:t xml:space="preserve"> </w:t>
      </w:r>
      <w:r w:rsidRPr="009569B9">
        <w:rPr>
          <w:rFonts w:eastAsia="Calibri"/>
          <w:lang w:eastAsia="en-US"/>
        </w:rPr>
        <w:t>is not classified</w:t>
      </w:r>
      <w:r>
        <w:rPr>
          <w:rFonts w:eastAsia="Calibri"/>
          <w:lang w:eastAsia="en-US"/>
        </w:rPr>
        <w:t>.</w:t>
      </w:r>
    </w:p>
    <w:p w14:paraId="533D2D76" w14:textId="77777777" w:rsidR="00850DB8" w:rsidRPr="00026E84" w:rsidRDefault="00850DB8" w:rsidP="00D14F77">
      <w:pPr>
        <w:jc w:val="both"/>
        <w:rPr>
          <w:lang w:val="en-US"/>
        </w:rPr>
      </w:pPr>
    </w:p>
    <w:p w14:paraId="0C59F524" w14:textId="2077DE91" w:rsidR="008C7AD3" w:rsidRPr="00026E84" w:rsidRDefault="008C7AD3" w:rsidP="00D14F77">
      <w:pPr>
        <w:jc w:val="both"/>
        <w:rPr>
          <w:rFonts w:cs="Arial"/>
        </w:rPr>
      </w:pPr>
      <w:r w:rsidRPr="00026E84">
        <w:rPr>
          <w:rFonts w:cs="Arial"/>
        </w:rPr>
        <w:t xml:space="preserve">The risk is considered acceptable for </w:t>
      </w:r>
      <w:r w:rsidRPr="00AB1CDB">
        <w:rPr>
          <w:rFonts w:cs="Arial"/>
        </w:rPr>
        <w:t>professional</w:t>
      </w:r>
      <w:r w:rsidRPr="00026E84">
        <w:rPr>
          <w:rFonts w:cs="Arial"/>
        </w:rPr>
        <w:t xml:space="preserve"> users during</w:t>
      </w:r>
      <w:r w:rsidR="00D93B2B">
        <w:rPr>
          <w:rFonts w:cs="Arial"/>
        </w:rPr>
        <w:t>:</w:t>
      </w:r>
    </w:p>
    <w:p w14:paraId="79EA8888" w14:textId="01B0B925" w:rsidR="00380DC2" w:rsidRPr="00452E09" w:rsidRDefault="00380DC2" w:rsidP="00D14F77">
      <w:pPr>
        <w:numPr>
          <w:ilvl w:val="1"/>
          <w:numId w:val="35"/>
        </w:numPr>
        <w:ind w:left="993"/>
        <w:rPr>
          <w:rFonts w:eastAsia="Calibri"/>
          <w:lang w:eastAsia="en-US"/>
        </w:rPr>
      </w:pPr>
      <w:r w:rsidRPr="00452E09">
        <w:rPr>
          <w:rFonts w:eastAsia="Calibri"/>
          <w:lang w:eastAsia="en-US"/>
        </w:rPr>
        <w:t xml:space="preserve">application by manual dipping </w:t>
      </w:r>
      <w:r>
        <w:rPr>
          <w:rFonts w:eastAsia="Calibri"/>
          <w:lang w:eastAsia="en-US"/>
        </w:rPr>
        <w:t>and</w:t>
      </w:r>
      <w:r w:rsidRPr="00452E09">
        <w:rPr>
          <w:rFonts w:eastAsia="Calibri"/>
          <w:lang w:eastAsia="en-US"/>
        </w:rPr>
        <w:t xml:space="preserve"> cleaning of the equipment</w:t>
      </w:r>
    </w:p>
    <w:p w14:paraId="3584B3F5" w14:textId="2D40D120" w:rsidR="00380DC2" w:rsidRPr="00452E09" w:rsidRDefault="00380DC2" w:rsidP="00D14F77">
      <w:pPr>
        <w:numPr>
          <w:ilvl w:val="1"/>
          <w:numId w:val="35"/>
        </w:numPr>
        <w:ind w:left="993"/>
        <w:rPr>
          <w:rFonts w:ascii="Times New Roman" w:eastAsia="Calibri" w:hAnsi="Times New Roman" w:cs="Times New Roman"/>
          <w:i/>
          <w:iCs/>
          <w:lang w:eastAsia="en-US"/>
        </w:rPr>
      </w:pPr>
      <w:r w:rsidRPr="00452E09">
        <w:rPr>
          <w:rFonts w:eastAsia="Calibri"/>
          <w:lang w:eastAsia="en-US"/>
        </w:rPr>
        <w:t>ap</w:t>
      </w:r>
      <w:r>
        <w:rPr>
          <w:rFonts w:eastAsia="Calibri"/>
          <w:lang w:eastAsia="en-US"/>
        </w:rPr>
        <w:t>plication by automatic dipping and</w:t>
      </w:r>
      <w:r w:rsidRPr="00452E09">
        <w:rPr>
          <w:rFonts w:eastAsia="Calibri"/>
          <w:lang w:eastAsia="en-US"/>
        </w:rPr>
        <w:t xml:space="preserve"> cleaning of the equipment </w:t>
      </w:r>
    </w:p>
    <w:p w14:paraId="1F1027A7" w14:textId="77777777" w:rsidR="008C7AD3" w:rsidRPr="00026E84" w:rsidRDefault="008C7AD3" w:rsidP="00D14F77">
      <w:pPr>
        <w:jc w:val="both"/>
        <w:rPr>
          <w:rFonts w:cs="Arial"/>
        </w:rPr>
      </w:pPr>
    </w:p>
    <w:p w14:paraId="7BCAA9D2" w14:textId="047477E0" w:rsidR="008C7AD3" w:rsidRPr="00026E84" w:rsidRDefault="008C7AD3" w:rsidP="00AB1CDB">
      <w:pPr>
        <w:rPr>
          <w:rFonts w:cs="Arial"/>
        </w:rPr>
      </w:pPr>
    </w:p>
    <w:p w14:paraId="6CF1299A" w14:textId="77777777" w:rsidR="00380DC2" w:rsidRPr="00452E09" w:rsidRDefault="00380DC2" w:rsidP="00D14F77">
      <w:pPr>
        <w:suppressAutoHyphens w:val="0"/>
        <w:spacing w:line="260" w:lineRule="atLeast"/>
        <w:rPr>
          <w:rFonts w:eastAsia="Calibri" w:cs="Times New Roman"/>
          <w:lang w:eastAsia="en-US"/>
        </w:rPr>
      </w:pPr>
      <w:r w:rsidRPr="00452E09">
        <w:rPr>
          <w:rFonts w:eastAsia="Calibri" w:cs="Times New Roman"/>
          <w:lang w:eastAsia="en-US"/>
        </w:rPr>
        <w:t>Exposure of the general public is not relevant. The general public does not have access to the milking parlour.</w:t>
      </w:r>
    </w:p>
    <w:p w14:paraId="343659F9" w14:textId="77777777" w:rsidR="00D14F77" w:rsidRDefault="00D14F77" w:rsidP="00D14F77">
      <w:pPr>
        <w:spacing w:line="260" w:lineRule="atLeast"/>
        <w:contextualSpacing/>
        <w:jc w:val="both"/>
        <w:rPr>
          <w:rFonts w:eastAsia="Calibri" w:cs="Arial"/>
          <w:b/>
          <w:color w:val="000000"/>
          <w:lang w:eastAsia="en-GB"/>
        </w:rPr>
      </w:pPr>
    </w:p>
    <w:p w14:paraId="7A3F04B1" w14:textId="77777777" w:rsidR="00D14F77" w:rsidRDefault="00D14F77" w:rsidP="00D14F77">
      <w:pPr>
        <w:spacing w:line="260" w:lineRule="atLeast"/>
        <w:contextualSpacing/>
        <w:jc w:val="both"/>
        <w:rPr>
          <w:rFonts w:eastAsia="Calibri" w:cs="Arial"/>
          <w:b/>
          <w:color w:val="000000"/>
          <w:lang w:eastAsia="en-GB"/>
        </w:rPr>
      </w:pPr>
    </w:p>
    <w:p w14:paraId="2ECB9C6D" w14:textId="2931E586" w:rsidR="005272CD" w:rsidRDefault="005272CD" w:rsidP="00D14F77">
      <w:pPr>
        <w:spacing w:line="260" w:lineRule="atLeast"/>
        <w:contextualSpacing/>
        <w:jc w:val="both"/>
        <w:rPr>
          <w:rFonts w:eastAsia="Calibri" w:cs="Arial"/>
          <w:b/>
          <w:color w:val="000000"/>
          <w:lang w:eastAsia="en-GB"/>
        </w:rPr>
      </w:pPr>
      <w:r w:rsidRPr="005272CD">
        <w:rPr>
          <w:rFonts w:eastAsia="Calibri" w:cs="Arial"/>
          <w:b/>
          <w:color w:val="000000"/>
          <w:lang w:eastAsia="en-GB"/>
        </w:rPr>
        <w:t>Conclusion on indirect exposure via residues in food</w:t>
      </w:r>
    </w:p>
    <w:p w14:paraId="22422F80" w14:textId="77777777" w:rsidR="00850DB8" w:rsidRPr="00616DEE" w:rsidRDefault="00850DB8" w:rsidP="00D14F77">
      <w:pPr>
        <w:spacing w:line="260" w:lineRule="atLeast"/>
        <w:contextualSpacing/>
        <w:jc w:val="both"/>
        <w:rPr>
          <w:rFonts w:cs="Arial"/>
          <w:lang w:val="en-US"/>
        </w:rPr>
      </w:pPr>
    </w:p>
    <w:p w14:paraId="38915EF3" w14:textId="77777777" w:rsidR="005272CD" w:rsidRPr="005272CD" w:rsidRDefault="005272CD" w:rsidP="00D14F77">
      <w:pPr>
        <w:spacing w:line="260" w:lineRule="atLeast"/>
        <w:contextualSpacing/>
        <w:jc w:val="both"/>
        <w:rPr>
          <w:rFonts w:eastAsia="Calibri" w:cs="Arial"/>
          <w:color w:val="000000"/>
          <w:lang w:eastAsia="en-GB"/>
        </w:rPr>
      </w:pPr>
      <w:r w:rsidRPr="005272CD">
        <w:rPr>
          <w:rFonts w:eastAsia="Calibri" w:cs="Arial"/>
          <w:color w:val="000000"/>
          <w:lang w:eastAsia="en-GB"/>
        </w:rPr>
        <w:t xml:space="preserve">Considering the intended use of ALGOFILM and based on overall available information, a risk via food cannot be excluded for children. </w:t>
      </w:r>
    </w:p>
    <w:p w14:paraId="52D1290F" w14:textId="344DA84B" w:rsidR="00B81828" w:rsidRDefault="005272CD" w:rsidP="00D14F77">
      <w:pPr>
        <w:spacing w:line="260" w:lineRule="atLeast"/>
        <w:contextualSpacing/>
        <w:jc w:val="both"/>
        <w:rPr>
          <w:rFonts w:eastAsia="Calibri" w:cs="Arial"/>
          <w:color w:val="000000"/>
          <w:lang w:eastAsia="en-GB"/>
        </w:rPr>
      </w:pPr>
      <w:r w:rsidRPr="005272CD">
        <w:rPr>
          <w:rFonts w:eastAsia="Calibri" w:cs="Arial"/>
          <w:color w:val="000000"/>
          <w:lang w:eastAsia="en-GB"/>
        </w:rPr>
        <w:t xml:space="preserve">The estimation of iodine contamination in milk is performed considering the worst case situation. Human health risk is acceptable for all milking applications based on estimated intakes, except for toddlers, where total daily intake exceeds </w:t>
      </w:r>
      <w:r w:rsidR="00D352C9">
        <w:rPr>
          <w:rFonts w:eastAsia="Calibri" w:cs="Arial"/>
          <w:color w:val="000000"/>
          <w:lang w:eastAsia="en-GB"/>
        </w:rPr>
        <w:t>Upper Limits</w:t>
      </w:r>
      <w:r w:rsidR="00B81828">
        <w:rPr>
          <w:rFonts w:eastAsia="Calibri" w:cs="Arial"/>
          <w:color w:val="000000"/>
          <w:lang w:eastAsia="en-GB"/>
        </w:rPr>
        <w:t xml:space="preserve"> (</w:t>
      </w:r>
      <w:r w:rsidRPr="005272CD">
        <w:rPr>
          <w:rFonts w:eastAsia="Calibri" w:cs="Arial"/>
          <w:color w:val="000000"/>
          <w:lang w:eastAsia="en-GB"/>
        </w:rPr>
        <w:t>UL</w:t>
      </w:r>
      <w:r w:rsidR="00B81828">
        <w:rPr>
          <w:rFonts w:eastAsia="Calibri" w:cs="Arial"/>
          <w:color w:val="000000"/>
          <w:lang w:eastAsia="en-GB"/>
        </w:rPr>
        <w:t>)</w:t>
      </w:r>
      <w:r w:rsidRPr="005272CD">
        <w:rPr>
          <w:rFonts w:eastAsia="Calibri" w:cs="Arial"/>
          <w:color w:val="000000"/>
          <w:lang w:eastAsia="en-GB"/>
        </w:rPr>
        <w:t xml:space="preserve">. </w:t>
      </w:r>
    </w:p>
    <w:p w14:paraId="589DCA13" w14:textId="77777777" w:rsidR="00B81828" w:rsidRDefault="005272CD" w:rsidP="00D14F77">
      <w:pPr>
        <w:spacing w:line="260" w:lineRule="atLeast"/>
        <w:contextualSpacing/>
        <w:jc w:val="both"/>
        <w:rPr>
          <w:rFonts w:eastAsia="Calibri" w:cs="Arial"/>
          <w:color w:val="000000"/>
          <w:lang w:eastAsia="en-GB"/>
        </w:rPr>
      </w:pPr>
      <w:r w:rsidRPr="005272CD">
        <w:rPr>
          <w:rFonts w:eastAsia="Calibri" w:cs="Arial"/>
          <w:color w:val="000000"/>
          <w:lang w:eastAsia="en-GB"/>
        </w:rPr>
        <w:t xml:space="preserve">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 </w:t>
      </w:r>
    </w:p>
    <w:p w14:paraId="5BBEC765" w14:textId="77777777" w:rsidR="00B81828" w:rsidRDefault="00B81828" w:rsidP="00D14F77">
      <w:pPr>
        <w:spacing w:line="260" w:lineRule="atLeast"/>
        <w:contextualSpacing/>
        <w:jc w:val="both"/>
        <w:rPr>
          <w:rFonts w:eastAsia="Calibri" w:cs="Arial"/>
          <w:color w:val="000000"/>
          <w:lang w:eastAsia="en-GB"/>
        </w:rPr>
      </w:pPr>
    </w:p>
    <w:p w14:paraId="17A9DBC7" w14:textId="56718316" w:rsidR="00BB55A0" w:rsidRDefault="005272CD" w:rsidP="00D14F77">
      <w:pPr>
        <w:spacing w:line="260" w:lineRule="atLeast"/>
        <w:contextualSpacing/>
        <w:jc w:val="both"/>
        <w:rPr>
          <w:rFonts w:eastAsia="Calibri" w:cs="Arial"/>
          <w:color w:val="000000"/>
          <w:lang w:eastAsia="en-GB"/>
        </w:rPr>
      </w:pPr>
      <w:r w:rsidRPr="005272CD">
        <w:rPr>
          <w:rFonts w:eastAsia="Calibri" w:cs="Arial"/>
          <w:color w:val="000000"/>
          <w:lang w:eastAsia="en-GB"/>
        </w:rPr>
        <w:t>Iodine exposure pathways that are not a consequence of 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 Therefore a wider approach to the consumer risk assessments encompassing different regulatory regimes would need to be considered.</w:t>
      </w:r>
    </w:p>
    <w:p w14:paraId="2CF5BF79" w14:textId="5D5F822F" w:rsidR="005272CD" w:rsidRDefault="005272CD" w:rsidP="00D14F77">
      <w:pPr>
        <w:spacing w:line="260" w:lineRule="atLeast"/>
        <w:ind w:left="360"/>
        <w:contextualSpacing/>
        <w:jc w:val="both"/>
        <w:rPr>
          <w:rFonts w:eastAsia="Calibri" w:cs="Arial"/>
          <w:color w:val="000000"/>
          <w:lang w:eastAsia="en-GB"/>
        </w:rPr>
      </w:pPr>
    </w:p>
    <w:p w14:paraId="6ED8E9DE" w14:textId="4F4D76A8" w:rsidR="00B81828" w:rsidRDefault="00B81828" w:rsidP="00D14F77">
      <w:pPr>
        <w:spacing w:line="260" w:lineRule="atLeast"/>
        <w:ind w:left="360"/>
        <w:contextualSpacing/>
        <w:jc w:val="both"/>
        <w:rPr>
          <w:rFonts w:eastAsia="Calibri" w:cs="Arial"/>
          <w:color w:val="000000"/>
          <w:lang w:eastAsia="en-GB"/>
        </w:rPr>
      </w:pPr>
    </w:p>
    <w:p w14:paraId="6941EF55" w14:textId="73650139" w:rsidR="00D53823" w:rsidRDefault="00D53823" w:rsidP="00D14F77">
      <w:pPr>
        <w:spacing w:line="260" w:lineRule="atLeast"/>
        <w:contextualSpacing/>
        <w:jc w:val="both"/>
        <w:rPr>
          <w:b/>
          <w:bCs/>
          <w:lang w:val="en-US" w:eastAsia="en-US"/>
        </w:rPr>
      </w:pPr>
      <w:r w:rsidRPr="00AB1CDB">
        <w:rPr>
          <w:b/>
          <w:bCs/>
          <w:lang w:val="en-US" w:eastAsia="en-US"/>
        </w:rPr>
        <w:t>Conclusion on risk assessment for the environment</w:t>
      </w:r>
    </w:p>
    <w:p w14:paraId="04ECDB7A" w14:textId="77777777" w:rsidR="00AB1CDB" w:rsidRPr="00D93B2B" w:rsidRDefault="00AB1CDB" w:rsidP="00D14F77">
      <w:pPr>
        <w:spacing w:line="260" w:lineRule="atLeast"/>
        <w:contextualSpacing/>
        <w:jc w:val="both"/>
        <w:rPr>
          <w:rFonts w:eastAsia="Calibri" w:cs="Arial"/>
          <w:color w:val="000000"/>
          <w:lang w:eastAsia="en-GB"/>
        </w:rPr>
      </w:pPr>
    </w:p>
    <w:p w14:paraId="1FE2D519" w14:textId="06152167" w:rsidR="009D0C0B" w:rsidRDefault="003D2C4F" w:rsidP="00D14F77">
      <w:pPr>
        <w:spacing w:line="260" w:lineRule="atLeast"/>
        <w:jc w:val="both"/>
        <w:rPr>
          <w:rFonts w:eastAsia="Calibri" w:cs="Arial"/>
          <w:color w:val="000000"/>
          <w:lang w:eastAsia="en-GB"/>
        </w:rPr>
      </w:pPr>
      <w:r>
        <w:rPr>
          <w:rFonts w:eastAsia="Calibri" w:cs="Arial"/>
          <w:color w:val="000000"/>
          <w:lang w:eastAsia="en-GB"/>
        </w:rPr>
        <w:t xml:space="preserve">No substance of concern has been identified for the environment. </w:t>
      </w:r>
      <w:r w:rsidR="00D53823" w:rsidRPr="006B5EF2">
        <w:rPr>
          <w:rFonts w:eastAsia="Calibri" w:cs="Arial"/>
          <w:color w:val="000000"/>
          <w:lang w:eastAsia="en-GB"/>
        </w:rPr>
        <w:t xml:space="preserve">Following the application of the </w:t>
      </w:r>
      <w:r w:rsidR="00D53823">
        <w:rPr>
          <w:rFonts w:eastAsia="Calibri" w:cs="Arial"/>
          <w:color w:val="000000"/>
          <w:lang w:eastAsia="en-GB"/>
        </w:rPr>
        <w:t>ALGOFILM</w:t>
      </w:r>
      <w:r w:rsidR="00D53823" w:rsidRPr="006B5EF2">
        <w:rPr>
          <w:rFonts w:eastAsia="Calibri" w:cs="Arial"/>
          <w:color w:val="000000"/>
          <w:lang w:eastAsia="en-GB"/>
        </w:rPr>
        <w:t xml:space="preserve"> product</w:t>
      </w:r>
      <w:r w:rsidR="00022762">
        <w:rPr>
          <w:rFonts w:eastAsia="Calibri" w:cs="Arial"/>
          <w:color w:val="000000"/>
          <w:lang w:eastAsia="en-GB"/>
        </w:rPr>
        <w:t xml:space="preserve"> in post-milking only</w:t>
      </w:r>
      <w:r w:rsidR="00D53823" w:rsidRPr="006B5EF2">
        <w:rPr>
          <w:rFonts w:eastAsia="Calibri" w:cs="Arial"/>
          <w:color w:val="000000"/>
          <w:lang w:eastAsia="en-GB"/>
        </w:rPr>
        <w:t>, acceptable risks are reached for</w:t>
      </w:r>
      <w:r w:rsidR="00D53823">
        <w:rPr>
          <w:rFonts w:eastAsia="Calibri" w:cs="Arial"/>
          <w:color w:val="000000"/>
          <w:lang w:eastAsia="en-GB"/>
        </w:rPr>
        <w:t xml:space="preserve"> Iodine and iodine compounds and for</w:t>
      </w:r>
      <w:r w:rsidR="00D53823" w:rsidRPr="006B5EF2">
        <w:rPr>
          <w:rFonts w:eastAsia="Calibri" w:cs="Arial"/>
          <w:color w:val="000000"/>
          <w:lang w:eastAsia="en-GB"/>
        </w:rPr>
        <w:t xml:space="preserve"> </w:t>
      </w:r>
      <w:r w:rsidR="00D53823">
        <w:rPr>
          <w:rFonts w:eastAsia="Calibri" w:cs="Arial"/>
          <w:color w:val="000000"/>
          <w:lang w:eastAsia="en-GB"/>
        </w:rPr>
        <w:t xml:space="preserve">L(+)Lactic acid for </w:t>
      </w:r>
      <w:r w:rsidR="00D53823" w:rsidRPr="006B5EF2">
        <w:rPr>
          <w:rFonts w:eastAsia="Calibri" w:cs="Arial"/>
          <w:color w:val="000000"/>
          <w:lang w:eastAsia="en-GB"/>
        </w:rPr>
        <w:t>all the environmental compartments and for all the uses presented in SPC.</w:t>
      </w:r>
      <w:r w:rsidR="008B2A8D">
        <w:rPr>
          <w:rFonts w:eastAsia="Calibri" w:cs="Arial"/>
          <w:color w:val="000000"/>
          <w:lang w:eastAsia="en-GB"/>
        </w:rPr>
        <w:t xml:space="preserve"> </w:t>
      </w:r>
    </w:p>
    <w:p w14:paraId="23468B42" w14:textId="065C95F4" w:rsidR="008C7AD3" w:rsidRDefault="008C7AD3" w:rsidP="00D14F77">
      <w:pPr>
        <w:spacing w:line="260" w:lineRule="atLeast"/>
        <w:jc w:val="both"/>
        <w:rPr>
          <w:rFonts w:eastAsia="Calibri" w:cs="Arial"/>
          <w:color w:val="000000"/>
          <w:lang w:eastAsia="en-GB"/>
        </w:rPr>
      </w:pPr>
    </w:p>
    <w:p w14:paraId="3C4D252D" w14:textId="77777777" w:rsidR="008C7AD3" w:rsidRPr="00026E84" w:rsidRDefault="008C7AD3" w:rsidP="00D14F77">
      <w:pPr>
        <w:jc w:val="both"/>
        <w:rPr>
          <w:b/>
          <w:bCs/>
          <w:u w:val="single"/>
        </w:rPr>
      </w:pPr>
      <w:r w:rsidRPr="00026E84">
        <w:rPr>
          <w:b/>
          <w:bCs/>
          <w:u w:val="single"/>
        </w:rPr>
        <w:t>Overall conclusion</w:t>
      </w:r>
    </w:p>
    <w:p w14:paraId="7697F1E2" w14:textId="77777777" w:rsidR="008C7AD3" w:rsidRPr="00026E84" w:rsidRDefault="008C7AD3" w:rsidP="00D14F77">
      <w:pPr>
        <w:jc w:val="both"/>
        <w:rPr>
          <w:lang w:val="en-US" w:eastAsia="x-none"/>
        </w:rPr>
      </w:pPr>
    </w:p>
    <w:p w14:paraId="3E275055" w14:textId="0BC2507B" w:rsidR="008C7AD3" w:rsidRPr="00026E84" w:rsidRDefault="008C7AD3" w:rsidP="00D14F77">
      <w:pPr>
        <w:jc w:val="both"/>
        <w:rPr>
          <w:lang w:val="en-US" w:eastAsia="x-none"/>
        </w:rPr>
      </w:pPr>
      <w:r w:rsidRPr="00026E84">
        <w:rPr>
          <w:lang w:val="en-US" w:eastAsia="x-none"/>
        </w:rPr>
        <w:t xml:space="preserve">The conformity to the uniform principles, as defined in the Regulation (EU) </w:t>
      </w:r>
      <w:r w:rsidRPr="00026E84">
        <w:rPr>
          <w:bCs/>
          <w:lang w:val="x-none" w:eastAsia="x-none"/>
        </w:rPr>
        <w:t>n°</w:t>
      </w:r>
      <w:r w:rsidRPr="00026E84">
        <w:rPr>
          <w:bCs/>
          <w:lang w:val="en-US" w:eastAsia="x-none"/>
        </w:rPr>
        <w:t xml:space="preserve">528/2012, for the </w:t>
      </w:r>
      <w:r w:rsidRPr="00850DB8">
        <w:rPr>
          <w:bCs/>
          <w:lang w:val="en-US" w:eastAsia="x-none"/>
        </w:rPr>
        <w:t>product</w:t>
      </w:r>
      <w:r w:rsidR="00850DB8">
        <w:rPr>
          <w:bCs/>
          <w:lang w:val="en-US" w:eastAsia="x-none"/>
        </w:rPr>
        <w:t xml:space="preserve"> ALGOFILM</w:t>
      </w:r>
      <w:r w:rsidRPr="00026E84">
        <w:rPr>
          <w:bCs/>
          <w:lang w:val="en-US" w:eastAsia="x-none"/>
        </w:rPr>
        <w:t xml:space="preserve"> is reported in the table below, for each use.</w:t>
      </w:r>
      <w:r w:rsidRPr="00026E84">
        <w:rPr>
          <w:lang w:val="en-US" w:eastAsia="x-none"/>
        </w:rPr>
        <w:t xml:space="preserve">  </w:t>
      </w:r>
    </w:p>
    <w:p w14:paraId="05418FA5" w14:textId="77777777" w:rsidR="008C7AD3" w:rsidRPr="00026E84" w:rsidRDefault="008C7AD3" w:rsidP="008C7AD3">
      <w:pPr>
        <w:ind w:right="281"/>
        <w:jc w:val="both"/>
        <w:rPr>
          <w:lang w:val="en-US" w:eastAsia="x-none"/>
        </w:rPr>
      </w:pPr>
    </w:p>
    <w:p w14:paraId="3F305A59" w14:textId="77777777" w:rsidR="008C7AD3" w:rsidRPr="00026E84" w:rsidRDefault="008C7AD3" w:rsidP="008C7AD3">
      <w:pPr>
        <w:keepNext/>
        <w:ind w:right="281"/>
        <w:jc w:val="both"/>
        <w:rPr>
          <w:b/>
          <w:lang w:eastAsia="fr-F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118"/>
        <w:gridCol w:w="3402"/>
        <w:gridCol w:w="1843"/>
      </w:tblGrid>
      <w:tr w:rsidR="008C7AD3" w:rsidRPr="00026E84" w14:paraId="2F52A0A5" w14:textId="77777777" w:rsidTr="00AB1CDB">
        <w:trPr>
          <w:trHeight w:val="545"/>
        </w:trPr>
        <w:tc>
          <w:tcPr>
            <w:tcW w:w="1447" w:type="dxa"/>
            <w:vAlign w:val="center"/>
          </w:tcPr>
          <w:p w14:paraId="3D06E505" w14:textId="77777777" w:rsidR="008C7AD3" w:rsidRPr="00026E84" w:rsidRDefault="008C7AD3" w:rsidP="00C850BA">
            <w:pPr>
              <w:keepNext/>
              <w:ind w:right="281"/>
              <w:jc w:val="both"/>
              <w:outlineLvl w:val="1"/>
              <w:rPr>
                <w:rFonts w:cs="Arial"/>
                <w:b/>
                <w:lang w:val="sv-SE" w:eastAsia="sv-SE"/>
              </w:rPr>
            </w:pPr>
            <w:r w:rsidRPr="00026E84">
              <w:rPr>
                <w:rFonts w:cs="Arial"/>
                <w:b/>
                <w:lang w:val="sv-SE" w:eastAsia="sv-SE"/>
              </w:rPr>
              <w:t>Uses</w:t>
            </w:r>
          </w:p>
        </w:tc>
        <w:tc>
          <w:tcPr>
            <w:tcW w:w="3118" w:type="dxa"/>
            <w:vAlign w:val="center"/>
          </w:tcPr>
          <w:p w14:paraId="4C8CBEBE" w14:textId="77777777" w:rsidR="008C7AD3" w:rsidRPr="00026E84" w:rsidRDefault="008C7AD3" w:rsidP="00C850BA">
            <w:pPr>
              <w:keepNext/>
              <w:autoSpaceDE w:val="0"/>
              <w:autoSpaceDN w:val="0"/>
              <w:adjustRightInd w:val="0"/>
              <w:ind w:right="281"/>
              <w:jc w:val="both"/>
              <w:rPr>
                <w:rFonts w:cs="Arial"/>
                <w:b/>
                <w:lang w:val="sv-SE" w:eastAsia="sv-SE"/>
              </w:rPr>
            </w:pPr>
            <w:r w:rsidRPr="00026E84">
              <w:rPr>
                <w:rFonts w:cs="Arial"/>
                <w:b/>
                <w:lang w:val="sv-SE" w:eastAsia="sv-SE"/>
              </w:rPr>
              <w:t>Doses</w:t>
            </w:r>
          </w:p>
        </w:tc>
        <w:tc>
          <w:tcPr>
            <w:tcW w:w="3402" w:type="dxa"/>
            <w:vAlign w:val="center"/>
          </w:tcPr>
          <w:p w14:paraId="4E7E5544" w14:textId="77777777" w:rsidR="008C7AD3" w:rsidRPr="00026E84" w:rsidRDefault="008C7AD3" w:rsidP="00C850BA">
            <w:pPr>
              <w:keepNext/>
              <w:autoSpaceDE w:val="0"/>
              <w:autoSpaceDN w:val="0"/>
              <w:adjustRightInd w:val="0"/>
              <w:ind w:right="281"/>
              <w:jc w:val="both"/>
              <w:rPr>
                <w:rFonts w:cs="Arial"/>
                <w:b/>
                <w:lang w:val="sv-SE" w:eastAsia="sv-SE"/>
              </w:rPr>
            </w:pPr>
            <w:r w:rsidRPr="00026E84">
              <w:rPr>
                <w:rFonts w:cs="Arial"/>
                <w:b/>
                <w:lang w:val="sv-SE" w:eastAsia="sv-SE"/>
              </w:rPr>
              <w:t>Conditions of use</w:t>
            </w:r>
          </w:p>
        </w:tc>
        <w:tc>
          <w:tcPr>
            <w:tcW w:w="1843" w:type="dxa"/>
            <w:vAlign w:val="center"/>
          </w:tcPr>
          <w:p w14:paraId="5F99EE2A" w14:textId="77777777" w:rsidR="008C7AD3" w:rsidRPr="00026E84" w:rsidRDefault="008C7AD3" w:rsidP="00002341">
            <w:pPr>
              <w:keepNext/>
              <w:autoSpaceDE w:val="0"/>
              <w:autoSpaceDN w:val="0"/>
              <w:adjustRightInd w:val="0"/>
              <w:ind w:right="-106"/>
              <w:jc w:val="both"/>
              <w:rPr>
                <w:rFonts w:cs="Arial"/>
                <w:b/>
                <w:lang w:val="sv-SE" w:eastAsia="sv-SE"/>
              </w:rPr>
            </w:pPr>
            <w:r w:rsidRPr="00026E84">
              <w:rPr>
                <w:rFonts w:cs="Arial"/>
                <w:b/>
                <w:lang w:val="sv-SE" w:eastAsia="sv-SE"/>
              </w:rPr>
              <w:t>Conclusions</w:t>
            </w:r>
          </w:p>
        </w:tc>
      </w:tr>
      <w:tr w:rsidR="00850DB8" w:rsidRPr="00026E84" w14:paraId="011BEDE1" w14:textId="77777777" w:rsidTr="00AB1CDB">
        <w:trPr>
          <w:trHeight w:val="1820"/>
        </w:trPr>
        <w:tc>
          <w:tcPr>
            <w:tcW w:w="1447" w:type="dxa"/>
            <w:shd w:val="clear" w:color="auto" w:fill="auto"/>
            <w:vAlign w:val="center"/>
          </w:tcPr>
          <w:p w14:paraId="43416464" w14:textId="77777777" w:rsidR="00850DB8" w:rsidRPr="008C5B54" w:rsidRDefault="00850DB8" w:rsidP="00850DB8">
            <w:r w:rsidRPr="008C5B54">
              <w:t>Bacteria</w:t>
            </w:r>
          </w:p>
          <w:p w14:paraId="799B99C3" w14:textId="3EB53362" w:rsidR="00850DB8" w:rsidRPr="00026E84" w:rsidRDefault="00850DB8" w:rsidP="00850DB8">
            <w:pPr>
              <w:keepNext/>
              <w:tabs>
                <w:tab w:val="left" w:pos="426"/>
              </w:tabs>
              <w:ind w:right="281"/>
              <w:jc w:val="both"/>
              <w:textAlignment w:val="top"/>
              <w:rPr>
                <w:rFonts w:cs="Arial"/>
                <w:lang w:val="sv-SE" w:eastAsia="sv-SE"/>
              </w:rPr>
            </w:pPr>
            <w:r w:rsidRPr="008C5B54">
              <w:t>Yeasts</w:t>
            </w:r>
          </w:p>
        </w:tc>
        <w:tc>
          <w:tcPr>
            <w:tcW w:w="3118" w:type="dxa"/>
            <w:shd w:val="clear" w:color="auto" w:fill="auto"/>
            <w:vAlign w:val="center"/>
          </w:tcPr>
          <w:p w14:paraId="5D552F33" w14:textId="77777777" w:rsidR="00850DB8" w:rsidRDefault="00850DB8" w:rsidP="00850DB8">
            <w:pPr>
              <w:suppressAutoHyphens w:val="0"/>
              <w:jc w:val="both"/>
              <w:rPr>
                <w:rFonts w:cs="Times New Roman"/>
                <w:lang w:eastAsia="de-DE"/>
              </w:rPr>
            </w:pPr>
            <w:r>
              <w:t>2 mL product/teat (4 teats/animals equal to 8 mL product by animal</w:t>
            </w:r>
            <w:r w:rsidRPr="00A90271">
              <w:rPr>
                <w:rFonts w:cs="Times New Roman"/>
                <w:lang w:eastAsia="de-DE"/>
              </w:rPr>
              <w:t xml:space="preserve"> </w:t>
            </w:r>
          </w:p>
          <w:p w14:paraId="1A41399D" w14:textId="77777777" w:rsidR="00850DB8" w:rsidRDefault="00850DB8" w:rsidP="00850DB8">
            <w:pPr>
              <w:suppressAutoHyphens w:val="0"/>
              <w:jc w:val="both"/>
              <w:rPr>
                <w:rFonts w:cs="Times New Roman"/>
                <w:lang w:eastAsia="de-DE"/>
              </w:rPr>
            </w:pPr>
          </w:p>
          <w:p w14:paraId="45A0EF0D" w14:textId="204BE29C" w:rsidR="00850DB8" w:rsidRPr="00A90271" w:rsidRDefault="00850DB8" w:rsidP="00850DB8">
            <w:pPr>
              <w:suppressAutoHyphens w:val="0"/>
              <w:jc w:val="both"/>
              <w:rPr>
                <w:rFonts w:cs="Times New Roman"/>
                <w:lang w:eastAsia="de-DE"/>
              </w:rPr>
            </w:pPr>
            <w:r w:rsidRPr="00A90271">
              <w:rPr>
                <w:rFonts w:cs="Times New Roman"/>
                <w:lang w:eastAsia="de-DE"/>
              </w:rPr>
              <w:t xml:space="preserve">or 2 teats/animal equal to 4 ml of product by animal) </w:t>
            </w:r>
          </w:p>
          <w:p w14:paraId="49FFAD46" w14:textId="77777777" w:rsidR="00850DB8" w:rsidRDefault="00850DB8" w:rsidP="00850DB8">
            <w:pPr>
              <w:snapToGrid w:val="0"/>
            </w:pPr>
          </w:p>
          <w:p w14:paraId="6166D456" w14:textId="159DF9B9" w:rsidR="00850DB8" w:rsidRPr="00026E84" w:rsidRDefault="00850DB8" w:rsidP="00850DB8">
            <w:pPr>
              <w:snapToGrid w:val="0"/>
              <w:rPr>
                <w:rFonts w:cs="Arial"/>
                <w:lang w:val="sv-SE" w:eastAsia="sv-SE"/>
              </w:rPr>
            </w:pPr>
            <w:r>
              <w:rPr>
                <w:rFonts w:cs="Arial"/>
                <w:bCs/>
                <w:lang w:val="en-US"/>
              </w:rPr>
              <w:t>Twice a day after each milking</w:t>
            </w:r>
          </w:p>
        </w:tc>
        <w:tc>
          <w:tcPr>
            <w:tcW w:w="3402" w:type="dxa"/>
            <w:shd w:val="clear" w:color="auto" w:fill="auto"/>
            <w:vAlign w:val="center"/>
          </w:tcPr>
          <w:p w14:paraId="6290E089" w14:textId="58DB83BD" w:rsidR="00850DB8" w:rsidRDefault="00850DB8" w:rsidP="00850DB8">
            <w:pPr>
              <w:keepNext/>
              <w:autoSpaceDE w:val="0"/>
              <w:autoSpaceDN w:val="0"/>
              <w:adjustRightInd w:val="0"/>
              <w:jc w:val="both"/>
              <w:rPr>
                <w:rFonts w:cs="Times New Roman"/>
                <w:lang w:eastAsia="de-DE"/>
              </w:rPr>
            </w:pPr>
            <w:r w:rsidRPr="00A90271">
              <w:rPr>
                <w:rFonts w:cs="Times New Roman"/>
                <w:lang w:eastAsia="de-DE"/>
              </w:rPr>
              <w:t>The ready to use product is applied af</w:t>
            </w:r>
            <w:r>
              <w:rPr>
                <w:rFonts w:cs="Times New Roman"/>
                <w:lang w:eastAsia="de-DE"/>
              </w:rPr>
              <w:t xml:space="preserve">ter milking on dairy </w:t>
            </w:r>
            <w:r w:rsidRPr="00A90271">
              <w:rPr>
                <w:rFonts w:cs="Times New Roman"/>
                <w:lang w:eastAsia="de-DE"/>
              </w:rPr>
              <w:t xml:space="preserve">animals </w:t>
            </w:r>
            <w:r w:rsidRPr="00983AA2">
              <w:rPr>
                <w:rFonts w:cs="Times New Roman"/>
                <w:lang w:eastAsia="de-DE"/>
              </w:rPr>
              <w:t>(</w:t>
            </w:r>
            <w:r w:rsidRPr="00983AA2">
              <w:rPr>
                <w:rFonts w:cs="Arial"/>
                <w:iCs/>
                <w:lang w:val="en-US" w:eastAsia="de-DE"/>
              </w:rPr>
              <w:t>cows, ewes or goats)</w:t>
            </w:r>
            <w:r w:rsidRPr="00A90271">
              <w:rPr>
                <w:rFonts w:cs="Times New Roman"/>
                <w:lang w:eastAsia="de-DE"/>
              </w:rPr>
              <w:t xml:space="preserve"> </w:t>
            </w:r>
          </w:p>
          <w:p w14:paraId="7859D388" w14:textId="77777777" w:rsidR="00850DB8" w:rsidRDefault="00850DB8" w:rsidP="00850DB8">
            <w:pPr>
              <w:keepNext/>
              <w:autoSpaceDE w:val="0"/>
              <w:autoSpaceDN w:val="0"/>
              <w:adjustRightInd w:val="0"/>
              <w:jc w:val="both"/>
              <w:rPr>
                <w:rFonts w:cs="Times New Roman"/>
                <w:lang w:eastAsia="de-DE"/>
              </w:rPr>
            </w:pPr>
          </w:p>
          <w:p w14:paraId="1F90D499" w14:textId="0649370A" w:rsidR="00850DB8" w:rsidRDefault="00850DB8" w:rsidP="00850DB8">
            <w:pPr>
              <w:keepNext/>
              <w:autoSpaceDE w:val="0"/>
              <w:autoSpaceDN w:val="0"/>
              <w:adjustRightInd w:val="0"/>
              <w:jc w:val="both"/>
              <w:rPr>
                <w:rFonts w:cs="Times New Roman"/>
                <w:lang w:eastAsia="de-DE"/>
              </w:rPr>
            </w:pPr>
            <w:r w:rsidRPr="00A90271">
              <w:rPr>
                <w:rFonts w:cs="Times New Roman"/>
                <w:lang w:eastAsia="de-DE"/>
              </w:rPr>
              <w:t>Manual or automatic application by dipping the teats</w:t>
            </w:r>
          </w:p>
          <w:p w14:paraId="41D1299D" w14:textId="77777777" w:rsidR="00850DB8" w:rsidRDefault="00850DB8" w:rsidP="00850DB8">
            <w:pPr>
              <w:keepNext/>
              <w:autoSpaceDE w:val="0"/>
              <w:autoSpaceDN w:val="0"/>
              <w:adjustRightInd w:val="0"/>
              <w:jc w:val="both"/>
              <w:rPr>
                <w:rFonts w:cs="Times New Roman"/>
                <w:lang w:eastAsia="de-DE"/>
              </w:rPr>
            </w:pPr>
          </w:p>
          <w:p w14:paraId="247AC056" w14:textId="7397E345" w:rsidR="00850DB8" w:rsidRDefault="00850DB8" w:rsidP="00850DB8">
            <w:pPr>
              <w:keepNext/>
              <w:autoSpaceDE w:val="0"/>
              <w:autoSpaceDN w:val="0"/>
              <w:adjustRightInd w:val="0"/>
              <w:jc w:val="both"/>
            </w:pPr>
            <w:r w:rsidRPr="00CC3066">
              <w:t>Professional</w:t>
            </w:r>
            <w:r>
              <w:t xml:space="preserve"> users</w:t>
            </w:r>
          </w:p>
          <w:p w14:paraId="24F6C02F" w14:textId="77777777" w:rsidR="00850DB8" w:rsidRDefault="00850DB8" w:rsidP="00850DB8">
            <w:pPr>
              <w:keepNext/>
              <w:autoSpaceDE w:val="0"/>
              <w:autoSpaceDN w:val="0"/>
              <w:adjustRightInd w:val="0"/>
              <w:jc w:val="both"/>
              <w:rPr>
                <w:rFonts w:cs="Times New Roman"/>
                <w:lang w:eastAsia="de-DE"/>
              </w:rPr>
            </w:pPr>
          </w:p>
          <w:p w14:paraId="3855180B" w14:textId="68D53D69" w:rsidR="00850DB8" w:rsidRDefault="00850DB8" w:rsidP="00850DB8">
            <w:pPr>
              <w:suppressAutoHyphens w:val="0"/>
              <w:jc w:val="both"/>
              <w:rPr>
                <w:rFonts w:cs="Times New Roman"/>
                <w:lang w:eastAsia="de-DE"/>
              </w:rPr>
            </w:pPr>
            <w:r w:rsidRPr="00A90271">
              <w:rPr>
                <w:rFonts w:cs="Times New Roman"/>
                <w:lang w:eastAsia="de-DE"/>
              </w:rPr>
              <w:t>Contact time: 5 minutes</w:t>
            </w:r>
          </w:p>
          <w:p w14:paraId="57A1C1AE" w14:textId="77777777" w:rsidR="00850DB8" w:rsidRPr="00A90271" w:rsidRDefault="00850DB8" w:rsidP="00850DB8">
            <w:pPr>
              <w:suppressAutoHyphens w:val="0"/>
              <w:jc w:val="both"/>
              <w:rPr>
                <w:rFonts w:cs="Times New Roman"/>
                <w:lang w:eastAsia="de-DE"/>
              </w:rPr>
            </w:pPr>
          </w:p>
          <w:p w14:paraId="40ECC2E1" w14:textId="0CD2511C" w:rsidR="00850DB8" w:rsidRPr="00026E84" w:rsidRDefault="00850DB8" w:rsidP="00850DB8">
            <w:pPr>
              <w:keepNext/>
              <w:autoSpaceDE w:val="0"/>
              <w:autoSpaceDN w:val="0"/>
              <w:adjustRightInd w:val="0"/>
              <w:jc w:val="both"/>
              <w:rPr>
                <w:rFonts w:cs="Arial"/>
                <w:lang w:val="sv-SE" w:eastAsia="sv-SE"/>
              </w:rPr>
            </w:pPr>
            <w:r w:rsidRPr="00A90271">
              <w:rPr>
                <w:rFonts w:cs="Times New Roman"/>
                <w:lang w:eastAsia="de-DE"/>
              </w:rPr>
              <w:t>Ambient temperature</w:t>
            </w:r>
          </w:p>
        </w:tc>
        <w:tc>
          <w:tcPr>
            <w:tcW w:w="1843" w:type="dxa"/>
            <w:shd w:val="clear" w:color="auto" w:fill="auto"/>
            <w:vAlign w:val="center"/>
          </w:tcPr>
          <w:p w14:paraId="688994BC" w14:textId="1277BD1C" w:rsidR="00850DB8" w:rsidRPr="00026E84" w:rsidRDefault="00426285" w:rsidP="00AB1CDB">
            <w:pPr>
              <w:keepNext/>
              <w:autoSpaceDE w:val="0"/>
              <w:autoSpaceDN w:val="0"/>
              <w:adjustRightInd w:val="0"/>
              <w:jc w:val="both"/>
              <w:rPr>
                <w:rFonts w:cs="Arial"/>
                <w:b/>
                <w:lang w:val="sv-SE" w:eastAsia="sv-SE"/>
              </w:rPr>
            </w:pPr>
            <w:r>
              <w:rPr>
                <w:rFonts w:cs="Arial"/>
                <w:b/>
                <w:lang w:val="sv-SE" w:eastAsia="sv-SE"/>
              </w:rPr>
              <w:t>Acceptable</w:t>
            </w:r>
            <w:r w:rsidR="00AB1CDB">
              <w:rPr>
                <w:rFonts w:cs="Arial"/>
                <w:b/>
                <w:lang w:val="sv-SE" w:eastAsia="sv-SE"/>
              </w:rPr>
              <w:t xml:space="preserve"> </w:t>
            </w:r>
          </w:p>
        </w:tc>
      </w:tr>
    </w:tbl>
    <w:p w14:paraId="5C15F533" w14:textId="77777777" w:rsidR="009D0C0B" w:rsidRDefault="00FA480B">
      <w:pPr>
        <w:pStyle w:val="Titre1"/>
        <w:pageBreakBefore/>
      </w:pPr>
      <w:bookmarkStart w:id="3" w:name="_Toc74732440"/>
      <w:r>
        <w:rPr>
          <w:rFonts w:eastAsia="Calibri"/>
        </w:rPr>
        <w:lastRenderedPageBreak/>
        <w:t>ASSESSMENT REPORT</w:t>
      </w:r>
      <w:bookmarkEnd w:id="3"/>
    </w:p>
    <w:p w14:paraId="516C8C8E" w14:textId="77777777" w:rsidR="009D0C0B" w:rsidRDefault="00FA480B">
      <w:pPr>
        <w:pStyle w:val="Titre2"/>
      </w:pPr>
      <w:bookmarkStart w:id="4" w:name="_Toc74732441"/>
      <w:bookmarkStart w:id="5" w:name="d0e6"/>
      <w:bookmarkStart w:id="6" w:name="d0e7"/>
      <w:r>
        <w:t>Summary of the product assessment</w:t>
      </w:r>
      <w:bookmarkEnd w:id="4"/>
      <w:r>
        <w:t xml:space="preserve"> </w:t>
      </w:r>
    </w:p>
    <w:p w14:paraId="4C58F40F" w14:textId="77777777" w:rsidR="009D0C0B" w:rsidRDefault="00FA480B">
      <w:pPr>
        <w:pStyle w:val="Titre3"/>
      </w:pPr>
      <w:bookmarkStart w:id="7" w:name="_Toc74732442"/>
      <w:r>
        <w:t>Administrative information</w:t>
      </w:r>
      <w:bookmarkEnd w:id="7"/>
    </w:p>
    <w:p w14:paraId="0B97C070" w14:textId="77777777" w:rsidR="009D0C0B" w:rsidRDefault="00FA480B">
      <w:pPr>
        <w:pStyle w:val="Titre4"/>
        <w:rPr>
          <w:b/>
          <w:bCs/>
          <w:lang w:eastAsia="en-GB"/>
        </w:rPr>
      </w:pPr>
      <w:bookmarkStart w:id="8" w:name="d0e10"/>
      <w:bookmarkStart w:id="9" w:name="_Toc74732443"/>
      <w:bookmarkEnd w:id="5"/>
      <w:bookmarkEnd w:id="6"/>
      <w:r>
        <w:t>Identifier of the product</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2288E690" w14:textId="77777777">
        <w:trPr>
          <w:tblHeader/>
        </w:trPr>
        <w:tc>
          <w:tcPr>
            <w:tcW w:w="3397" w:type="dxa"/>
            <w:tcBorders>
              <w:top w:val="single" w:sz="4" w:space="0" w:color="000000"/>
              <w:left w:val="single" w:sz="4" w:space="0" w:color="000000"/>
              <w:bottom w:val="single" w:sz="4" w:space="0" w:color="000000"/>
            </w:tcBorders>
            <w:shd w:val="clear" w:color="auto" w:fill="auto"/>
          </w:tcPr>
          <w:p w14:paraId="57BE4C1F"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3A7B2D62" w14:textId="77777777" w:rsidR="009D0C0B" w:rsidRDefault="00FA480B">
            <w:r>
              <w:rPr>
                <w:b/>
                <w:bCs/>
                <w:szCs w:val="24"/>
                <w:lang w:eastAsia="en-GB"/>
              </w:rPr>
              <w:t>Country (if relevant)</w:t>
            </w:r>
          </w:p>
        </w:tc>
      </w:tr>
      <w:tr w:rsidR="009D0C0B" w14:paraId="184A2AF6" w14:textId="77777777">
        <w:tc>
          <w:tcPr>
            <w:tcW w:w="3397" w:type="dxa"/>
            <w:tcBorders>
              <w:left w:val="single" w:sz="4" w:space="0" w:color="000000"/>
              <w:bottom w:val="single" w:sz="4" w:space="0" w:color="000000"/>
            </w:tcBorders>
            <w:shd w:val="clear" w:color="auto" w:fill="auto"/>
          </w:tcPr>
          <w:p w14:paraId="42921641" w14:textId="77777777" w:rsidR="00600982" w:rsidRDefault="00600982">
            <w:pPr>
              <w:snapToGrid w:val="0"/>
            </w:pPr>
            <w:r>
              <w:t>ALGOFILM</w:t>
            </w:r>
          </w:p>
          <w:p w14:paraId="7C6F4EEB" w14:textId="77777777" w:rsidR="00D6048A" w:rsidRDefault="00D6048A">
            <w:pPr>
              <w:snapToGrid w:val="0"/>
              <w:rPr>
                <w:u w:val="single"/>
              </w:rPr>
            </w:pPr>
            <w:r w:rsidRPr="00D6048A">
              <w:rPr>
                <w:u w:val="single"/>
              </w:rPr>
              <w:t xml:space="preserve">Trade names: </w:t>
            </w:r>
          </w:p>
          <w:p w14:paraId="7F0E54F4" w14:textId="77777777" w:rsidR="00D6048A" w:rsidRDefault="00D6048A">
            <w:pPr>
              <w:snapToGrid w:val="0"/>
            </w:pPr>
            <w:r>
              <w:t>TEAT FILM by CTH</w:t>
            </w:r>
          </w:p>
          <w:p w14:paraId="22919C3B" w14:textId="77777777" w:rsidR="00D6048A" w:rsidRDefault="00D6048A">
            <w:pPr>
              <w:snapToGrid w:val="0"/>
            </w:pPr>
            <w:r>
              <w:t>IODIFILM by CTH</w:t>
            </w:r>
          </w:p>
          <w:p w14:paraId="7901F39B" w14:textId="3F8403F9" w:rsidR="00D6048A" w:rsidRPr="00D6048A" w:rsidRDefault="00D6048A">
            <w:pPr>
              <w:snapToGrid w:val="0"/>
            </w:pPr>
            <w:r>
              <w:t>EPRO</w:t>
            </w:r>
          </w:p>
        </w:tc>
        <w:tc>
          <w:tcPr>
            <w:tcW w:w="5680" w:type="dxa"/>
            <w:tcBorders>
              <w:left w:val="single" w:sz="4" w:space="0" w:color="000000"/>
              <w:bottom w:val="single" w:sz="4" w:space="0" w:color="000000"/>
              <w:right w:val="single" w:sz="4" w:space="0" w:color="000000"/>
            </w:tcBorders>
            <w:shd w:val="clear" w:color="auto" w:fill="auto"/>
          </w:tcPr>
          <w:p w14:paraId="5AEB8495" w14:textId="77777777" w:rsidR="009D0C0B" w:rsidRDefault="009D0C0B">
            <w:pPr>
              <w:snapToGrid w:val="0"/>
            </w:pPr>
          </w:p>
        </w:tc>
      </w:tr>
    </w:tbl>
    <w:p w14:paraId="705EE93E" w14:textId="77777777" w:rsidR="009D0C0B" w:rsidRDefault="00FA480B">
      <w:pPr>
        <w:pStyle w:val="Titre4"/>
        <w:rPr>
          <w:b/>
          <w:bCs/>
          <w:color w:val="000000"/>
          <w:lang w:eastAsia="en-GB"/>
        </w:rPr>
      </w:pPr>
      <w:bookmarkStart w:id="10" w:name="_Toc74732444"/>
      <w:bookmarkStart w:id="11" w:name="d0e350"/>
      <w:r>
        <w:t>Authorisation holder</w:t>
      </w:r>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14:paraId="37B54E43"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0426F37A" w14:textId="77777777" w:rsidR="009D0C0B" w:rsidRDefault="00FA480B">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5573DD9" w14:textId="77777777"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EECA651" w14:textId="77777777" w:rsidR="009D0C0B" w:rsidRPr="00600982" w:rsidRDefault="00600982">
            <w:pPr>
              <w:snapToGrid w:val="0"/>
            </w:pPr>
            <w:r>
              <w:t>Centre Technique d’Hygiène (CTH)</w:t>
            </w:r>
          </w:p>
        </w:tc>
      </w:tr>
      <w:tr w:rsidR="009D0C0B" w14:paraId="6F40A810"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41883C34" w14:textId="77777777" w:rsidR="009D0C0B" w:rsidRDefault="009D0C0B"/>
        </w:tc>
        <w:tc>
          <w:tcPr>
            <w:tcW w:w="1115" w:type="dxa"/>
            <w:tcBorders>
              <w:left w:val="single" w:sz="4" w:space="0" w:color="auto"/>
              <w:bottom w:val="single" w:sz="4" w:space="0" w:color="000000"/>
            </w:tcBorders>
            <w:shd w:val="clear" w:color="auto" w:fill="auto"/>
          </w:tcPr>
          <w:p w14:paraId="227A64E5" w14:textId="77777777"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4C7D5C0A" w14:textId="77777777" w:rsidR="00600982" w:rsidRPr="00600982" w:rsidRDefault="00600982" w:rsidP="00600982">
            <w:pPr>
              <w:snapToGrid w:val="0"/>
              <w:rPr>
                <w:lang w:val="fr-FR"/>
              </w:rPr>
            </w:pPr>
            <w:r w:rsidRPr="00600982">
              <w:rPr>
                <w:lang w:val="fr-FR"/>
              </w:rPr>
              <w:t>128 avenue chateau fleury</w:t>
            </w:r>
          </w:p>
          <w:p w14:paraId="0040C3FA" w14:textId="77777777" w:rsidR="00600982" w:rsidRPr="00600982" w:rsidRDefault="00600982" w:rsidP="00600982">
            <w:pPr>
              <w:snapToGrid w:val="0"/>
              <w:rPr>
                <w:lang w:val="fr-FR"/>
              </w:rPr>
            </w:pPr>
            <w:r w:rsidRPr="00600982">
              <w:rPr>
                <w:lang w:val="fr-FR"/>
              </w:rPr>
              <w:t>26104 Romans sur isere</w:t>
            </w:r>
          </w:p>
          <w:p w14:paraId="4FAB0737" w14:textId="77777777" w:rsidR="009D0C0B" w:rsidRDefault="00600982" w:rsidP="00600982">
            <w:pPr>
              <w:snapToGrid w:val="0"/>
              <w:rPr>
                <w:b/>
              </w:rPr>
            </w:pPr>
            <w:r w:rsidRPr="00600982">
              <w:t>France</w:t>
            </w:r>
          </w:p>
        </w:tc>
      </w:tr>
      <w:tr w:rsidR="009D0C0B" w14:paraId="2867D2E8"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1E7C694C"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5E04946" w14:textId="77777777" w:rsidR="009D0C0B" w:rsidRDefault="009D0C0B">
            <w:pPr>
              <w:snapToGrid w:val="0"/>
              <w:rPr>
                <w:b/>
              </w:rPr>
            </w:pPr>
          </w:p>
        </w:tc>
      </w:tr>
      <w:tr w:rsidR="009D0C0B" w14:paraId="70E64799" w14:textId="77777777" w:rsidTr="00F33B28">
        <w:tc>
          <w:tcPr>
            <w:tcW w:w="3397" w:type="dxa"/>
            <w:tcBorders>
              <w:top w:val="single" w:sz="4" w:space="0" w:color="auto"/>
              <w:left w:val="single" w:sz="4" w:space="0" w:color="000000"/>
              <w:bottom w:val="single" w:sz="4" w:space="0" w:color="000000"/>
            </w:tcBorders>
            <w:shd w:val="clear" w:color="auto" w:fill="auto"/>
          </w:tcPr>
          <w:p w14:paraId="3212C4E8"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518BBB8" w14:textId="77777777" w:rsidR="009D0C0B" w:rsidRDefault="009D0C0B">
            <w:pPr>
              <w:snapToGrid w:val="0"/>
              <w:rPr>
                <w:b/>
              </w:rPr>
            </w:pPr>
          </w:p>
        </w:tc>
      </w:tr>
      <w:tr w:rsidR="009D0C0B" w14:paraId="53AC876B" w14:textId="77777777">
        <w:tc>
          <w:tcPr>
            <w:tcW w:w="3397" w:type="dxa"/>
            <w:tcBorders>
              <w:left w:val="single" w:sz="4" w:space="0" w:color="000000"/>
              <w:bottom w:val="single" w:sz="4" w:space="0" w:color="000000"/>
            </w:tcBorders>
            <w:shd w:val="clear" w:color="auto" w:fill="auto"/>
          </w:tcPr>
          <w:p w14:paraId="4D55BCE8"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D3CE1BA" w14:textId="77777777" w:rsidR="009D0C0B" w:rsidRDefault="009D0C0B">
            <w:pPr>
              <w:snapToGrid w:val="0"/>
              <w:rPr>
                <w:b/>
              </w:rPr>
            </w:pPr>
          </w:p>
        </w:tc>
      </w:tr>
    </w:tbl>
    <w:p w14:paraId="1CD3EE9D" w14:textId="77777777" w:rsidR="009D0C0B" w:rsidRDefault="00FA480B">
      <w:pPr>
        <w:pStyle w:val="Titre4"/>
        <w:rPr>
          <w:b/>
          <w:bCs/>
          <w:color w:val="000000"/>
          <w:lang w:eastAsia="en-GB"/>
        </w:rPr>
      </w:pPr>
      <w:bookmarkStart w:id="13" w:name="_Toc74732445"/>
      <w:bookmarkStart w:id="14" w:name="d0e146"/>
      <w:r>
        <w:t>Manufacturer(s) of the products</w:t>
      </w:r>
      <w:bookmarkEnd w:id="13"/>
      <w:r>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149CD297" w14:textId="77777777">
        <w:tc>
          <w:tcPr>
            <w:tcW w:w="3397" w:type="dxa"/>
            <w:tcBorders>
              <w:top w:val="single" w:sz="4" w:space="0" w:color="000000"/>
              <w:left w:val="single" w:sz="4" w:space="0" w:color="000000"/>
              <w:bottom w:val="single" w:sz="4" w:space="0" w:color="000000"/>
            </w:tcBorders>
            <w:shd w:val="clear" w:color="auto" w:fill="auto"/>
          </w:tcPr>
          <w:p w14:paraId="0975AF3E" w14:textId="77777777" w:rsidR="009D0C0B" w:rsidRDefault="00FA480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2D08577" w14:textId="77777777" w:rsidR="009D0C0B" w:rsidRPr="00600982" w:rsidRDefault="00600982">
            <w:pPr>
              <w:snapToGrid w:val="0"/>
            </w:pPr>
            <w:r w:rsidRPr="00600982">
              <w:t>Laboratoire Solutio</w:t>
            </w:r>
          </w:p>
        </w:tc>
      </w:tr>
      <w:tr w:rsidR="009D0C0B" w14:paraId="2709C7C9" w14:textId="77777777">
        <w:tc>
          <w:tcPr>
            <w:tcW w:w="3397" w:type="dxa"/>
            <w:tcBorders>
              <w:left w:val="single" w:sz="4" w:space="0" w:color="000000"/>
              <w:bottom w:val="single" w:sz="4" w:space="0" w:color="000000"/>
            </w:tcBorders>
            <w:shd w:val="clear" w:color="auto" w:fill="auto"/>
          </w:tcPr>
          <w:p w14:paraId="5F47B2B6" w14:textId="77777777" w:rsidR="009D0C0B" w:rsidRDefault="00FA480B">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C9FE860" w14:textId="77777777" w:rsidR="00600982" w:rsidRPr="00600982" w:rsidRDefault="00600982" w:rsidP="00600982">
            <w:pPr>
              <w:snapToGrid w:val="0"/>
            </w:pPr>
            <w:r w:rsidRPr="00600982">
              <w:t>Parc d'activités des Chasses BP147</w:t>
            </w:r>
          </w:p>
          <w:p w14:paraId="7DA2992A" w14:textId="77777777" w:rsidR="00600982" w:rsidRDefault="00600982" w:rsidP="00600982">
            <w:pPr>
              <w:snapToGrid w:val="0"/>
            </w:pPr>
            <w:r>
              <w:t>26100 Romans sur isere</w:t>
            </w:r>
            <w:r w:rsidRPr="00600982">
              <w:t xml:space="preserve"> </w:t>
            </w:r>
          </w:p>
          <w:p w14:paraId="61DAEED8" w14:textId="77777777" w:rsidR="009D0C0B" w:rsidRPr="00600982" w:rsidRDefault="00600982" w:rsidP="00600982">
            <w:pPr>
              <w:snapToGrid w:val="0"/>
            </w:pPr>
            <w:r w:rsidRPr="00600982">
              <w:t>FRANCE</w:t>
            </w:r>
          </w:p>
        </w:tc>
      </w:tr>
      <w:tr w:rsidR="009D0C0B" w14:paraId="4DD73455" w14:textId="77777777">
        <w:tc>
          <w:tcPr>
            <w:tcW w:w="3397" w:type="dxa"/>
            <w:tcBorders>
              <w:left w:val="single" w:sz="4" w:space="0" w:color="000000"/>
              <w:bottom w:val="single" w:sz="4" w:space="0" w:color="000000"/>
            </w:tcBorders>
            <w:shd w:val="clear" w:color="auto" w:fill="auto"/>
          </w:tcPr>
          <w:p w14:paraId="3D423267"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F945EBA" w14:textId="77777777" w:rsidR="00600982" w:rsidRPr="00600982" w:rsidRDefault="00600982" w:rsidP="00600982">
            <w:pPr>
              <w:snapToGrid w:val="0"/>
              <w:rPr>
                <w:lang w:val="fr-FR"/>
              </w:rPr>
            </w:pPr>
            <w:r w:rsidRPr="00600982">
              <w:rPr>
                <w:lang w:val="fr-FR"/>
              </w:rPr>
              <w:t>Parc d'activités des Chasses BP147</w:t>
            </w:r>
          </w:p>
          <w:p w14:paraId="6A02E015" w14:textId="77777777" w:rsidR="00600982" w:rsidRPr="00600982" w:rsidRDefault="00600982" w:rsidP="00600982">
            <w:pPr>
              <w:snapToGrid w:val="0"/>
              <w:rPr>
                <w:lang w:val="fr-FR"/>
              </w:rPr>
            </w:pPr>
            <w:r w:rsidRPr="00600982">
              <w:rPr>
                <w:lang w:val="fr-FR"/>
              </w:rPr>
              <w:t xml:space="preserve">26100 Romans sur isere </w:t>
            </w:r>
          </w:p>
          <w:p w14:paraId="0B5B6FA8" w14:textId="77777777" w:rsidR="009D0C0B" w:rsidRPr="00600982" w:rsidRDefault="00600982" w:rsidP="00600982">
            <w:pPr>
              <w:snapToGrid w:val="0"/>
            </w:pPr>
            <w:r w:rsidRPr="00600982">
              <w:t>FRANCE</w:t>
            </w:r>
          </w:p>
        </w:tc>
      </w:tr>
    </w:tbl>
    <w:p w14:paraId="53FF727A" w14:textId="77777777" w:rsidR="009D0C0B" w:rsidRDefault="00FA480B">
      <w:pPr>
        <w:pStyle w:val="Titre4"/>
        <w:rPr>
          <w:b/>
          <w:bCs/>
          <w:color w:val="000000"/>
          <w:lang w:eastAsia="en-GB"/>
        </w:rPr>
      </w:pPr>
      <w:bookmarkStart w:id="15" w:name="_Toc74732446"/>
      <w:r>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6CE7EAE3" w14:textId="77777777">
        <w:tc>
          <w:tcPr>
            <w:tcW w:w="3397" w:type="dxa"/>
            <w:tcBorders>
              <w:top w:val="single" w:sz="4" w:space="0" w:color="000000"/>
              <w:left w:val="single" w:sz="4" w:space="0" w:color="000000"/>
              <w:bottom w:val="single" w:sz="4" w:space="0" w:color="000000"/>
            </w:tcBorders>
            <w:shd w:val="clear" w:color="auto" w:fill="auto"/>
          </w:tcPr>
          <w:p w14:paraId="09D784BF" w14:textId="77777777" w:rsidR="009D0C0B" w:rsidRDefault="00FA480B">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C0C3F5F" w14:textId="77777777" w:rsidR="009D0C0B" w:rsidRDefault="00600982">
            <w:pPr>
              <w:snapToGrid w:val="0"/>
              <w:rPr>
                <w:b/>
              </w:rPr>
            </w:pPr>
            <w:r w:rsidRPr="00C62B73">
              <w:rPr>
                <w:rFonts w:cs="EUAlbertina"/>
                <w:color w:val="000000"/>
              </w:rPr>
              <w:t>Polyvinylpyrrolidone iodine</w:t>
            </w:r>
            <w:r>
              <w:rPr>
                <w:rFonts w:cs="EUAlbertina"/>
                <w:color w:val="000000"/>
              </w:rPr>
              <w:t xml:space="preserve"> (PVPI)</w:t>
            </w:r>
          </w:p>
        </w:tc>
      </w:tr>
      <w:tr w:rsidR="009D0C0B" w14:paraId="722BD318" w14:textId="77777777">
        <w:tc>
          <w:tcPr>
            <w:tcW w:w="3397" w:type="dxa"/>
            <w:tcBorders>
              <w:left w:val="single" w:sz="4" w:space="0" w:color="000000"/>
              <w:bottom w:val="single" w:sz="4" w:space="0" w:color="000000"/>
            </w:tcBorders>
            <w:shd w:val="clear" w:color="auto" w:fill="auto"/>
          </w:tcPr>
          <w:p w14:paraId="182AFC54"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441EF1B7" w14:textId="77777777" w:rsidR="009D0C0B" w:rsidRDefault="00600982">
            <w:pPr>
              <w:snapToGrid w:val="0"/>
              <w:rPr>
                <w:b/>
              </w:rPr>
            </w:pPr>
            <w:r w:rsidRPr="00631D8F">
              <w:rPr>
                <w:rFonts w:cs="Arial"/>
                <w:bCs/>
                <w:szCs w:val="16"/>
              </w:rPr>
              <w:t>Alcoholes Montplet, S.A</w:t>
            </w:r>
          </w:p>
        </w:tc>
      </w:tr>
      <w:tr w:rsidR="009D0C0B" w14:paraId="24C9E229" w14:textId="77777777">
        <w:tc>
          <w:tcPr>
            <w:tcW w:w="3397" w:type="dxa"/>
            <w:tcBorders>
              <w:left w:val="single" w:sz="4" w:space="0" w:color="000000"/>
              <w:bottom w:val="single" w:sz="4" w:space="0" w:color="000000"/>
            </w:tcBorders>
            <w:shd w:val="clear" w:color="auto" w:fill="auto"/>
          </w:tcPr>
          <w:p w14:paraId="164E22DA" w14:textId="77777777" w:rsidR="009D0C0B" w:rsidRDefault="00FA480B">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E9BC4A9" w14:textId="77777777" w:rsidR="009D0C0B" w:rsidRDefault="00600982" w:rsidP="00600982">
            <w:pPr>
              <w:snapToGrid w:val="0"/>
              <w:rPr>
                <w:rFonts w:cs="Arial"/>
                <w:szCs w:val="16"/>
                <w:lang w:val="en-US"/>
              </w:rPr>
            </w:pPr>
            <w:r w:rsidRPr="00600982">
              <w:rPr>
                <w:rFonts w:cs="Arial"/>
                <w:szCs w:val="16"/>
                <w:lang w:val="en-US"/>
              </w:rPr>
              <w:t>American Iodine Company Inc.</w:t>
            </w:r>
          </w:p>
          <w:p w14:paraId="48D45B77" w14:textId="77777777" w:rsidR="00600982" w:rsidRDefault="00600982" w:rsidP="00600982">
            <w:pPr>
              <w:snapToGrid w:val="0"/>
              <w:rPr>
                <w:rFonts w:cs="Arial"/>
                <w:szCs w:val="16"/>
                <w:lang w:val="en-US"/>
              </w:rPr>
            </w:pPr>
            <w:r>
              <w:rPr>
                <w:rFonts w:cs="Arial"/>
                <w:szCs w:val="16"/>
                <w:lang w:val="en-US"/>
              </w:rPr>
              <w:t>3120 Golden Springs Drive</w:t>
            </w:r>
          </w:p>
          <w:p w14:paraId="15C5B66E" w14:textId="77777777" w:rsidR="0050013A" w:rsidRDefault="0050013A" w:rsidP="00600982">
            <w:pPr>
              <w:snapToGrid w:val="0"/>
              <w:rPr>
                <w:rFonts w:cs="Arial"/>
                <w:szCs w:val="16"/>
                <w:lang w:val="en-US"/>
              </w:rPr>
            </w:pPr>
            <w:r>
              <w:rPr>
                <w:rFonts w:cs="Arial"/>
                <w:szCs w:val="16"/>
                <w:lang w:val="en-US"/>
              </w:rPr>
              <w:t>Plano TX 75025</w:t>
            </w:r>
          </w:p>
          <w:p w14:paraId="5CF45767" w14:textId="77777777" w:rsidR="0050013A" w:rsidRPr="00600982" w:rsidRDefault="0050013A" w:rsidP="00600982">
            <w:pPr>
              <w:snapToGrid w:val="0"/>
            </w:pPr>
            <w:r>
              <w:rPr>
                <w:rFonts w:cs="Arial"/>
                <w:szCs w:val="16"/>
                <w:lang w:val="en-US"/>
              </w:rPr>
              <w:t>United States of America</w:t>
            </w:r>
          </w:p>
        </w:tc>
      </w:tr>
      <w:tr w:rsidR="009D0C0B" w:rsidRPr="0050013A" w14:paraId="08513E93" w14:textId="77777777" w:rsidTr="0050013A">
        <w:trPr>
          <w:trHeight w:val="1085"/>
        </w:trPr>
        <w:tc>
          <w:tcPr>
            <w:tcW w:w="3397" w:type="dxa"/>
            <w:tcBorders>
              <w:left w:val="single" w:sz="4" w:space="0" w:color="000000"/>
              <w:bottom w:val="single" w:sz="4" w:space="0" w:color="auto"/>
            </w:tcBorders>
            <w:shd w:val="clear" w:color="auto" w:fill="auto"/>
          </w:tcPr>
          <w:p w14:paraId="6FF60D44" w14:textId="75E38792" w:rsidR="009D0C0B" w:rsidRDefault="00FA480B">
            <w:pPr>
              <w:rPr>
                <w:b/>
              </w:rPr>
            </w:pPr>
            <w:r>
              <w:rPr>
                <w:b/>
                <w:bCs/>
                <w:color w:val="000000"/>
                <w:szCs w:val="24"/>
                <w:lang w:eastAsia="en-GB"/>
              </w:rPr>
              <w:t>Location of manufacturing sites</w:t>
            </w:r>
            <w:r w:rsidR="00D14F77">
              <w:rPr>
                <w:b/>
                <w:bCs/>
                <w:color w:val="000000"/>
                <w:szCs w:val="24"/>
                <w:lang w:eastAsia="en-GB"/>
              </w:rPr>
              <w:t xml:space="preserve"> </w:t>
            </w:r>
          </w:p>
        </w:tc>
        <w:tc>
          <w:tcPr>
            <w:tcW w:w="5638" w:type="dxa"/>
            <w:tcBorders>
              <w:left w:val="single" w:sz="4" w:space="0" w:color="000000"/>
              <w:bottom w:val="single" w:sz="4" w:space="0" w:color="auto"/>
              <w:right w:val="single" w:sz="4" w:space="0" w:color="000000"/>
            </w:tcBorders>
            <w:shd w:val="clear" w:color="auto" w:fill="auto"/>
          </w:tcPr>
          <w:p w14:paraId="4D67E9C1" w14:textId="77777777" w:rsidR="009D0C0B" w:rsidRPr="0050013A" w:rsidRDefault="0050013A">
            <w:pPr>
              <w:snapToGrid w:val="0"/>
              <w:rPr>
                <w:lang w:val="fr-FR"/>
              </w:rPr>
            </w:pPr>
            <w:r w:rsidRPr="0050013A">
              <w:rPr>
                <w:lang w:val="fr-FR"/>
              </w:rPr>
              <w:t>Cosayach S.A. Compania de Salitre y Yodo</w:t>
            </w:r>
          </w:p>
          <w:p w14:paraId="267F7B4A" w14:textId="77777777" w:rsidR="0050013A" w:rsidRDefault="0050013A">
            <w:pPr>
              <w:snapToGrid w:val="0"/>
              <w:rPr>
                <w:lang w:val="fr-FR"/>
              </w:rPr>
            </w:pPr>
            <w:r>
              <w:rPr>
                <w:lang w:val="fr-FR"/>
              </w:rPr>
              <w:t>Amunategui 178</w:t>
            </w:r>
          </w:p>
          <w:p w14:paraId="03A98820" w14:textId="77777777" w:rsidR="0050013A" w:rsidRDefault="0050013A">
            <w:pPr>
              <w:snapToGrid w:val="0"/>
              <w:rPr>
                <w:lang w:val="fr-FR"/>
              </w:rPr>
            </w:pPr>
            <w:r>
              <w:rPr>
                <w:lang w:val="fr-FR"/>
              </w:rPr>
              <w:t>Santiago</w:t>
            </w:r>
          </w:p>
          <w:p w14:paraId="19D7D69F" w14:textId="77777777" w:rsidR="0050013A" w:rsidRPr="0050013A" w:rsidRDefault="0050013A">
            <w:pPr>
              <w:snapToGrid w:val="0"/>
              <w:rPr>
                <w:lang w:val="fr-FR"/>
              </w:rPr>
            </w:pPr>
            <w:r>
              <w:rPr>
                <w:lang w:val="fr-FR"/>
              </w:rPr>
              <w:t>Chile</w:t>
            </w:r>
          </w:p>
        </w:tc>
      </w:tr>
    </w:tbl>
    <w:p w14:paraId="68059040" w14:textId="77777777" w:rsidR="009D0C0B" w:rsidRPr="0050013A" w:rsidRDefault="009D0C0B">
      <w:pPr>
        <w:rPr>
          <w:lang w:val="fr-FR"/>
        </w:rPr>
        <w:sectPr w:rsidR="009D0C0B" w:rsidRPr="0050013A">
          <w:headerReference w:type="default" r:id="rId12"/>
          <w:footerReference w:type="default" r:id="rId13"/>
          <w:pgSz w:w="11906" w:h="16838"/>
          <w:pgMar w:top="1474" w:right="1247" w:bottom="2013" w:left="1446" w:header="850" w:footer="850" w:gutter="0"/>
          <w:cols w:space="720"/>
          <w:titlePg/>
          <w:docGrid w:linePitch="272"/>
        </w:sectPr>
      </w:pPr>
    </w:p>
    <w:p w14:paraId="387BE3C8" w14:textId="77777777" w:rsidR="0050013A" w:rsidRPr="0050013A" w:rsidRDefault="0050013A" w:rsidP="0050013A">
      <w:pPr>
        <w:pStyle w:val="Absatz"/>
        <w:rPr>
          <w:rFonts w:eastAsia="Calibri"/>
          <w:lang w:val="de-DE" w:eastAsia="en-US"/>
        </w:rPr>
      </w:pPr>
    </w:p>
    <w:p w14:paraId="03DE4527" w14:textId="77777777" w:rsidR="0050013A" w:rsidRDefault="0050013A" w:rsidP="0050013A">
      <w:pPr>
        <w:pStyle w:val="Absatz"/>
        <w:ind w:left="0"/>
        <w:rPr>
          <w:lang w:val="de-DE" w:eastAsia="en-US"/>
        </w:rPr>
      </w:pPr>
    </w:p>
    <w:p w14:paraId="010FA650" w14:textId="77777777" w:rsidR="0050013A" w:rsidRDefault="0050013A" w:rsidP="0050013A">
      <w:pPr>
        <w:pStyle w:val="Absatz"/>
        <w:ind w:left="0"/>
        <w:rPr>
          <w:lang w:val="de-DE"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0013A" w14:paraId="0F4FA872" w14:textId="77777777" w:rsidTr="00AF391D">
        <w:tc>
          <w:tcPr>
            <w:tcW w:w="3397" w:type="dxa"/>
            <w:tcBorders>
              <w:top w:val="single" w:sz="4" w:space="0" w:color="000000"/>
              <w:left w:val="single" w:sz="4" w:space="0" w:color="000000"/>
              <w:bottom w:val="single" w:sz="4" w:space="0" w:color="000000"/>
            </w:tcBorders>
            <w:shd w:val="clear" w:color="auto" w:fill="auto"/>
          </w:tcPr>
          <w:p w14:paraId="506C06EE" w14:textId="77777777" w:rsidR="0050013A" w:rsidRDefault="0050013A" w:rsidP="00AF391D">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B52B752" w14:textId="77777777" w:rsidR="0050013A" w:rsidRDefault="0050013A" w:rsidP="00AF391D">
            <w:pPr>
              <w:snapToGrid w:val="0"/>
              <w:rPr>
                <w:b/>
              </w:rPr>
            </w:pPr>
            <w:r w:rsidRPr="00C62B73">
              <w:rPr>
                <w:rFonts w:cs="EUAlbertina"/>
                <w:color w:val="000000"/>
              </w:rPr>
              <w:t>Polyvinylpyrrolidone iodine</w:t>
            </w:r>
            <w:r>
              <w:rPr>
                <w:rFonts w:cs="EUAlbertina"/>
                <w:color w:val="000000"/>
              </w:rPr>
              <w:t xml:space="preserve"> (PVPI)</w:t>
            </w:r>
          </w:p>
        </w:tc>
      </w:tr>
      <w:tr w:rsidR="0050013A" w14:paraId="5169274E" w14:textId="77777777" w:rsidTr="00AF391D">
        <w:tc>
          <w:tcPr>
            <w:tcW w:w="3397" w:type="dxa"/>
            <w:tcBorders>
              <w:left w:val="single" w:sz="4" w:space="0" w:color="000000"/>
              <w:bottom w:val="single" w:sz="4" w:space="0" w:color="000000"/>
            </w:tcBorders>
            <w:shd w:val="clear" w:color="auto" w:fill="auto"/>
          </w:tcPr>
          <w:p w14:paraId="7DFDE737" w14:textId="77777777" w:rsidR="0050013A" w:rsidRDefault="0050013A" w:rsidP="00AF391D">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09C25F7" w14:textId="77777777" w:rsidR="0050013A" w:rsidRDefault="0050013A" w:rsidP="00AF391D">
            <w:pPr>
              <w:snapToGrid w:val="0"/>
              <w:rPr>
                <w:b/>
              </w:rPr>
            </w:pPr>
            <w:r w:rsidRPr="00631D8F">
              <w:rPr>
                <w:rFonts w:cs="Arial"/>
                <w:bCs/>
                <w:szCs w:val="16"/>
              </w:rPr>
              <w:t>Alcoholes Montplet, S.A</w:t>
            </w:r>
          </w:p>
        </w:tc>
      </w:tr>
      <w:tr w:rsidR="0050013A" w14:paraId="6A530391" w14:textId="77777777" w:rsidTr="00AF391D">
        <w:tc>
          <w:tcPr>
            <w:tcW w:w="3397" w:type="dxa"/>
            <w:tcBorders>
              <w:left w:val="single" w:sz="4" w:space="0" w:color="000000"/>
              <w:bottom w:val="single" w:sz="4" w:space="0" w:color="000000"/>
            </w:tcBorders>
            <w:shd w:val="clear" w:color="auto" w:fill="auto"/>
          </w:tcPr>
          <w:p w14:paraId="4A15CC7A" w14:textId="77777777" w:rsidR="0050013A" w:rsidRDefault="0050013A" w:rsidP="00AF391D">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15248CD" w14:textId="77777777" w:rsidR="0050013A" w:rsidRDefault="0050013A" w:rsidP="00AF391D">
            <w:pPr>
              <w:snapToGrid w:val="0"/>
            </w:pPr>
            <w:r>
              <w:t>Norkern Limited</w:t>
            </w:r>
          </w:p>
          <w:p w14:paraId="0CBFAA35" w14:textId="77777777" w:rsidR="0050013A" w:rsidRDefault="0050013A" w:rsidP="00AF391D">
            <w:pPr>
              <w:snapToGrid w:val="0"/>
            </w:pPr>
            <w:r>
              <w:t>Bexton Lane, Knutsford</w:t>
            </w:r>
          </w:p>
          <w:p w14:paraId="2FF15C8A" w14:textId="77777777" w:rsidR="0050013A" w:rsidRDefault="0050013A" w:rsidP="00AF391D">
            <w:pPr>
              <w:snapToGrid w:val="0"/>
            </w:pPr>
            <w:r>
              <w:t>Cheshire, WA 16 9FB</w:t>
            </w:r>
          </w:p>
          <w:p w14:paraId="5977F731" w14:textId="77777777" w:rsidR="0050013A" w:rsidRPr="0050013A" w:rsidRDefault="0050013A" w:rsidP="00AF391D">
            <w:pPr>
              <w:snapToGrid w:val="0"/>
            </w:pPr>
            <w:r>
              <w:t>United-Kingdom</w:t>
            </w:r>
          </w:p>
        </w:tc>
      </w:tr>
      <w:tr w:rsidR="0050013A" w:rsidRPr="0050013A" w14:paraId="2E331387" w14:textId="77777777" w:rsidTr="00AF391D">
        <w:trPr>
          <w:trHeight w:val="1085"/>
        </w:trPr>
        <w:tc>
          <w:tcPr>
            <w:tcW w:w="3397" w:type="dxa"/>
            <w:tcBorders>
              <w:left w:val="single" w:sz="4" w:space="0" w:color="000000"/>
              <w:bottom w:val="single" w:sz="4" w:space="0" w:color="auto"/>
            </w:tcBorders>
            <w:shd w:val="clear" w:color="auto" w:fill="auto"/>
          </w:tcPr>
          <w:p w14:paraId="0DBCB9AE" w14:textId="4A239EEA" w:rsidR="0050013A" w:rsidRDefault="0050013A" w:rsidP="00AF391D">
            <w:pPr>
              <w:rPr>
                <w:b/>
              </w:rPr>
            </w:pPr>
            <w:r>
              <w:rPr>
                <w:b/>
                <w:bCs/>
                <w:color w:val="000000"/>
                <w:szCs w:val="24"/>
                <w:lang w:eastAsia="en-GB"/>
              </w:rPr>
              <w:t>L</w:t>
            </w:r>
            <w:r w:rsidR="00D14F77">
              <w:rPr>
                <w:b/>
                <w:bCs/>
                <w:color w:val="000000"/>
                <w:szCs w:val="24"/>
                <w:lang w:eastAsia="en-GB"/>
              </w:rPr>
              <w:t xml:space="preserve">ocation of manufacturing sites </w:t>
            </w:r>
          </w:p>
        </w:tc>
        <w:tc>
          <w:tcPr>
            <w:tcW w:w="5638" w:type="dxa"/>
            <w:tcBorders>
              <w:left w:val="single" w:sz="4" w:space="0" w:color="000000"/>
              <w:bottom w:val="single" w:sz="4" w:space="0" w:color="auto"/>
              <w:right w:val="single" w:sz="4" w:space="0" w:color="000000"/>
            </w:tcBorders>
            <w:shd w:val="clear" w:color="auto" w:fill="auto"/>
          </w:tcPr>
          <w:p w14:paraId="1C2C002F" w14:textId="77777777" w:rsidR="0050013A" w:rsidRPr="0050013A" w:rsidRDefault="0050013A" w:rsidP="00AF391D">
            <w:pPr>
              <w:snapToGrid w:val="0"/>
              <w:rPr>
                <w:lang w:val="fr-FR"/>
              </w:rPr>
            </w:pPr>
            <w:r w:rsidRPr="0050013A">
              <w:rPr>
                <w:lang w:val="fr-FR"/>
              </w:rPr>
              <w:t>Cosayach S.A. Compania de Salitre y Yodo</w:t>
            </w:r>
          </w:p>
          <w:p w14:paraId="5F0FD8D9" w14:textId="77777777" w:rsidR="0050013A" w:rsidRDefault="0050013A" w:rsidP="00AF391D">
            <w:pPr>
              <w:snapToGrid w:val="0"/>
              <w:rPr>
                <w:lang w:val="fr-FR"/>
              </w:rPr>
            </w:pPr>
            <w:r>
              <w:rPr>
                <w:lang w:val="fr-FR"/>
              </w:rPr>
              <w:t>Amunategui 178</w:t>
            </w:r>
          </w:p>
          <w:p w14:paraId="7DFEEB7F" w14:textId="77777777" w:rsidR="0050013A" w:rsidRDefault="0050013A" w:rsidP="00AF391D">
            <w:pPr>
              <w:snapToGrid w:val="0"/>
              <w:rPr>
                <w:lang w:val="fr-FR"/>
              </w:rPr>
            </w:pPr>
            <w:r>
              <w:rPr>
                <w:lang w:val="fr-FR"/>
              </w:rPr>
              <w:t>Santiago</w:t>
            </w:r>
          </w:p>
          <w:p w14:paraId="379D7234" w14:textId="77777777" w:rsidR="0050013A" w:rsidRPr="0050013A" w:rsidRDefault="0050013A" w:rsidP="00AF391D">
            <w:pPr>
              <w:snapToGrid w:val="0"/>
              <w:rPr>
                <w:lang w:val="fr-FR"/>
              </w:rPr>
            </w:pPr>
            <w:r>
              <w:rPr>
                <w:lang w:val="fr-FR"/>
              </w:rPr>
              <w:t>Chile</w:t>
            </w:r>
          </w:p>
        </w:tc>
      </w:tr>
    </w:tbl>
    <w:p w14:paraId="00B82A33" w14:textId="77777777" w:rsidR="0050013A" w:rsidRDefault="0050013A" w:rsidP="0050013A">
      <w:pPr>
        <w:pStyle w:val="Absatz"/>
        <w:ind w:left="0"/>
        <w:rPr>
          <w:lang w:val="fr-FR" w:eastAsia="en-US"/>
        </w:rPr>
      </w:pPr>
    </w:p>
    <w:p w14:paraId="34378600" w14:textId="77777777" w:rsidR="0050013A" w:rsidRDefault="0050013A" w:rsidP="0050013A">
      <w:pPr>
        <w:pStyle w:val="Absatz"/>
        <w:ind w:left="0"/>
        <w:rPr>
          <w:lang w:val="fr-FR"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0013A" w14:paraId="57889B97" w14:textId="77777777" w:rsidTr="00AF391D">
        <w:tc>
          <w:tcPr>
            <w:tcW w:w="3397" w:type="dxa"/>
            <w:tcBorders>
              <w:top w:val="single" w:sz="4" w:space="0" w:color="000000"/>
              <w:left w:val="single" w:sz="4" w:space="0" w:color="000000"/>
              <w:bottom w:val="single" w:sz="4" w:space="0" w:color="000000"/>
            </w:tcBorders>
            <w:shd w:val="clear" w:color="auto" w:fill="auto"/>
          </w:tcPr>
          <w:p w14:paraId="511C6C91" w14:textId="77777777" w:rsidR="0050013A" w:rsidRDefault="0050013A" w:rsidP="00AF391D">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A7DCF5A" w14:textId="77777777" w:rsidR="0050013A" w:rsidRDefault="0050013A" w:rsidP="00AF391D">
            <w:pPr>
              <w:snapToGrid w:val="0"/>
              <w:rPr>
                <w:b/>
              </w:rPr>
            </w:pPr>
            <w:r w:rsidRPr="00C62B73">
              <w:rPr>
                <w:rFonts w:cs="EUAlbertina"/>
                <w:color w:val="000000"/>
              </w:rPr>
              <w:t>Polyvinylpyrrolidone iodine</w:t>
            </w:r>
            <w:r>
              <w:rPr>
                <w:rFonts w:cs="EUAlbertina"/>
                <w:color w:val="000000"/>
              </w:rPr>
              <w:t xml:space="preserve"> (PVPI)</w:t>
            </w:r>
          </w:p>
        </w:tc>
      </w:tr>
      <w:tr w:rsidR="0050013A" w14:paraId="1A0D7425" w14:textId="77777777" w:rsidTr="00AF391D">
        <w:tc>
          <w:tcPr>
            <w:tcW w:w="3397" w:type="dxa"/>
            <w:tcBorders>
              <w:left w:val="single" w:sz="4" w:space="0" w:color="000000"/>
              <w:bottom w:val="single" w:sz="4" w:space="0" w:color="000000"/>
            </w:tcBorders>
            <w:shd w:val="clear" w:color="auto" w:fill="auto"/>
          </w:tcPr>
          <w:p w14:paraId="2EC5DF46" w14:textId="77777777" w:rsidR="0050013A" w:rsidRDefault="0050013A" w:rsidP="00AF391D">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78135E16" w14:textId="77777777" w:rsidR="0050013A" w:rsidRDefault="0050013A" w:rsidP="00AF391D">
            <w:pPr>
              <w:snapToGrid w:val="0"/>
              <w:rPr>
                <w:b/>
              </w:rPr>
            </w:pPr>
            <w:r w:rsidRPr="00631D8F">
              <w:rPr>
                <w:rFonts w:cs="Arial"/>
                <w:bCs/>
                <w:szCs w:val="16"/>
              </w:rPr>
              <w:t>Alcoholes Montplet, S.A</w:t>
            </w:r>
          </w:p>
        </w:tc>
      </w:tr>
      <w:tr w:rsidR="0050013A" w14:paraId="58F449A9" w14:textId="77777777" w:rsidTr="00AF391D">
        <w:tc>
          <w:tcPr>
            <w:tcW w:w="3397" w:type="dxa"/>
            <w:tcBorders>
              <w:left w:val="single" w:sz="4" w:space="0" w:color="000000"/>
              <w:bottom w:val="single" w:sz="4" w:space="0" w:color="000000"/>
            </w:tcBorders>
            <w:shd w:val="clear" w:color="auto" w:fill="auto"/>
          </w:tcPr>
          <w:p w14:paraId="112D768D" w14:textId="77777777" w:rsidR="0050013A" w:rsidRDefault="0050013A" w:rsidP="00AF391D">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829C12A" w14:textId="77777777" w:rsidR="0050013A" w:rsidRDefault="0050013A" w:rsidP="00AF391D">
            <w:pPr>
              <w:snapToGrid w:val="0"/>
            </w:pPr>
            <w:r>
              <w:t>Pantheon European Office</w:t>
            </w:r>
          </w:p>
          <w:p w14:paraId="14E415BE" w14:textId="77777777" w:rsidR="0050013A" w:rsidRDefault="0050013A" w:rsidP="00AF391D">
            <w:pPr>
              <w:snapToGrid w:val="0"/>
            </w:pPr>
            <w:r>
              <w:t>Norkern Limited</w:t>
            </w:r>
          </w:p>
          <w:p w14:paraId="0D22D751" w14:textId="77777777" w:rsidR="0050013A" w:rsidRDefault="0050013A" w:rsidP="00AF391D">
            <w:pPr>
              <w:snapToGrid w:val="0"/>
            </w:pPr>
            <w:r>
              <w:t>Julianalaan 11</w:t>
            </w:r>
          </w:p>
          <w:p w14:paraId="0CAB083C" w14:textId="77777777" w:rsidR="0050013A" w:rsidRDefault="0050013A" w:rsidP="00AF391D">
            <w:pPr>
              <w:snapToGrid w:val="0"/>
            </w:pPr>
            <w:r>
              <w:t>3708 BA Zeist</w:t>
            </w:r>
          </w:p>
          <w:p w14:paraId="1867960E" w14:textId="77777777" w:rsidR="0050013A" w:rsidRPr="0050013A" w:rsidRDefault="0050013A" w:rsidP="00AF391D">
            <w:pPr>
              <w:snapToGrid w:val="0"/>
            </w:pPr>
            <w:r>
              <w:t>Netherlands</w:t>
            </w:r>
          </w:p>
        </w:tc>
      </w:tr>
      <w:tr w:rsidR="0050013A" w:rsidRPr="0050013A" w14:paraId="101D2E54" w14:textId="77777777" w:rsidTr="00AF391D">
        <w:trPr>
          <w:trHeight w:val="1085"/>
        </w:trPr>
        <w:tc>
          <w:tcPr>
            <w:tcW w:w="3397" w:type="dxa"/>
            <w:tcBorders>
              <w:left w:val="single" w:sz="4" w:space="0" w:color="000000"/>
              <w:bottom w:val="single" w:sz="4" w:space="0" w:color="auto"/>
            </w:tcBorders>
            <w:shd w:val="clear" w:color="auto" w:fill="auto"/>
          </w:tcPr>
          <w:p w14:paraId="2EBAC98A" w14:textId="6E50DD20" w:rsidR="0050013A" w:rsidRDefault="0050013A" w:rsidP="00AF391D">
            <w:pPr>
              <w:rPr>
                <w:b/>
              </w:rPr>
            </w:pPr>
            <w:r>
              <w:rPr>
                <w:b/>
                <w:bCs/>
                <w:color w:val="000000"/>
                <w:szCs w:val="24"/>
                <w:lang w:eastAsia="en-GB"/>
              </w:rPr>
              <w:t>L</w:t>
            </w:r>
            <w:r w:rsidR="00D14F77">
              <w:rPr>
                <w:b/>
                <w:bCs/>
                <w:color w:val="000000"/>
                <w:szCs w:val="24"/>
                <w:lang w:eastAsia="en-GB"/>
              </w:rPr>
              <w:t xml:space="preserve">ocation of manufacturing sites </w:t>
            </w:r>
          </w:p>
        </w:tc>
        <w:tc>
          <w:tcPr>
            <w:tcW w:w="5638" w:type="dxa"/>
            <w:tcBorders>
              <w:left w:val="single" w:sz="4" w:space="0" w:color="000000"/>
              <w:bottom w:val="single" w:sz="4" w:space="0" w:color="auto"/>
              <w:right w:val="single" w:sz="4" w:space="0" w:color="000000"/>
            </w:tcBorders>
            <w:shd w:val="clear" w:color="auto" w:fill="auto"/>
          </w:tcPr>
          <w:p w14:paraId="4ED2713F" w14:textId="77777777" w:rsidR="0050013A" w:rsidRPr="0050013A" w:rsidRDefault="0050013A" w:rsidP="00AF391D">
            <w:pPr>
              <w:snapToGrid w:val="0"/>
              <w:rPr>
                <w:lang w:val="fr-FR"/>
              </w:rPr>
            </w:pPr>
            <w:r w:rsidRPr="0050013A">
              <w:rPr>
                <w:lang w:val="fr-FR"/>
              </w:rPr>
              <w:t>Cosayach S.A. Compania de Salitre y Yodo</w:t>
            </w:r>
          </w:p>
          <w:p w14:paraId="7A4F6DFA" w14:textId="77777777" w:rsidR="0050013A" w:rsidRDefault="0050013A" w:rsidP="00AF391D">
            <w:pPr>
              <w:snapToGrid w:val="0"/>
              <w:rPr>
                <w:lang w:val="fr-FR"/>
              </w:rPr>
            </w:pPr>
            <w:r>
              <w:rPr>
                <w:lang w:val="fr-FR"/>
              </w:rPr>
              <w:t>Amunategui 178</w:t>
            </w:r>
          </w:p>
          <w:p w14:paraId="543B05D5" w14:textId="77777777" w:rsidR="0050013A" w:rsidRDefault="0050013A" w:rsidP="00AF391D">
            <w:pPr>
              <w:snapToGrid w:val="0"/>
              <w:rPr>
                <w:lang w:val="fr-FR"/>
              </w:rPr>
            </w:pPr>
            <w:r>
              <w:rPr>
                <w:lang w:val="fr-FR"/>
              </w:rPr>
              <w:t>Santiago</w:t>
            </w:r>
          </w:p>
          <w:p w14:paraId="775B9983" w14:textId="77777777" w:rsidR="0050013A" w:rsidRPr="0050013A" w:rsidRDefault="0050013A" w:rsidP="00AF391D">
            <w:pPr>
              <w:snapToGrid w:val="0"/>
              <w:rPr>
                <w:lang w:val="fr-FR"/>
              </w:rPr>
            </w:pPr>
            <w:r>
              <w:rPr>
                <w:lang w:val="fr-FR"/>
              </w:rPr>
              <w:t>Chile</w:t>
            </w:r>
          </w:p>
        </w:tc>
      </w:tr>
    </w:tbl>
    <w:p w14:paraId="6CFC7D0E" w14:textId="77777777" w:rsidR="0050013A" w:rsidRDefault="0050013A" w:rsidP="0050013A">
      <w:pPr>
        <w:pStyle w:val="Absatz"/>
        <w:ind w:left="0"/>
        <w:rPr>
          <w:lang w:val="fr-FR" w:eastAsia="en-US"/>
        </w:rPr>
      </w:pPr>
    </w:p>
    <w:p w14:paraId="2D566CDC" w14:textId="77777777" w:rsidR="0050013A" w:rsidRDefault="0050013A" w:rsidP="0050013A">
      <w:pPr>
        <w:pStyle w:val="Absatz"/>
        <w:ind w:left="0"/>
        <w:rPr>
          <w:lang w:val="fr-FR"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0013A" w14:paraId="68AA66F1" w14:textId="77777777" w:rsidTr="00AF391D">
        <w:tc>
          <w:tcPr>
            <w:tcW w:w="3397" w:type="dxa"/>
            <w:tcBorders>
              <w:top w:val="single" w:sz="4" w:space="0" w:color="000000"/>
              <w:left w:val="single" w:sz="4" w:space="0" w:color="000000"/>
              <w:bottom w:val="single" w:sz="4" w:space="0" w:color="000000"/>
            </w:tcBorders>
            <w:shd w:val="clear" w:color="auto" w:fill="auto"/>
          </w:tcPr>
          <w:p w14:paraId="679B079D" w14:textId="77777777" w:rsidR="0050013A" w:rsidRDefault="0050013A" w:rsidP="00AF391D">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1800E1E" w14:textId="77777777" w:rsidR="0050013A" w:rsidRDefault="0050013A" w:rsidP="00AF391D">
            <w:pPr>
              <w:snapToGrid w:val="0"/>
              <w:rPr>
                <w:b/>
              </w:rPr>
            </w:pPr>
            <w:r w:rsidRPr="00C62B73">
              <w:rPr>
                <w:rFonts w:cs="EUAlbertina"/>
                <w:color w:val="000000"/>
              </w:rPr>
              <w:t>Polyvinylpyrrolidone iodine</w:t>
            </w:r>
            <w:r>
              <w:rPr>
                <w:rFonts w:cs="EUAlbertina"/>
                <w:color w:val="000000"/>
              </w:rPr>
              <w:t xml:space="preserve"> (PVPI)</w:t>
            </w:r>
          </w:p>
        </w:tc>
      </w:tr>
      <w:tr w:rsidR="0050013A" w14:paraId="52CB7847" w14:textId="77777777" w:rsidTr="00AF391D">
        <w:tc>
          <w:tcPr>
            <w:tcW w:w="3397" w:type="dxa"/>
            <w:tcBorders>
              <w:left w:val="single" w:sz="4" w:space="0" w:color="000000"/>
              <w:bottom w:val="single" w:sz="4" w:space="0" w:color="000000"/>
            </w:tcBorders>
            <w:shd w:val="clear" w:color="auto" w:fill="auto"/>
          </w:tcPr>
          <w:p w14:paraId="6C3C27C8" w14:textId="77777777" w:rsidR="0050013A" w:rsidRDefault="0050013A" w:rsidP="00AF391D">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5ACF03A3" w14:textId="77777777" w:rsidR="0050013A" w:rsidRDefault="0050013A" w:rsidP="00AF391D">
            <w:pPr>
              <w:snapToGrid w:val="0"/>
              <w:rPr>
                <w:b/>
              </w:rPr>
            </w:pPr>
            <w:r w:rsidRPr="00631D8F">
              <w:rPr>
                <w:rFonts w:cs="Arial"/>
                <w:bCs/>
                <w:szCs w:val="16"/>
              </w:rPr>
              <w:t>Alcoholes Montplet, S.A</w:t>
            </w:r>
          </w:p>
        </w:tc>
      </w:tr>
      <w:tr w:rsidR="0050013A" w14:paraId="49BF4DAC" w14:textId="77777777" w:rsidTr="00AF391D">
        <w:tc>
          <w:tcPr>
            <w:tcW w:w="3397" w:type="dxa"/>
            <w:tcBorders>
              <w:left w:val="single" w:sz="4" w:space="0" w:color="000000"/>
              <w:bottom w:val="single" w:sz="4" w:space="0" w:color="000000"/>
            </w:tcBorders>
            <w:shd w:val="clear" w:color="auto" w:fill="auto"/>
          </w:tcPr>
          <w:p w14:paraId="62D2237E" w14:textId="77777777" w:rsidR="0050013A" w:rsidRDefault="0050013A" w:rsidP="00AF391D">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2A88199" w14:textId="77777777" w:rsidR="0050013A" w:rsidRDefault="0050013A" w:rsidP="00AF391D">
            <w:pPr>
              <w:snapToGrid w:val="0"/>
            </w:pPr>
            <w:r>
              <w:t>Independent Iodine Company NV</w:t>
            </w:r>
          </w:p>
          <w:p w14:paraId="0580A8D9" w14:textId="77777777" w:rsidR="0050013A" w:rsidRDefault="0050013A" w:rsidP="00AF391D">
            <w:pPr>
              <w:snapToGrid w:val="0"/>
            </w:pPr>
            <w:r>
              <w:t>Hortensiadreef 40</w:t>
            </w:r>
          </w:p>
          <w:p w14:paraId="33DA2D47" w14:textId="77777777" w:rsidR="0050013A" w:rsidRDefault="0050013A" w:rsidP="00AF391D">
            <w:pPr>
              <w:snapToGrid w:val="0"/>
            </w:pPr>
            <w:r>
              <w:t>2920 Kalmthout</w:t>
            </w:r>
          </w:p>
          <w:p w14:paraId="5407C938" w14:textId="77777777" w:rsidR="0050013A" w:rsidRPr="0050013A" w:rsidRDefault="0050013A" w:rsidP="00AF391D">
            <w:pPr>
              <w:snapToGrid w:val="0"/>
            </w:pPr>
            <w:r>
              <w:t>Belgium</w:t>
            </w:r>
          </w:p>
        </w:tc>
      </w:tr>
      <w:tr w:rsidR="0050013A" w:rsidRPr="0050013A" w14:paraId="70DADD75" w14:textId="77777777" w:rsidTr="00AF391D">
        <w:trPr>
          <w:trHeight w:val="1085"/>
        </w:trPr>
        <w:tc>
          <w:tcPr>
            <w:tcW w:w="3397" w:type="dxa"/>
            <w:tcBorders>
              <w:left w:val="single" w:sz="4" w:space="0" w:color="000000"/>
              <w:bottom w:val="single" w:sz="4" w:space="0" w:color="auto"/>
            </w:tcBorders>
            <w:shd w:val="clear" w:color="auto" w:fill="auto"/>
          </w:tcPr>
          <w:p w14:paraId="4B13A1A4" w14:textId="020E7C1C" w:rsidR="0050013A" w:rsidRDefault="0050013A" w:rsidP="00AF391D">
            <w:pPr>
              <w:rPr>
                <w:b/>
              </w:rPr>
            </w:pPr>
            <w:r>
              <w:rPr>
                <w:b/>
                <w:bCs/>
                <w:color w:val="000000"/>
                <w:szCs w:val="24"/>
                <w:lang w:eastAsia="en-GB"/>
              </w:rPr>
              <w:t>Location of manufacturing sites 1</w:t>
            </w:r>
          </w:p>
        </w:tc>
        <w:tc>
          <w:tcPr>
            <w:tcW w:w="5638" w:type="dxa"/>
            <w:tcBorders>
              <w:left w:val="single" w:sz="4" w:space="0" w:color="000000"/>
              <w:bottom w:val="single" w:sz="4" w:space="0" w:color="auto"/>
              <w:right w:val="single" w:sz="4" w:space="0" w:color="000000"/>
            </w:tcBorders>
            <w:shd w:val="clear" w:color="auto" w:fill="auto"/>
          </w:tcPr>
          <w:p w14:paraId="4B2CE878" w14:textId="57B62C56" w:rsidR="0050013A" w:rsidRPr="0050013A" w:rsidRDefault="0050013A" w:rsidP="00AF391D">
            <w:pPr>
              <w:snapToGrid w:val="0"/>
              <w:rPr>
                <w:lang w:val="fr-FR"/>
              </w:rPr>
            </w:pPr>
            <w:r w:rsidRPr="0050013A">
              <w:rPr>
                <w:lang w:val="fr-FR"/>
              </w:rPr>
              <w:t>Cosayach S.A. Compania de Salitre y Yodo</w:t>
            </w:r>
          </w:p>
          <w:p w14:paraId="14DF1FE9" w14:textId="78D64B73" w:rsidR="0050013A" w:rsidRDefault="0050013A" w:rsidP="00AF391D">
            <w:pPr>
              <w:snapToGrid w:val="0"/>
              <w:rPr>
                <w:lang w:val="fr-FR"/>
              </w:rPr>
            </w:pPr>
            <w:r>
              <w:rPr>
                <w:lang w:val="fr-FR"/>
              </w:rPr>
              <w:t>Amunategui 178</w:t>
            </w:r>
          </w:p>
          <w:p w14:paraId="4ED7D8BA" w14:textId="7ADAEB83" w:rsidR="0050013A" w:rsidRDefault="0050013A" w:rsidP="00AF391D">
            <w:pPr>
              <w:snapToGrid w:val="0"/>
              <w:rPr>
                <w:lang w:val="fr-FR"/>
              </w:rPr>
            </w:pPr>
            <w:r>
              <w:rPr>
                <w:lang w:val="fr-FR"/>
              </w:rPr>
              <w:t>Santiago</w:t>
            </w:r>
          </w:p>
          <w:p w14:paraId="49A2426B" w14:textId="58F31F8E" w:rsidR="0050013A" w:rsidRPr="0050013A" w:rsidRDefault="0050013A" w:rsidP="00AF391D">
            <w:pPr>
              <w:snapToGrid w:val="0"/>
              <w:rPr>
                <w:lang w:val="fr-FR"/>
              </w:rPr>
            </w:pPr>
            <w:r>
              <w:rPr>
                <w:lang w:val="fr-FR"/>
              </w:rPr>
              <w:t>Chile</w:t>
            </w:r>
          </w:p>
        </w:tc>
      </w:tr>
    </w:tbl>
    <w:p w14:paraId="4AD01CDD" w14:textId="77777777" w:rsidR="0050013A" w:rsidRDefault="0050013A" w:rsidP="0050013A">
      <w:pPr>
        <w:pStyle w:val="Absatz"/>
        <w:ind w:left="0"/>
        <w:rPr>
          <w:lang w:val="fr-FR" w:eastAsia="en-US"/>
        </w:rPr>
      </w:pPr>
    </w:p>
    <w:p w14:paraId="2CF0264C" w14:textId="77777777" w:rsidR="0050013A" w:rsidRDefault="0050013A" w:rsidP="0050013A">
      <w:pPr>
        <w:pStyle w:val="Absatz"/>
        <w:ind w:left="0"/>
        <w:rPr>
          <w:lang w:val="fr-FR"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0013A" w14:paraId="791C061A" w14:textId="77777777" w:rsidTr="00AF391D">
        <w:tc>
          <w:tcPr>
            <w:tcW w:w="3397" w:type="dxa"/>
            <w:tcBorders>
              <w:top w:val="single" w:sz="4" w:space="0" w:color="000000"/>
              <w:left w:val="single" w:sz="4" w:space="0" w:color="000000"/>
              <w:bottom w:val="single" w:sz="4" w:space="0" w:color="000000"/>
            </w:tcBorders>
            <w:shd w:val="clear" w:color="auto" w:fill="auto"/>
          </w:tcPr>
          <w:p w14:paraId="13FA0D8D" w14:textId="77777777" w:rsidR="0050013A" w:rsidRDefault="0050013A" w:rsidP="00AF391D">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AE688D3" w14:textId="77777777" w:rsidR="0050013A" w:rsidRPr="0050013A" w:rsidRDefault="0050013A" w:rsidP="00AF391D">
            <w:pPr>
              <w:snapToGrid w:val="0"/>
            </w:pPr>
            <w:r>
              <w:t>L-(+)-lactic acid</w:t>
            </w:r>
          </w:p>
        </w:tc>
      </w:tr>
      <w:tr w:rsidR="0050013A" w14:paraId="50E39D9C" w14:textId="77777777" w:rsidTr="00AF391D">
        <w:tc>
          <w:tcPr>
            <w:tcW w:w="3397" w:type="dxa"/>
            <w:tcBorders>
              <w:left w:val="single" w:sz="4" w:space="0" w:color="000000"/>
              <w:bottom w:val="single" w:sz="4" w:space="0" w:color="000000"/>
            </w:tcBorders>
            <w:shd w:val="clear" w:color="auto" w:fill="auto"/>
          </w:tcPr>
          <w:p w14:paraId="43231299" w14:textId="77777777" w:rsidR="0050013A" w:rsidRDefault="0050013A" w:rsidP="00AF391D">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38D5ADD" w14:textId="04409C95" w:rsidR="0050013A" w:rsidRDefault="00BA4797" w:rsidP="00AF391D">
            <w:pPr>
              <w:snapToGrid w:val="0"/>
              <w:rPr>
                <w:b/>
              </w:rPr>
            </w:pPr>
            <w:r>
              <w:rPr>
                <w:lang w:val="fr-FR"/>
              </w:rPr>
              <w:t>Jungbunzla</w:t>
            </w:r>
            <w:r w:rsidR="0050013A">
              <w:rPr>
                <w:lang w:val="fr-FR"/>
              </w:rPr>
              <w:t>u</w:t>
            </w:r>
            <w:r>
              <w:rPr>
                <w:lang w:val="fr-FR"/>
              </w:rPr>
              <w:t>e</w:t>
            </w:r>
            <w:r w:rsidR="0050013A">
              <w:rPr>
                <w:lang w:val="fr-FR"/>
              </w:rPr>
              <w:t>r S.A.</w:t>
            </w:r>
          </w:p>
        </w:tc>
      </w:tr>
      <w:tr w:rsidR="0050013A" w14:paraId="781A4F40" w14:textId="77777777" w:rsidTr="00AF391D">
        <w:tc>
          <w:tcPr>
            <w:tcW w:w="3397" w:type="dxa"/>
            <w:tcBorders>
              <w:left w:val="single" w:sz="4" w:space="0" w:color="000000"/>
              <w:bottom w:val="single" w:sz="4" w:space="0" w:color="000000"/>
            </w:tcBorders>
            <w:shd w:val="clear" w:color="auto" w:fill="auto"/>
          </w:tcPr>
          <w:p w14:paraId="472254E5" w14:textId="77777777" w:rsidR="0050013A" w:rsidRDefault="0050013A" w:rsidP="00AF391D">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B1FAC43" w14:textId="77777777" w:rsidR="0050013A" w:rsidRPr="003F6CD0" w:rsidRDefault="0050013A" w:rsidP="0050013A">
            <w:pPr>
              <w:rPr>
                <w:lang w:val="fr-FR"/>
              </w:rPr>
            </w:pPr>
            <w:r w:rsidRPr="009D7BFF">
              <w:rPr>
                <w:lang w:val="fr-FR"/>
              </w:rPr>
              <w:t>Z.I et Portuaire</w:t>
            </w:r>
            <w:r>
              <w:rPr>
                <w:lang w:val="fr-FR"/>
              </w:rPr>
              <w:t xml:space="preserve">, </w:t>
            </w:r>
            <w:r w:rsidRPr="003F6CD0">
              <w:rPr>
                <w:lang w:val="fr-FR"/>
              </w:rPr>
              <w:t>B.P. 32</w:t>
            </w:r>
          </w:p>
          <w:p w14:paraId="59203C5D" w14:textId="77777777" w:rsidR="0050013A" w:rsidRPr="003F6CD0" w:rsidRDefault="0050013A" w:rsidP="0050013A">
            <w:pPr>
              <w:rPr>
                <w:lang w:val="fr-FR"/>
              </w:rPr>
            </w:pPr>
            <w:r w:rsidRPr="003F6CD0">
              <w:rPr>
                <w:lang w:val="fr-FR"/>
              </w:rPr>
              <w:t>67390 Marckolsheim</w:t>
            </w:r>
          </w:p>
          <w:p w14:paraId="44B89433" w14:textId="77777777" w:rsidR="0050013A" w:rsidRPr="0050013A" w:rsidRDefault="0050013A" w:rsidP="0050013A">
            <w:pPr>
              <w:snapToGrid w:val="0"/>
            </w:pPr>
            <w:r w:rsidRPr="003F6CD0">
              <w:rPr>
                <w:lang w:val="fr-FR"/>
              </w:rPr>
              <w:t>France</w:t>
            </w:r>
          </w:p>
        </w:tc>
      </w:tr>
      <w:tr w:rsidR="0050013A" w:rsidRPr="0050013A" w14:paraId="7B9FC214" w14:textId="77777777" w:rsidTr="006060C9">
        <w:trPr>
          <w:trHeight w:val="739"/>
        </w:trPr>
        <w:tc>
          <w:tcPr>
            <w:tcW w:w="3397" w:type="dxa"/>
            <w:tcBorders>
              <w:left w:val="single" w:sz="4" w:space="0" w:color="000000"/>
              <w:bottom w:val="single" w:sz="4" w:space="0" w:color="auto"/>
            </w:tcBorders>
            <w:shd w:val="clear" w:color="auto" w:fill="auto"/>
          </w:tcPr>
          <w:p w14:paraId="245F4B94" w14:textId="77777777" w:rsidR="0050013A" w:rsidRDefault="0050013A" w:rsidP="00AF391D">
            <w:pPr>
              <w:rPr>
                <w:b/>
              </w:rPr>
            </w:pPr>
            <w:r>
              <w:rPr>
                <w:b/>
                <w:bCs/>
                <w:color w:val="000000"/>
                <w:szCs w:val="24"/>
                <w:lang w:eastAsia="en-GB"/>
              </w:rPr>
              <w:t xml:space="preserve">Location of manufacturing sites </w:t>
            </w:r>
          </w:p>
        </w:tc>
        <w:tc>
          <w:tcPr>
            <w:tcW w:w="5638" w:type="dxa"/>
            <w:tcBorders>
              <w:left w:val="single" w:sz="4" w:space="0" w:color="000000"/>
              <w:bottom w:val="single" w:sz="4" w:space="0" w:color="auto"/>
              <w:right w:val="single" w:sz="4" w:space="0" w:color="000000"/>
            </w:tcBorders>
            <w:shd w:val="clear" w:color="auto" w:fill="auto"/>
          </w:tcPr>
          <w:p w14:paraId="76E33405" w14:textId="77777777" w:rsidR="00CF6FD5" w:rsidRPr="003F6CD0" w:rsidRDefault="00CF6FD5" w:rsidP="00CF6FD5">
            <w:pPr>
              <w:rPr>
                <w:lang w:val="fr-FR"/>
              </w:rPr>
            </w:pPr>
            <w:r w:rsidRPr="009D7BFF">
              <w:rPr>
                <w:lang w:val="fr-FR"/>
              </w:rPr>
              <w:t>Z.I et Portuaire</w:t>
            </w:r>
            <w:r>
              <w:rPr>
                <w:lang w:val="fr-FR"/>
              </w:rPr>
              <w:t xml:space="preserve">, </w:t>
            </w:r>
            <w:r w:rsidRPr="003F6CD0">
              <w:rPr>
                <w:lang w:val="fr-FR"/>
              </w:rPr>
              <w:t>B.P. 32</w:t>
            </w:r>
          </w:p>
          <w:p w14:paraId="054F9A0F" w14:textId="77777777" w:rsidR="00CF6FD5" w:rsidRPr="003F6CD0" w:rsidRDefault="00CF6FD5" w:rsidP="00CF6FD5">
            <w:pPr>
              <w:rPr>
                <w:lang w:val="fr-FR"/>
              </w:rPr>
            </w:pPr>
            <w:r w:rsidRPr="003F6CD0">
              <w:rPr>
                <w:lang w:val="fr-FR"/>
              </w:rPr>
              <w:t>67390 Marckolsheim</w:t>
            </w:r>
          </w:p>
          <w:p w14:paraId="59D5D6D6" w14:textId="77777777" w:rsidR="0050013A" w:rsidRPr="0050013A" w:rsidRDefault="00CF6FD5" w:rsidP="00CF6FD5">
            <w:pPr>
              <w:snapToGrid w:val="0"/>
              <w:rPr>
                <w:lang w:val="fr-FR"/>
              </w:rPr>
            </w:pPr>
            <w:r w:rsidRPr="003F6CD0">
              <w:rPr>
                <w:lang w:val="fr-FR"/>
              </w:rPr>
              <w:t>France</w:t>
            </w:r>
          </w:p>
        </w:tc>
      </w:tr>
    </w:tbl>
    <w:p w14:paraId="3AE58083" w14:textId="77777777" w:rsidR="0050013A" w:rsidRDefault="0050013A" w:rsidP="0050013A">
      <w:pPr>
        <w:pStyle w:val="Absatz"/>
        <w:ind w:left="0"/>
        <w:rPr>
          <w:lang w:val="fr-FR" w:eastAsia="en-US"/>
        </w:rPr>
      </w:pPr>
    </w:p>
    <w:p w14:paraId="117FF630" w14:textId="77777777" w:rsidR="00CF6FD5" w:rsidRDefault="00CF6FD5" w:rsidP="0050013A">
      <w:pPr>
        <w:pStyle w:val="Absatz"/>
        <w:ind w:left="0"/>
        <w:rPr>
          <w:lang w:val="fr-FR" w:eastAsia="en-US"/>
        </w:rPr>
      </w:pPr>
    </w:p>
    <w:p w14:paraId="159B99C8" w14:textId="4835418B" w:rsidR="002E0C60" w:rsidRDefault="002E0C60" w:rsidP="0050013A">
      <w:pPr>
        <w:pStyle w:val="Absatz"/>
        <w:ind w:left="0"/>
        <w:rPr>
          <w:lang w:val="en-US"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2E0C60" w14:paraId="33D070BA" w14:textId="77777777" w:rsidTr="007D001C">
        <w:tc>
          <w:tcPr>
            <w:tcW w:w="3397" w:type="dxa"/>
            <w:tcBorders>
              <w:top w:val="single" w:sz="4" w:space="0" w:color="000000"/>
              <w:left w:val="single" w:sz="4" w:space="0" w:color="000000"/>
              <w:bottom w:val="single" w:sz="4" w:space="0" w:color="000000"/>
            </w:tcBorders>
            <w:shd w:val="clear" w:color="auto" w:fill="auto"/>
          </w:tcPr>
          <w:p w14:paraId="0C782F50" w14:textId="77777777" w:rsidR="002E0C60" w:rsidRDefault="002E0C60" w:rsidP="007D001C">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9BBC70F" w14:textId="77777777" w:rsidR="002E0C60" w:rsidRPr="0050013A" w:rsidRDefault="002E0C60" w:rsidP="007D001C">
            <w:pPr>
              <w:snapToGrid w:val="0"/>
            </w:pPr>
            <w:r>
              <w:t>L-(+)-lactic acid</w:t>
            </w:r>
          </w:p>
        </w:tc>
      </w:tr>
      <w:tr w:rsidR="002E0C60" w14:paraId="5A596C98" w14:textId="77777777" w:rsidTr="007D001C">
        <w:tc>
          <w:tcPr>
            <w:tcW w:w="3397" w:type="dxa"/>
            <w:tcBorders>
              <w:left w:val="single" w:sz="4" w:space="0" w:color="000000"/>
              <w:bottom w:val="single" w:sz="4" w:space="0" w:color="000000"/>
            </w:tcBorders>
            <w:shd w:val="clear" w:color="auto" w:fill="auto"/>
          </w:tcPr>
          <w:p w14:paraId="5E816729" w14:textId="77777777" w:rsidR="002E0C60" w:rsidRDefault="002E0C60" w:rsidP="007D001C">
            <w:pPr>
              <w:rPr>
                <w:b/>
              </w:rPr>
            </w:pPr>
            <w:r>
              <w:rPr>
                <w:b/>
                <w:bCs/>
                <w:color w:val="000000"/>
                <w:szCs w:val="24"/>
                <w:lang w:eastAsia="en-GB"/>
              </w:rPr>
              <w:t>Name of manufacturer 1</w:t>
            </w:r>
          </w:p>
        </w:tc>
        <w:tc>
          <w:tcPr>
            <w:tcW w:w="5638" w:type="dxa"/>
            <w:tcBorders>
              <w:left w:val="single" w:sz="4" w:space="0" w:color="000000"/>
              <w:bottom w:val="single" w:sz="4" w:space="0" w:color="000000"/>
              <w:right w:val="single" w:sz="4" w:space="0" w:color="000000"/>
            </w:tcBorders>
            <w:shd w:val="clear" w:color="auto" w:fill="auto"/>
          </w:tcPr>
          <w:p w14:paraId="255F76B3" w14:textId="77777777" w:rsidR="002E0C60" w:rsidRDefault="002E0C60" w:rsidP="007D001C">
            <w:pPr>
              <w:snapToGrid w:val="0"/>
              <w:rPr>
                <w:b/>
              </w:rPr>
            </w:pPr>
            <w:r>
              <w:t>Purac Bioquimica sa</w:t>
            </w:r>
          </w:p>
        </w:tc>
      </w:tr>
      <w:tr w:rsidR="002E0C60" w14:paraId="36F5D005" w14:textId="77777777" w:rsidTr="007D001C">
        <w:tc>
          <w:tcPr>
            <w:tcW w:w="3397" w:type="dxa"/>
            <w:tcBorders>
              <w:left w:val="single" w:sz="4" w:space="0" w:color="000000"/>
              <w:bottom w:val="single" w:sz="4" w:space="0" w:color="000000"/>
            </w:tcBorders>
            <w:shd w:val="clear" w:color="auto" w:fill="auto"/>
          </w:tcPr>
          <w:p w14:paraId="33A7EC92" w14:textId="77777777" w:rsidR="002E0C60" w:rsidRDefault="002E0C60" w:rsidP="007D001C">
            <w:pPr>
              <w:rPr>
                <w:b/>
              </w:rPr>
            </w:pPr>
            <w:r>
              <w:rPr>
                <w:b/>
                <w:bCs/>
                <w:color w:val="000000"/>
                <w:szCs w:val="24"/>
                <w:lang w:eastAsia="en-GB"/>
              </w:rPr>
              <w:lastRenderedPageBreak/>
              <w:t>Address of manufacturer 1</w:t>
            </w:r>
          </w:p>
        </w:tc>
        <w:tc>
          <w:tcPr>
            <w:tcW w:w="5638" w:type="dxa"/>
            <w:tcBorders>
              <w:left w:val="single" w:sz="4" w:space="0" w:color="000000"/>
              <w:bottom w:val="single" w:sz="4" w:space="0" w:color="000000"/>
              <w:right w:val="single" w:sz="4" w:space="0" w:color="000000"/>
            </w:tcBorders>
            <w:shd w:val="clear" w:color="auto" w:fill="auto"/>
          </w:tcPr>
          <w:p w14:paraId="4C2B5F5A" w14:textId="77777777" w:rsidR="002E0C60" w:rsidRPr="00D65116" w:rsidRDefault="002E0C60" w:rsidP="007D001C">
            <w:r>
              <w:rPr>
                <w:lang w:val="en-US"/>
              </w:rPr>
              <w:t>Gran Vial 19-25, E-08160 Montmeló, Spain</w:t>
            </w:r>
          </w:p>
        </w:tc>
      </w:tr>
      <w:tr w:rsidR="002E0C60" w:rsidRPr="0050013A" w14:paraId="6B764315" w14:textId="77777777" w:rsidTr="007D001C">
        <w:trPr>
          <w:trHeight w:val="1085"/>
        </w:trPr>
        <w:tc>
          <w:tcPr>
            <w:tcW w:w="3397" w:type="dxa"/>
            <w:tcBorders>
              <w:left w:val="single" w:sz="4" w:space="0" w:color="000000"/>
              <w:bottom w:val="single" w:sz="4" w:space="0" w:color="auto"/>
            </w:tcBorders>
            <w:shd w:val="clear" w:color="auto" w:fill="auto"/>
          </w:tcPr>
          <w:p w14:paraId="0F3A1EDE" w14:textId="77777777" w:rsidR="002E0C60" w:rsidRDefault="002E0C60" w:rsidP="007D001C">
            <w:pPr>
              <w:rPr>
                <w:b/>
              </w:rPr>
            </w:pPr>
            <w:r>
              <w:rPr>
                <w:b/>
                <w:bCs/>
                <w:color w:val="000000"/>
                <w:szCs w:val="24"/>
                <w:lang w:eastAsia="en-GB"/>
              </w:rPr>
              <w:t>Location of manufacturing sites 1</w:t>
            </w:r>
          </w:p>
        </w:tc>
        <w:tc>
          <w:tcPr>
            <w:tcW w:w="5638" w:type="dxa"/>
            <w:tcBorders>
              <w:left w:val="single" w:sz="4" w:space="0" w:color="000000"/>
              <w:bottom w:val="single" w:sz="4" w:space="0" w:color="auto"/>
              <w:right w:val="single" w:sz="4" w:space="0" w:color="000000"/>
            </w:tcBorders>
            <w:shd w:val="clear" w:color="auto" w:fill="auto"/>
          </w:tcPr>
          <w:p w14:paraId="43BEF653" w14:textId="77777777" w:rsidR="002E0C60" w:rsidRPr="009D7BFF" w:rsidRDefault="002E0C60" w:rsidP="007D001C">
            <w:pPr>
              <w:rPr>
                <w:lang w:val="en-US"/>
              </w:rPr>
            </w:pPr>
            <w:r w:rsidRPr="00212E71">
              <w:rPr>
                <w:lang w:val="en-US"/>
              </w:rPr>
              <w:t>PURAC bioquímica</w:t>
            </w:r>
          </w:p>
          <w:p w14:paraId="0FFCB987" w14:textId="77777777" w:rsidR="002E0C60" w:rsidRPr="009D7BFF" w:rsidRDefault="002E0C60" w:rsidP="007D001C">
            <w:pPr>
              <w:rPr>
                <w:lang w:val="en-US"/>
              </w:rPr>
            </w:pPr>
            <w:r w:rsidRPr="009D7BFF">
              <w:rPr>
                <w:lang w:val="en-US"/>
              </w:rPr>
              <w:t xml:space="preserve">Gran Vial 19-25 </w:t>
            </w:r>
          </w:p>
          <w:p w14:paraId="6D662EAE" w14:textId="77777777" w:rsidR="002E0C60" w:rsidRPr="009D7BFF" w:rsidRDefault="002E0C60" w:rsidP="007D001C">
            <w:pPr>
              <w:rPr>
                <w:lang w:val="en-US"/>
              </w:rPr>
            </w:pPr>
            <w:r w:rsidRPr="009D7BFF">
              <w:rPr>
                <w:lang w:val="en-US"/>
              </w:rPr>
              <w:t>E-08160 MONTMELÓ</w:t>
            </w:r>
          </w:p>
          <w:p w14:paraId="0419C3B9" w14:textId="77777777" w:rsidR="002E0C60" w:rsidRPr="0050013A" w:rsidRDefault="002E0C60" w:rsidP="007D001C">
            <w:pPr>
              <w:snapToGrid w:val="0"/>
              <w:rPr>
                <w:lang w:val="fr-FR"/>
              </w:rPr>
            </w:pPr>
            <w:r>
              <w:rPr>
                <w:lang w:val="en-US"/>
              </w:rPr>
              <w:t>Spain</w:t>
            </w:r>
          </w:p>
        </w:tc>
      </w:tr>
      <w:tr w:rsidR="002E0C60" w:rsidRPr="0050013A" w14:paraId="373D8423" w14:textId="77777777" w:rsidTr="007D001C">
        <w:trPr>
          <w:trHeight w:val="64"/>
        </w:trPr>
        <w:tc>
          <w:tcPr>
            <w:tcW w:w="3397" w:type="dxa"/>
            <w:tcBorders>
              <w:top w:val="single" w:sz="4" w:space="0" w:color="auto"/>
              <w:left w:val="single" w:sz="4" w:space="0" w:color="000000"/>
              <w:bottom w:val="single" w:sz="4" w:space="0" w:color="auto"/>
            </w:tcBorders>
            <w:shd w:val="clear" w:color="auto" w:fill="auto"/>
          </w:tcPr>
          <w:p w14:paraId="32F86348" w14:textId="77777777" w:rsidR="002E0C60" w:rsidRDefault="002E0C60" w:rsidP="007D001C">
            <w:pPr>
              <w:rPr>
                <w:b/>
                <w:bCs/>
                <w:color w:val="000000"/>
                <w:szCs w:val="24"/>
                <w:lang w:eastAsia="en-GB"/>
              </w:rPr>
            </w:pPr>
            <w:r>
              <w:rPr>
                <w:b/>
                <w:bCs/>
                <w:color w:val="000000"/>
                <w:szCs w:val="24"/>
                <w:lang w:eastAsia="en-GB"/>
              </w:rPr>
              <w:t>Name of manufacturer 2</w:t>
            </w:r>
          </w:p>
        </w:tc>
        <w:tc>
          <w:tcPr>
            <w:tcW w:w="5638" w:type="dxa"/>
            <w:tcBorders>
              <w:top w:val="single" w:sz="4" w:space="0" w:color="auto"/>
              <w:left w:val="single" w:sz="4" w:space="0" w:color="000000"/>
              <w:bottom w:val="single" w:sz="4" w:space="0" w:color="auto"/>
              <w:right w:val="single" w:sz="4" w:space="0" w:color="000000"/>
            </w:tcBorders>
            <w:shd w:val="clear" w:color="auto" w:fill="auto"/>
          </w:tcPr>
          <w:p w14:paraId="7E05954C" w14:textId="77777777" w:rsidR="002E0C60" w:rsidRPr="00212E71" w:rsidRDefault="002E0C60" w:rsidP="007D001C">
            <w:r w:rsidRPr="00212E71">
              <w:t>PURAC Biochem</w:t>
            </w:r>
          </w:p>
        </w:tc>
      </w:tr>
      <w:tr w:rsidR="002E0C60" w:rsidRPr="0050013A" w14:paraId="45E1FE26" w14:textId="77777777" w:rsidTr="007D001C">
        <w:trPr>
          <w:trHeight w:val="497"/>
        </w:trPr>
        <w:tc>
          <w:tcPr>
            <w:tcW w:w="3397" w:type="dxa"/>
            <w:tcBorders>
              <w:top w:val="single" w:sz="4" w:space="0" w:color="auto"/>
              <w:left w:val="single" w:sz="4" w:space="0" w:color="000000"/>
              <w:bottom w:val="single" w:sz="4" w:space="0" w:color="auto"/>
            </w:tcBorders>
            <w:shd w:val="clear" w:color="auto" w:fill="auto"/>
          </w:tcPr>
          <w:p w14:paraId="4E03128C" w14:textId="77777777" w:rsidR="002E0C60" w:rsidRDefault="002E0C60" w:rsidP="007D001C">
            <w:pPr>
              <w:rPr>
                <w:b/>
                <w:bCs/>
                <w:color w:val="000000"/>
                <w:szCs w:val="24"/>
                <w:lang w:eastAsia="en-GB"/>
              </w:rPr>
            </w:pPr>
            <w:r>
              <w:rPr>
                <w:b/>
                <w:bCs/>
                <w:color w:val="000000"/>
                <w:szCs w:val="24"/>
                <w:lang w:eastAsia="en-GB"/>
              </w:rPr>
              <w:t>Address of manufacturer 2</w:t>
            </w:r>
          </w:p>
        </w:tc>
        <w:tc>
          <w:tcPr>
            <w:tcW w:w="5638" w:type="dxa"/>
            <w:tcBorders>
              <w:top w:val="single" w:sz="4" w:space="0" w:color="auto"/>
              <w:left w:val="single" w:sz="4" w:space="0" w:color="000000"/>
              <w:bottom w:val="single" w:sz="4" w:space="0" w:color="auto"/>
              <w:right w:val="single" w:sz="4" w:space="0" w:color="000000"/>
            </w:tcBorders>
            <w:shd w:val="clear" w:color="auto" w:fill="auto"/>
          </w:tcPr>
          <w:p w14:paraId="66EB6AE9" w14:textId="77777777" w:rsidR="002E0C60" w:rsidRDefault="002E0C60" w:rsidP="007D001C">
            <w:r>
              <w:t xml:space="preserve">Arkelsedijk 46 </w:t>
            </w:r>
          </w:p>
          <w:p w14:paraId="7071559E" w14:textId="77777777" w:rsidR="002E0C60" w:rsidRDefault="002E0C60" w:rsidP="007D001C">
            <w:pPr>
              <w:rPr>
                <w:rFonts w:ascii="Calibri" w:hAnsi="Calibri"/>
                <w:lang w:eastAsia="en-US"/>
              </w:rPr>
            </w:pPr>
            <w:r>
              <w:t>NL-4206 GORINCHEM</w:t>
            </w:r>
          </w:p>
          <w:p w14:paraId="46EE7A98" w14:textId="77777777" w:rsidR="002E0C60" w:rsidRPr="00212E71" w:rsidRDefault="002E0C60" w:rsidP="007D001C">
            <w:r>
              <w:rPr>
                <w:lang w:val="en-US"/>
              </w:rPr>
              <w:t>Netherlands</w:t>
            </w:r>
          </w:p>
        </w:tc>
      </w:tr>
      <w:tr w:rsidR="002E0C60" w:rsidRPr="0050013A" w14:paraId="5C59AC0B" w14:textId="77777777" w:rsidTr="007D001C">
        <w:trPr>
          <w:trHeight w:val="1085"/>
        </w:trPr>
        <w:tc>
          <w:tcPr>
            <w:tcW w:w="3397" w:type="dxa"/>
            <w:tcBorders>
              <w:top w:val="single" w:sz="4" w:space="0" w:color="auto"/>
              <w:left w:val="single" w:sz="4" w:space="0" w:color="000000"/>
              <w:bottom w:val="single" w:sz="4" w:space="0" w:color="auto"/>
            </w:tcBorders>
            <w:shd w:val="clear" w:color="auto" w:fill="auto"/>
          </w:tcPr>
          <w:p w14:paraId="09DFC4FC" w14:textId="77777777" w:rsidR="002E0C60" w:rsidRDefault="002E0C60" w:rsidP="007D001C">
            <w:pPr>
              <w:rPr>
                <w:b/>
                <w:bCs/>
                <w:color w:val="000000"/>
                <w:szCs w:val="24"/>
                <w:lang w:eastAsia="en-GB"/>
              </w:rPr>
            </w:pPr>
            <w:r>
              <w:rPr>
                <w:b/>
                <w:bCs/>
                <w:color w:val="000000"/>
                <w:szCs w:val="24"/>
                <w:lang w:eastAsia="en-GB"/>
              </w:rPr>
              <w:t>Location of manufacturing sites 2</w:t>
            </w:r>
          </w:p>
        </w:tc>
        <w:tc>
          <w:tcPr>
            <w:tcW w:w="5638" w:type="dxa"/>
            <w:tcBorders>
              <w:top w:val="single" w:sz="4" w:space="0" w:color="auto"/>
              <w:left w:val="single" w:sz="4" w:space="0" w:color="000000"/>
              <w:bottom w:val="single" w:sz="4" w:space="0" w:color="auto"/>
              <w:right w:val="single" w:sz="4" w:space="0" w:color="000000"/>
            </w:tcBorders>
            <w:shd w:val="clear" w:color="auto" w:fill="auto"/>
          </w:tcPr>
          <w:p w14:paraId="2458AC8C" w14:textId="77777777" w:rsidR="00CE6880" w:rsidRDefault="002E0C60" w:rsidP="007D001C">
            <w:r w:rsidRPr="00212E71">
              <w:t>PURAC Biochem</w:t>
            </w:r>
          </w:p>
          <w:p w14:paraId="6894AE78" w14:textId="6EFABE05" w:rsidR="002E0C60" w:rsidRDefault="002E0C60" w:rsidP="007D001C">
            <w:r>
              <w:t xml:space="preserve">Arkelsedijk 46 </w:t>
            </w:r>
          </w:p>
          <w:p w14:paraId="2AF610E7" w14:textId="77777777" w:rsidR="002E0C60" w:rsidRDefault="002E0C60" w:rsidP="007D001C">
            <w:pPr>
              <w:rPr>
                <w:rFonts w:ascii="Calibri" w:hAnsi="Calibri"/>
                <w:lang w:eastAsia="en-US"/>
              </w:rPr>
            </w:pPr>
            <w:r>
              <w:t>NL-4206 GORINCHEM</w:t>
            </w:r>
          </w:p>
          <w:p w14:paraId="3CF3498E" w14:textId="77777777" w:rsidR="002E0C60" w:rsidRPr="00D6048A" w:rsidRDefault="002E0C60" w:rsidP="007D001C">
            <w:pPr>
              <w:rPr>
                <w:lang w:val="en-US"/>
              </w:rPr>
            </w:pPr>
            <w:r>
              <w:rPr>
                <w:lang w:val="en-US"/>
              </w:rPr>
              <w:t>Netherlands</w:t>
            </w:r>
          </w:p>
        </w:tc>
      </w:tr>
    </w:tbl>
    <w:p w14:paraId="772A0B91" w14:textId="77777777" w:rsidR="002E0C60" w:rsidRPr="004B13E4" w:rsidRDefault="002E0C60" w:rsidP="002E0C60">
      <w:pPr>
        <w:pStyle w:val="Absatz"/>
        <w:ind w:left="0"/>
        <w:jc w:val="both"/>
        <w:rPr>
          <w:rFonts w:ascii="Verdana" w:hAnsi="Verdana"/>
          <w:lang w:val="en-US" w:eastAsia="en-US"/>
        </w:rPr>
      </w:pPr>
      <w:r w:rsidRPr="004B13E4">
        <w:rPr>
          <w:rFonts w:ascii="Verdana" w:hAnsi="Verdana"/>
          <w:lang w:val="en-US" w:eastAsia="en-US"/>
        </w:rPr>
        <w:t xml:space="preserve">* Please note that company logo has been changed to </w:t>
      </w:r>
      <w:r w:rsidRPr="004B13E4">
        <w:rPr>
          <w:rFonts w:ascii="Verdana" w:hAnsi="Verdana"/>
          <w:i/>
          <w:lang w:val="en-US" w:eastAsia="en-US"/>
        </w:rPr>
        <w:t>CORBION</w:t>
      </w:r>
      <w:r w:rsidRPr="004B13E4">
        <w:rPr>
          <w:rFonts w:ascii="Verdana" w:hAnsi="Verdana"/>
          <w:lang w:val="en-US" w:eastAsia="en-US"/>
        </w:rPr>
        <w:t>, but pharma registrations stay under the existing legal entity names (PURAC Biochem bv and PURAC bioquimica SA). The logo change will have no impact on our pharma registrations.</w:t>
      </w:r>
    </w:p>
    <w:p w14:paraId="3E2057A0" w14:textId="77777777" w:rsidR="002E0C60" w:rsidRPr="00D6048A" w:rsidRDefault="002E0C60" w:rsidP="0050013A">
      <w:pPr>
        <w:pStyle w:val="Absatz"/>
        <w:ind w:left="0"/>
        <w:rPr>
          <w:lang w:val="en-US" w:eastAsia="en-US"/>
        </w:rPr>
      </w:pPr>
    </w:p>
    <w:p w14:paraId="2E4CE4E4" w14:textId="77777777" w:rsidR="0050013A" w:rsidRPr="0050013A" w:rsidRDefault="0050013A" w:rsidP="0050013A">
      <w:pPr>
        <w:pStyle w:val="Absatz"/>
        <w:rPr>
          <w:lang w:val="de-DE" w:eastAsia="en-US"/>
        </w:rPr>
      </w:pPr>
    </w:p>
    <w:p w14:paraId="56F5C2A3" w14:textId="77777777" w:rsidR="009D0C0B" w:rsidRDefault="00FA480B">
      <w:pPr>
        <w:pStyle w:val="Titre3"/>
        <w:rPr>
          <w:rFonts w:eastAsia="Calibri"/>
          <w:lang w:eastAsia="en-US"/>
        </w:rPr>
      </w:pPr>
      <w:bookmarkStart w:id="18" w:name="_Toc74732447"/>
      <w:r>
        <w:t>Product composition and formulation</w:t>
      </w:r>
      <w:bookmarkEnd w:id="18"/>
    </w:p>
    <w:bookmarkEnd w:id="11"/>
    <w:p w14:paraId="2D38CFD1"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77894E47" w14:textId="77777777" w:rsidR="009D0C0B" w:rsidRDefault="009D0C0B">
      <w:pPr>
        <w:spacing w:line="260" w:lineRule="atLeast"/>
        <w:rPr>
          <w:rFonts w:eastAsia="Calibri"/>
          <w:lang w:eastAsia="en-US"/>
        </w:rPr>
      </w:pPr>
    </w:p>
    <w:p w14:paraId="698CF353"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F5FA8F8"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D3140E">
        <w:fldChar w:fldCharType="separate"/>
      </w:r>
      <w:r>
        <w:fldChar w:fldCharType="end"/>
      </w:r>
      <w:bookmarkEnd w:id="19"/>
    </w:p>
    <w:p w14:paraId="73E2088F"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F74BBE">
        <w:fldChar w:fldCharType="begin">
          <w:ffData>
            <w:name w:val=""/>
            <w:enabled/>
            <w:calcOnExit w:val="0"/>
            <w:checkBox>
              <w:sizeAuto/>
              <w:default w:val="1"/>
            </w:checkBox>
          </w:ffData>
        </w:fldChar>
      </w:r>
      <w:r w:rsidR="00F74BBE">
        <w:instrText xml:space="preserve"> FORMCHECKBOX </w:instrText>
      </w:r>
      <w:r w:rsidR="00D3140E">
        <w:fldChar w:fldCharType="separate"/>
      </w:r>
      <w:r w:rsidR="00F74BBE">
        <w:fldChar w:fldCharType="end"/>
      </w:r>
    </w:p>
    <w:p w14:paraId="416F4751" w14:textId="77777777" w:rsidR="009D0C0B" w:rsidRDefault="00FA480B">
      <w:pPr>
        <w:pStyle w:val="Titre4"/>
      </w:pPr>
      <w:bookmarkStart w:id="20" w:name="_Toc74732448"/>
      <w:r>
        <w:t>Identity of the active substance</w:t>
      </w:r>
      <w:bookmarkEnd w:id="20"/>
    </w:p>
    <w:p w14:paraId="650FC185" w14:textId="77777777" w:rsidR="00F74BBE" w:rsidRPr="00F74BBE" w:rsidRDefault="00F74BBE" w:rsidP="00F74BBE">
      <w:pPr>
        <w:pStyle w:val="Corpsdetexte"/>
        <w:rPr>
          <w:lang w:val="de-DE"/>
        </w:rPr>
      </w:pPr>
    </w:p>
    <w:tbl>
      <w:tblPr>
        <w:tblW w:w="94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F74BBE" w:rsidRPr="00D01937" w14:paraId="500DC41B" w14:textId="77777777" w:rsidTr="00F74BBE">
        <w:tc>
          <w:tcPr>
            <w:tcW w:w="9430" w:type="dxa"/>
            <w:gridSpan w:val="2"/>
            <w:shd w:val="clear" w:color="auto" w:fill="FFFFCC"/>
          </w:tcPr>
          <w:p w14:paraId="287FF604" w14:textId="77777777" w:rsidR="00F74BBE" w:rsidRPr="00F24D0D" w:rsidRDefault="00F74BBE" w:rsidP="00AF391D">
            <w:pPr>
              <w:spacing w:line="260" w:lineRule="atLeast"/>
              <w:jc w:val="center"/>
              <w:rPr>
                <w:rFonts w:eastAsia="Calibri"/>
                <w:b/>
                <w:lang w:eastAsia="en-US"/>
              </w:rPr>
            </w:pPr>
            <w:r>
              <w:rPr>
                <w:rFonts w:eastAsia="Calibri"/>
                <w:b/>
                <w:lang w:eastAsia="en-US"/>
              </w:rPr>
              <w:t>Active substance 1</w:t>
            </w:r>
          </w:p>
        </w:tc>
      </w:tr>
      <w:tr w:rsidR="00F74BBE" w:rsidRPr="00D01937" w14:paraId="724EC660" w14:textId="77777777" w:rsidTr="00F74BBE">
        <w:tc>
          <w:tcPr>
            <w:tcW w:w="4077" w:type="dxa"/>
            <w:shd w:val="clear" w:color="auto" w:fill="auto"/>
          </w:tcPr>
          <w:p w14:paraId="3B2912AE" w14:textId="77777777" w:rsidR="00F74BBE" w:rsidRPr="00D01937" w:rsidRDefault="00F74BBE" w:rsidP="00AF391D">
            <w:pPr>
              <w:spacing w:line="260" w:lineRule="atLeast"/>
              <w:rPr>
                <w:rFonts w:eastAsia="Calibri"/>
                <w:b/>
                <w:lang w:eastAsia="en-US"/>
              </w:rPr>
            </w:pPr>
            <w:r w:rsidRPr="00D01937">
              <w:rPr>
                <w:rFonts w:eastAsia="Calibri"/>
                <w:b/>
                <w:lang w:eastAsia="en-US"/>
              </w:rPr>
              <w:t>ISO name</w:t>
            </w:r>
          </w:p>
        </w:tc>
        <w:tc>
          <w:tcPr>
            <w:tcW w:w="5353" w:type="dxa"/>
            <w:shd w:val="clear" w:color="auto" w:fill="auto"/>
          </w:tcPr>
          <w:p w14:paraId="31BE7301" w14:textId="77777777" w:rsidR="00F74BBE" w:rsidRPr="009E4FB1" w:rsidRDefault="00F74BBE" w:rsidP="00AF391D">
            <w:pPr>
              <w:rPr>
                <w:rFonts w:eastAsia="Calibri"/>
                <w:lang w:eastAsia="en-US"/>
              </w:rPr>
            </w:pPr>
            <w:r w:rsidRPr="009E4FB1">
              <w:rPr>
                <w:rFonts w:eastAsia="Calibri"/>
                <w:lang w:eastAsia="en-US"/>
              </w:rPr>
              <w:t>-</w:t>
            </w:r>
          </w:p>
        </w:tc>
      </w:tr>
      <w:tr w:rsidR="00F74BBE" w:rsidRPr="00D01937" w14:paraId="18EF2D42" w14:textId="77777777" w:rsidTr="00F74BBE">
        <w:tc>
          <w:tcPr>
            <w:tcW w:w="4077" w:type="dxa"/>
            <w:shd w:val="clear" w:color="auto" w:fill="auto"/>
          </w:tcPr>
          <w:p w14:paraId="531D48FC" w14:textId="77777777" w:rsidR="00F74BBE" w:rsidRPr="00D01937" w:rsidRDefault="00F74BBE" w:rsidP="00AF391D">
            <w:pPr>
              <w:spacing w:line="260" w:lineRule="atLeast"/>
              <w:rPr>
                <w:rFonts w:eastAsia="Calibri"/>
                <w:b/>
                <w:lang w:eastAsia="en-US"/>
              </w:rPr>
            </w:pPr>
            <w:r w:rsidRPr="00D01937">
              <w:rPr>
                <w:rFonts w:eastAsia="Calibri"/>
                <w:b/>
                <w:lang w:eastAsia="en-US"/>
              </w:rPr>
              <w:t>IUPAC or EC name</w:t>
            </w:r>
          </w:p>
        </w:tc>
        <w:tc>
          <w:tcPr>
            <w:tcW w:w="5353" w:type="dxa"/>
            <w:shd w:val="clear" w:color="auto" w:fill="auto"/>
          </w:tcPr>
          <w:p w14:paraId="2585CBFB" w14:textId="77777777" w:rsidR="00F74BBE" w:rsidRPr="00983E45" w:rsidRDefault="00F74BBE" w:rsidP="00AF391D">
            <w:pPr>
              <w:rPr>
                <w:rFonts w:eastAsia="Calibri"/>
                <w:lang w:eastAsia="en-US"/>
              </w:rPr>
            </w:pPr>
            <w:r w:rsidRPr="00C62B73">
              <w:rPr>
                <w:rFonts w:cs="EUAlbertina"/>
                <w:color w:val="000000"/>
              </w:rPr>
              <w:t>Polyvinylpyrrolidone iodine</w:t>
            </w:r>
            <w:r>
              <w:rPr>
                <w:rFonts w:cs="EUAlbertina"/>
                <w:color w:val="000000"/>
              </w:rPr>
              <w:t xml:space="preserve"> (PVPI)</w:t>
            </w:r>
          </w:p>
        </w:tc>
      </w:tr>
      <w:tr w:rsidR="00F74BBE" w:rsidRPr="00D01937" w14:paraId="021F51FF" w14:textId="77777777" w:rsidTr="00F74BBE">
        <w:tc>
          <w:tcPr>
            <w:tcW w:w="4077" w:type="dxa"/>
            <w:shd w:val="clear" w:color="auto" w:fill="auto"/>
          </w:tcPr>
          <w:p w14:paraId="2AA804FC" w14:textId="77777777" w:rsidR="00F74BBE" w:rsidRPr="00D01937" w:rsidRDefault="00F74BBE" w:rsidP="00AF391D">
            <w:pPr>
              <w:spacing w:line="260" w:lineRule="atLeast"/>
              <w:rPr>
                <w:rFonts w:eastAsia="Calibri"/>
                <w:b/>
                <w:lang w:eastAsia="en-US"/>
              </w:rPr>
            </w:pPr>
            <w:r w:rsidRPr="00D01937">
              <w:rPr>
                <w:rFonts w:eastAsia="Calibri"/>
                <w:b/>
                <w:lang w:eastAsia="en-US"/>
              </w:rPr>
              <w:t>EC number</w:t>
            </w:r>
          </w:p>
        </w:tc>
        <w:tc>
          <w:tcPr>
            <w:tcW w:w="5353" w:type="dxa"/>
            <w:shd w:val="clear" w:color="auto" w:fill="auto"/>
          </w:tcPr>
          <w:p w14:paraId="0AD40061" w14:textId="77777777" w:rsidR="00F74BBE" w:rsidRPr="009E4FB1" w:rsidRDefault="00F74BBE" w:rsidP="00AF391D">
            <w:pPr>
              <w:rPr>
                <w:rFonts w:eastAsia="Calibri"/>
                <w:lang w:eastAsia="en-US"/>
              </w:rPr>
            </w:pPr>
            <w:r w:rsidRPr="009E4FB1">
              <w:rPr>
                <w:rFonts w:eastAsia="Calibri"/>
                <w:lang w:eastAsia="en-US"/>
              </w:rPr>
              <w:t xml:space="preserve">n/a </w:t>
            </w:r>
            <w:r w:rsidRPr="00224371">
              <w:rPr>
                <w:rFonts w:eastAsia="TimesNewRoman" w:cs="TimesNewRoman"/>
                <w:lang w:eastAsia="en-GB"/>
              </w:rPr>
              <w:t xml:space="preserve"> </w:t>
            </w:r>
          </w:p>
        </w:tc>
      </w:tr>
      <w:tr w:rsidR="00F74BBE" w:rsidRPr="00D01937" w14:paraId="0FB673C2" w14:textId="77777777" w:rsidTr="00F74BBE">
        <w:tc>
          <w:tcPr>
            <w:tcW w:w="4077" w:type="dxa"/>
            <w:shd w:val="clear" w:color="auto" w:fill="auto"/>
          </w:tcPr>
          <w:p w14:paraId="0699656D" w14:textId="77777777" w:rsidR="00F74BBE" w:rsidRPr="00D01937" w:rsidRDefault="00F74BBE" w:rsidP="00AF391D">
            <w:pPr>
              <w:spacing w:line="260" w:lineRule="atLeast"/>
              <w:rPr>
                <w:rFonts w:eastAsia="Calibri"/>
                <w:b/>
                <w:lang w:eastAsia="en-US"/>
              </w:rPr>
            </w:pPr>
            <w:r w:rsidRPr="00D01937">
              <w:rPr>
                <w:rFonts w:eastAsia="Calibri"/>
                <w:b/>
                <w:lang w:eastAsia="en-US"/>
              </w:rPr>
              <w:t>CAS number</w:t>
            </w:r>
          </w:p>
        </w:tc>
        <w:tc>
          <w:tcPr>
            <w:tcW w:w="5353" w:type="dxa"/>
            <w:shd w:val="clear" w:color="auto" w:fill="auto"/>
          </w:tcPr>
          <w:p w14:paraId="45D4CC82" w14:textId="77777777" w:rsidR="00F74BBE" w:rsidRPr="009E4FB1" w:rsidRDefault="00F74BBE" w:rsidP="00AF391D">
            <w:pPr>
              <w:rPr>
                <w:rFonts w:eastAsia="Calibri"/>
                <w:lang w:eastAsia="en-US"/>
              </w:rPr>
            </w:pPr>
            <w:r w:rsidRPr="00224371">
              <w:rPr>
                <w:rFonts w:eastAsia="TimesNewRoman" w:cs="TimesNewRoman"/>
                <w:lang w:eastAsia="en-GB"/>
              </w:rPr>
              <w:t>25655-41-8</w:t>
            </w:r>
          </w:p>
        </w:tc>
      </w:tr>
      <w:tr w:rsidR="00F74BBE" w:rsidRPr="00D01937" w14:paraId="3AF204DE" w14:textId="77777777" w:rsidTr="00F74BBE">
        <w:tc>
          <w:tcPr>
            <w:tcW w:w="4077" w:type="dxa"/>
            <w:shd w:val="clear" w:color="auto" w:fill="auto"/>
          </w:tcPr>
          <w:p w14:paraId="65838A2E" w14:textId="77777777" w:rsidR="00F74BBE" w:rsidRPr="00D01937" w:rsidRDefault="00F74BBE" w:rsidP="00AF391D">
            <w:pPr>
              <w:spacing w:line="260" w:lineRule="atLeast"/>
              <w:rPr>
                <w:rFonts w:eastAsia="Calibri"/>
                <w:b/>
                <w:lang w:eastAsia="en-US"/>
              </w:rPr>
            </w:pPr>
            <w:r w:rsidRPr="00D01937">
              <w:rPr>
                <w:rFonts w:eastAsia="Calibri"/>
                <w:b/>
                <w:lang w:eastAsia="en-US"/>
              </w:rPr>
              <w:t>Index number in Annex VI of CLP</w:t>
            </w:r>
          </w:p>
        </w:tc>
        <w:tc>
          <w:tcPr>
            <w:tcW w:w="5353" w:type="dxa"/>
            <w:shd w:val="clear" w:color="auto" w:fill="auto"/>
          </w:tcPr>
          <w:p w14:paraId="0258E31A" w14:textId="77777777" w:rsidR="00F74BBE" w:rsidRPr="009E4FB1" w:rsidRDefault="00F74BBE" w:rsidP="00AF391D">
            <w:r w:rsidRPr="009E4FB1">
              <w:t xml:space="preserve">053-001-00-3 </w:t>
            </w:r>
          </w:p>
          <w:p w14:paraId="270D0E80" w14:textId="77777777" w:rsidR="00F74BBE" w:rsidRPr="009E4FB1" w:rsidRDefault="00F74BBE" w:rsidP="00AF391D">
            <w:pPr>
              <w:rPr>
                <w:rFonts w:eastAsia="Calibri"/>
                <w:lang w:eastAsia="en-US"/>
              </w:rPr>
            </w:pPr>
            <w:r w:rsidRPr="009E4FB1">
              <w:t>CLP00</w:t>
            </w:r>
          </w:p>
        </w:tc>
      </w:tr>
      <w:tr w:rsidR="00F74BBE" w:rsidRPr="00D01937" w14:paraId="6F7A3983" w14:textId="77777777" w:rsidTr="00F74BBE">
        <w:tc>
          <w:tcPr>
            <w:tcW w:w="4077" w:type="dxa"/>
            <w:shd w:val="clear" w:color="auto" w:fill="auto"/>
          </w:tcPr>
          <w:p w14:paraId="71B18440" w14:textId="77777777" w:rsidR="00F74BBE" w:rsidRPr="00D01937" w:rsidRDefault="00F74BBE" w:rsidP="00AF391D">
            <w:pPr>
              <w:spacing w:line="260" w:lineRule="atLeast"/>
              <w:rPr>
                <w:rFonts w:eastAsia="Calibri"/>
                <w:b/>
                <w:lang w:eastAsia="en-US"/>
              </w:rPr>
            </w:pPr>
            <w:r w:rsidRPr="00D01937">
              <w:rPr>
                <w:rFonts w:eastAsia="Calibri"/>
                <w:b/>
                <w:lang w:eastAsia="en-US"/>
              </w:rPr>
              <w:t>Minimum purity / content</w:t>
            </w:r>
          </w:p>
        </w:tc>
        <w:tc>
          <w:tcPr>
            <w:tcW w:w="5353" w:type="dxa"/>
            <w:shd w:val="clear" w:color="auto" w:fill="auto"/>
          </w:tcPr>
          <w:p w14:paraId="422B6FA7" w14:textId="3D28B66D" w:rsidR="00F74BBE" w:rsidRDefault="00AF391D" w:rsidP="00AF391D">
            <w:pPr>
              <w:rPr>
                <w:rFonts w:eastAsia="Calibri"/>
                <w:lang w:eastAsia="en-US"/>
              </w:rPr>
            </w:pPr>
            <w:r>
              <w:rPr>
                <w:rFonts w:eastAsia="Calibri"/>
                <w:lang w:eastAsia="en-US"/>
              </w:rPr>
              <w:t>Minimum content iodine in PVPi: 9%</w:t>
            </w:r>
          </w:p>
          <w:p w14:paraId="176742CC" w14:textId="77777777" w:rsidR="00F74BBE" w:rsidRPr="009E4FB1" w:rsidRDefault="00F74BBE" w:rsidP="00AF391D">
            <w:pPr>
              <w:rPr>
                <w:rFonts w:eastAsia="Calibri"/>
                <w:lang w:eastAsia="en-US"/>
              </w:rPr>
            </w:pPr>
            <w:r>
              <w:rPr>
                <w:rFonts w:eastAsia="Calibri"/>
                <w:lang w:eastAsia="en-US"/>
              </w:rPr>
              <w:t xml:space="preserve">Purity of iodine: </w:t>
            </w:r>
            <w:r w:rsidRPr="009E4FB1">
              <w:rPr>
                <w:rFonts w:eastAsia="Calibri"/>
                <w:lang w:eastAsia="en-US"/>
              </w:rPr>
              <w:t>995 g/kg</w:t>
            </w:r>
            <w:r>
              <w:rPr>
                <w:rFonts w:eastAsia="Calibri"/>
                <w:lang w:eastAsia="en-US"/>
              </w:rPr>
              <w:t xml:space="preserve"> </w:t>
            </w:r>
          </w:p>
        </w:tc>
      </w:tr>
      <w:tr w:rsidR="00F74BBE" w:rsidRPr="00D01937" w14:paraId="6ABD28F9" w14:textId="77777777" w:rsidTr="002C6809">
        <w:trPr>
          <w:trHeight w:val="1905"/>
        </w:trPr>
        <w:tc>
          <w:tcPr>
            <w:tcW w:w="4077" w:type="dxa"/>
            <w:shd w:val="clear" w:color="auto" w:fill="auto"/>
          </w:tcPr>
          <w:p w14:paraId="3EFD59A4" w14:textId="77777777" w:rsidR="00F74BBE" w:rsidRPr="00F24D0D" w:rsidRDefault="00F74BBE" w:rsidP="00AF391D">
            <w:pPr>
              <w:spacing w:line="260" w:lineRule="atLeast"/>
              <w:rPr>
                <w:rFonts w:eastAsia="Calibri"/>
                <w:b/>
                <w:lang w:eastAsia="en-US"/>
              </w:rPr>
            </w:pPr>
            <w:r>
              <w:rPr>
                <w:rFonts w:eastAsia="Calibri"/>
                <w:b/>
                <w:lang w:eastAsia="en-US"/>
              </w:rPr>
              <w:t>Structural formula</w:t>
            </w:r>
          </w:p>
        </w:tc>
        <w:tc>
          <w:tcPr>
            <w:tcW w:w="5353" w:type="dxa"/>
            <w:shd w:val="clear" w:color="auto" w:fill="auto"/>
          </w:tcPr>
          <w:p w14:paraId="1864B695" w14:textId="77777777" w:rsidR="00F74BBE" w:rsidRPr="009E4FB1" w:rsidRDefault="00F74BBE" w:rsidP="00AF391D">
            <w:pPr>
              <w:rPr>
                <w:rFonts w:eastAsia="Calibri"/>
                <w:lang w:eastAsia="en-US"/>
              </w:rPr>
            </w:pPr>
            <w:r w:rsidRPr="41262427">
              <w:rPr>
                <w:noProof/>
                <w:lang w:eastAsia="en-GB"/>
              </w:rPr>
              <w:t xml:space="preserve"> </w:t>
            </w:r>
            <w:r>
              <w:rPr>
                <w:noProof/>
                <w:lang w:val="fr-FR" w:eastAsia="fr-FR"/>
              </w:rPr>
              <w:drawing>
                <wp:inline distT="0" distB="0" distL="0" distR="0" wp14:anchorId="6DF31C56" wp14:editId="52EE9E1B">
                  <wp:extent cx="3232785" cy="1116418"/>
                  <wp:effectExtent l="0" t="0" r="5715" b="7620"/>
                  <wp:docPr id="673862626" name="Picture 67386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37239" cy="1117956"/>
                          </a:xfrm>
                          <a:prstGeom prst="rect">
                            <a:avLst/>
                          </a:prstGeom>
                        </pic:spPr>
                      </pic:pic>
                    </a:graphicData>
                  </a:graphic>
                </wp:inline>
              </w:drawing>
            </w:r>
          </w:p>
        </w:tc>
      </w:tr>
    </w:tbl>
    <w:p w14:paraId="75D9D728" w14:textId="77777777" w:rsidR="00F74BBE" w:rsidRDefault="00F74BBE">
      <w:pPr>
        <w:spacing w:line="260" w:lineRule="atLeast"/>
        <w:jc w:val="both"/>
        <w:rPr>
          <w:rFonts w:eastAsia="Calibri"/>
          <w:lang w:eastAsia="fr-FR"/>
        </w:rPr>
      </w:pPr>
    </w:p>
    <w:p w14:paraId="41201FA7" w14:textId="77777777" w:rsidR="00F74BBE" w:rsidRDefault="00F74BBE">
      <w:pPr>
        <w:spacing w:line="260" w:lineRule="atLeast"/>
        <w:jc w:val="both"/>
        <w:rPr>
          <w:rFonts w:eastAsia="Calibri"/>
          <w:lang w:eastAsia="fr-FR"/>
        </w:rPr>
      </w:pPr>
    </w:p>
    <w:tbl>
      <w:tblPr>
        <w:tblW w:w="94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F74BBE" w:rsidRPr="00D01937" w14:paraId="120CFA97" w14:textId="77777777" w:rsidTr="00F74BBE">
        <w:tc>
          <w:tcPr>
            <w:tcW w:w="9430" w:type="dxa"/>
            <w:gridSpan w:val="2"/>
            <w:shd w:val="clear" w:color="auto" w:fill="FFFFCC"/>
          </w:tcPr>
          <w:p w14:paraId="086B28E8" w14:textId="77777777" w:rsidR="00F74BBE" w:rsidRPr="00F24D0D" w:rsidRDefault="00F74BBE" w:rsidP="00AF391D">
            <w:pPr>
              <w:spacing w:line="260" w:lineRule="atLeast"/>
              <w:jc w:val="center"/>
              <w:rPr>
                <w:rFonts w:eastAsia="Calibri"/>
                <w:b/>
                <w:lang w:eastAsia="en-US"/>
              </w:rPr>
            </w:pPr>
            <w:r>
              <w:rPr>
                <w:rFonts w:eastAsia="Calibri"/>
                <w:b/>
                <w:lang w:eastAsia="en-US"/>
              </w:rPr>
              <w:t>Active substance 2</w:t>
            </w:r>
          </w:p>
        </w:tc>
      </w:tr>
      <w:tr w:rsidR="00F74BBE" w:rsidRPr="00D01937" w14:paraId="59922C66" w14:textId="77777777" w:rsidTr="00F74BBE">
        <w:tc>
          <w:tcPr>
            <w:tcW w:w="4077" w:type="dxa"/>
            <w:shd w:val="clear" w:color="auto" w:fill="auto"/>
          </w:tcPr>
          <w:p w14:paraId="16F63013" w14:textId="77777777" w:rsidR="00F74BBE" w:rsidRPr="00D01937" w:rsidRDefault="00F74BBE" w:rsidP="00AF391D">
            <w:pPr>
              <w:spacing w:line="260" w:lineRule="atLeast"/>
              <w:rPr>
                <w:rFonts w:eastAsia="Calibri"/>
                <w:b/>
                <w:lang w:eastAsia="en-US"/>
              </w:rPr>
            </w:pPr>
            <w:r w:rsidRPr="00D01937">
              <w:rPr>
                <w:rFonts w:eastAsia="Calibri"/>
                <w:b/>
                <w:lang w:eastAsia="en-US"/>
              </w:rPr>
              <w:lastRenderedPageBreak/>
              <w:t>ISO name</w:t>
            </w:r>
          </w:p>
        </w:tc>
        <w:tc>
          <w:tcPr>
            <w:tcW w:w="5353" w:type="dxa"/>
            <w:shd w:val="clear" w:color="auto" w:fill="auto"/>
          </w:tcPr>
          <w:p w14:paraId="7D9F0BBC" w14:textId="77777777" w:rsidR="00F74BBE" w:rsidRPr="009E4FB1" w:rsidRDefault="00F74BBE" w:rsidP="00AF391D">
            <w:pPr>
              <w:rPr>
                <w:rFonts w:eastAsia="Calibri"/>
                <w:lang w:eastAsia="en-US"/>
              </w:rPr>
            </w:pPr>
            <w:r w:rsidRPr="00520705">
              <w:t>L-(+)</w:t>
            </w:r>
            <w:r>
              <w:t xml:space="preserve"> Lactic acid</w:t>
            </w:r>
          </w:p>
        </w:tc>
      </w:tr>
      <w:tr w:rsidR="00F74BBE" w:rsidRPr="00D01937" w14:paraId="385E416D" w14:textId="77777777" w:rsidTr="00F74BBE">
        <w:tc>
          <w:tcPr>
            <w:tcW w:w="4077" w:type="dxa"/>
            <w:shd w:val="clear" w:color="auto" w:fill="auto"/>
          </w:tcPr>
          <w:p w14:paraId="57BE1DB2" w14:textId="77777777" w:rsidR="00F74BBE" w:rsidRPr="00D01937" w:rsidRDefault="00F74BBE" w:rsidP="00AF391D">
            <w:pPr>
              <w:spacing w:line="260" w:lineRule="atLeast"/>
              <w:rPr>
                <w:rFonts w:eastAsia="Calibri"/>
                <w:b/>
                <w:lang w:eastAsia="en-US"/>
              </w:rPr>
            </w:pPr>
            <w:r w:rsidRPr="00D01937">
              <w:rPr>
                <w:rFonts w:eastAsia="Calibri"/>
                <w:b/>
                <w:lang w:eastAsia="en-US"/>
              </w:rPr>
              <w:t>IUPAC or EC name</w:t>
            </w:r>
          </w:p>
        </w:tc>
        <w:tc>
          <w:tcPr>
            <w:tcW w:w="5353" w:type="dxa"/>
            <w:shd w:val="clear" w:color="auto" w:fill="auto"/>
          </w:tcPr>
          <w:p w14:paraId="33860AEF" w14:textId="77777777" w:rsidR="00F74BBE" w:rsidRPr="00983E45" w:rsidRDefault="00F74BBE" w:rsidP="00AF391D">
            <w:pPr>
              <w:rPr>
                <w:rFonts w:eastAsia="Calibri"/>
                <w:lang w:eastAsia="en-US"/>
              </w:rPr>
            </w:pPr>
            <w:r w:rsidRPr="00AA19A4">
              <w:rPr>
                <w:rFonts w:eastAsia="Calibri"/>
                <w:lang w:eastAsia="en-US"/>
              </w:rPr>
              <w:t>(2S)-2-hydroxypropanoic acid</w:t>
            </w:r>
          </w:p>
        </w:tc>
      </w:tr>
      <w:tr w:rsidR="00F74BBE" w:rsidRPr="00D01937" w14:paraId="55508C81" w14:textId="77777777" w:rsidTr="00F74BBE">
        <w:tc>
          <w:tcPr>
            <w:tcW w:w="4077" w:type="dxa"/>
            <w:shd w:val="clear" w:color="auto" w:fill="auto"/>
          </w:tcPr>
          <w:p w14:paraId="1300BAD5" w14:textId="77777777" w:rsidR="00F74BBE" w:rsidRPr="00D01937" w:rsidRDefault="00F74BBE" w:rsidP="00AF391D">
            <w:pPr>
              <w:spacing w:line="260" w:lineRule="atLeast"/>
              <w:rPr>
                <w:rFonts w:eastAsia="Calibri"/>
                <w:b/>
                <w:lang w:eastAsia="en-US"/>
              </w:rPr>
            </w:pPr>
            <w:r w:rsidRPr="00D01937">
              <w:rPr>
                <w:rFonts w:eastAsia="Calibri"/>
                <w:b/>
                <w:lang w:eastAsia="en-US"/>
              </w:rPr>
              <w:t>EC number</w:t>
            </w:r>
          </w:p>
        </w:tc>
        <w:tc>
          <w:tcPr>
            <w:tcW w:w="5353" w:type="dxa"/>
            <w:shd w:val="clear" w:color="auto" w:fill="auto"/>
          </w:tcPr>
          <w:p w14:paraId="1E0C34C1" w14:textId="77777777" w:rsidR="00F74BBE" w:rsidRPr="009E4FB1" w:rsidRDefault="00F74BBE" w:rsidP="00AF391D">
            <w:pPr>
              <w:rPr>
                <w:rFonts w:eastAsia="Calibri"/>
                <w:lang w:eastAsia="en-US"/>
              </w:rPr>
            </w:pPr>
            <w:r w:rsidRPr="00AB2C79">
              <w:rPr>
                <w:rFonts w:eastAsia="Calibri"/>
                <w:lang w:eastAsia="en-US"/>
              </w:rPr>
              <w:t>201-196-2</w:t>
            </w:r>
          </w:p>
        </w:tc>
      </w:tr>
      <w:tr w:rsidR="00F74BBE" w:rsidRPr="00D01937" w14:paraId="797C0DAD" w14:textId="77777777" w:rsidTr="00F74BBE">
        <w:tc>
          <w:tcPr>
            <w:tcW w:w="4077" w:type="dxa"/>
            <w:shd w:val="clear" w:color="auto" w:fill="auto"/>
          </w:tcPr>
          <w:p w14:paraId="0E2B1A24" w14:textId="77777777" w:rsidR="00F74BBE" w:rsidRPr="00D01937" w:rsidRDefault="00F74BBE" w:rsidP="00AF391D">
            <w:pPr>
              <w:spacing w:line="260" w:lineRule="atLeast"/>
              <w:rPr>
                <w:rFonts w:eastAsia="Calibri"/>
                <w:b/>
                <w:lang w:eastAsia="en-US"/>
              </w:rPr>
            </w:pPr>
            <w:r w:rsidRPr="00D01937">
              <w:rPr>
                <w:rFonts w:eastAsia="Calibri"/>
                <w:b/>
                <w:lang w:eastAsia="en-US"/>
              </w:rPr>
              <w:t>CAS number</w:t>
            </w:r>
          </w:p>
        </w:tc>
        <w:tc>
          <w:tcPr>
            <w:tcW w:w="5353" w:type="dxa"/>
            <w:shd w:val="clear" w:color="auto" w:fill="auto"/>
          </w:tcPr>
          <w:p w14:paraId="2696926C" w14:textId="77777777" w:rsidR="00F74BBE" w:rsidRPr="009E4FB1" w:rsidRDefault="00F74BBE" w:rsidP="00AF391D">
            <w:pPr>
              <w:rPr>
                <w:rFonts w:eastAsia="Calibri"/>
                <w:lang w:eastAsia="en-US"/>
              </w:rPr>
            </w:pPr>
            <w:r w:rsidRPr="00876D94">
              <w:rPr>
                <w:rFonts w:eastAsia="Calibri"/>
                <w:lang w:eastAsia="en-US"/>
              </w:rPr>
              <w:t>79-33-4</w:t>
            </w:r>
          </w:p>
        </w:tc>
      </w:tr>
      <w:tr w:rsidR="00F74BBE" w:rsidRPr="00D01937" w14:paraId="53B8A41D" w14:textId="77777777" w:rsidTr="00F74BBE">
        <w:tc>
          <w:tcPr>
            <w:tcW w:w="4077" w:type="dxa"/>
            <w:shd w:val="clear" w:color="auto" w:fill="auto"/>
          </w:tcPr>
          <w:p w14:paraId="27259AE3" w14:textId="77777777" w:rsidR="00F74BBE" w:rsidRPr="00D01937" w:rsidRDefault="00F74BBE" w:rsidP="00AF391D">
            <w:pPr>
              <w:spacing w:line="260" w:lineRule="atLeast"/>
              <w:rPr>
                <w:rFonts w:eastAsia="Calibri"/>
                <w:b/>
                <w:lang w:eastAsia="en-US"/>
              </w:rPr>
            </w:pPr>
            <w:r w:rsidRPr="00D01937">
              <w:rPr>
                <w:rFonts w:eastAsia="Calibri"/>
                <w:b/>
                <w:lang w:eastAsia="en-US"/>
              </w:rPr>
              <w:t>Index number in Annex VI of CLP</w:t>
            </w:r>
          </w:p>
        </w:tc>
        <w:tc>
          <w:tcPr>
            <w:tcW w:w="5353" w:type="dxa"/>
            <w:shd w:val="clear" w:color="auto" w:fill="auto"/>
          </w:tcPr>
          <w:p w14:paraId="68B3C5D0" w14:textId="77777777" w:rsidR="00F74BBE" w:rsidRPr="009E4FB1" w:rsidRDefault="00F74BBE" w:rsidP="00AF391D">
            <w:pPr>
              <w:rPr>
                <w:rFonts w:eastAsia="Calibri"/>
                <w:lang w:eastAsia="en-US"/>
              </w:rPr>
            </w:pPr>
            <w:r>
              <w:t>No current Annex VI entry</w:t>
            </w:r>
          </w:p>
        </w:tc>
      </w:tr>
      <w:tr w:rsidR="00F74BBE" w:rsidRPr="00D01937" w14:paraId="23E47E51" w14:textId="77777777" w:rsidTr="00F74BBE">
        <w:tc>
          <w:tcPr>
            <w:tcW w:w="4077" w:type="dxa"/>
            <w:shd w:val="clear" w:color="auto" w:fill="auto"/>
          </w:tcPr>
          <w:p w14:paraId="6D7CC76C" w14:textId="77777777" w:rsidR="00F74BBE" w:rsidRPr="00D01937" w:rsidRDefault="00F74BBE" w:rsidP="00AF391D">
            <w:pPr>
              <w:spacing w:line="260" w:lineRule="atLeast"/>
              <w:rPr>
                <w:rFonts w:eastAsia="Calibri"/>
                <w:b/>
                <w:lang w:eastAsia="en-US"/>
              </w:rPr>
            </w:pPr>
            <w:r w:rsidRPr="00D01937">
              <w:rPr>
                <w:rFonts w:eastAsia="Calibri"/>
                <w:b/>
                <w:lang w:eastAsia="en-US"/>
              </w:rPr>
              <w:t>Minimum purity / content</w:t>
            </w:r>
          </w:p>
        </w:tc>
        <w:tc>
          <w:tcPr>
            <w:tcW w:w="5353" w:type="dxa"/>
            <w:shd w:val="clear" w:color="auto" w:fill="auto"/>
          </w:tcPr>
          <w:p w14:paraId="66FB60BC" w14:textId="1DD4EA15" w:rsidR="00F74BBE" w:rsidRDefault="00F74BBE" w:rsidP="00AF391D">
            <w:r>
              <w:rPr>
                <w:rFonts w:eastAsia="Calibri"/>
                <w:lang w:eastAsia="en-US"/>
              </w:rPr>
              <w:t>L</w:t>
            </w:r>
            <w:r w:rsidRPr="00520705">
              <w:t>-(+)-</w:t>
            </w:r>
            <w:r>
              <w:t>L</w:t>
            </w:r>
            <w:r w:rsidRPr="00520705">
              <w:t>actic acid</w:t>
            </w:r>
            <w:r>
              <w:t xml:space="preserve"> in solution of 5</w:t>
            </w:r>
            <w:r w:rsidRPr="00CB52C5">
              <w:t xml:space="preserve">0% </w:t>
            </w:r>
            <w:r>
              <w:t>w/w (SDS)</w:t>
            </w:r>
          </w:p>
          <w:p w14:paraId="54BAF8B8" w14:textId="77777777" w:rsidR="00F74BBE" w:rsidRPr="009E4FB1" w:rsidRDefault="00F74BBE" w:rsidP="00AF391D">
            <w:pPr>
              <w:rPr>
                <w:rFonts w:eastAsia="Calibri"/>
                <w:lang w:eastAsia="en-US"/>
              </w:rPr>
            </w:pPr>
            <w:r>
              <w:rPr>
                <w:rFonts w:eastAsia="Calibri"/>
                <w:lang w:eastAsia="en-US"/>
              </w:rPr>
              <w:t>Min. purity of L-(+)-lactic acid: 95.5% w/w</w:t>
            </w:r>
          </w:p>
        </w:tc>
      </w:tr>
      <w:tr w:rsidR="00F74BBE" w:rsidRPr="00D01937" w14:paraId="0932E9C9" w14:textId="77777777" w:rsidTr="002C6809">
        <w:trPr>
          <w:trHeight w:val="1659"/>
        </w:trPr>
        <w:tc>
          <w:tcPr>
            <w:tcW w:w="4077" w:type="dxa"/>
            <w:shd w:val="clear" w:color="auto" w:fill="auto"/>
          </w:tcPr>
          <w:p w14:paraId="0FCEAA3E" w14:textId="77777777" w:rsidR="00F74BBE" w:rsidRPr="00F24D0D" w:rsidRDefault="00F74BBE" w:rsidP="00AF391D">
            <w:pPr>
              <w:spacing w:line="260" w:lineRule="atLeast"/>
              <w:rPr>
                <w:rFonts w:eastAsia="Calibri"/>
                <w:b/>
                <w:lang w:eastAsia="en-US"/>
              </w:rPr>
            </w:pPr>
            <w:r>
              <w:rPr>
                <w:rFonts w:eastAsia="Calibri"/>
                <w:b/>
                <w:lang w:eastAsia="en-US"/>
              </w:rPr>
              <w:t>Structural formula</w:t>
            </w:r>
          </w:p>
        </w:tc>
        <w:tc>
          <w:tcPr>
            <w:tcW w:w="5353" w:type="dxa"/>
            <w:shd w:val="clear" w:color="auto" w:fill="auto"/>
          </w:tcPr>
          <w:p w14:paraId="0665C493" w14:textId="77777777" w:rsidR="00F74BBE" w:rsidRPr="009E4FB1" w:rsidRDefault="00F74BBE" w:rsidP="00AF391D">
            <w:pPr>
              <w:jc w:val="center"/>
              <w:rPr>
                <w:rFonts w:eastAsia="Calibri"/>
                <w:lang w:eastAsia="en-US"/>
              </w:rPr>
            </w:pPr>
            <w:r w:rsidRPr="41262427">
              <w:rPr>
                <w:noProof/>
                <w:lang w:eastAsia="en-GB"/>
              </w:rPr>
              <w:t xml:space="preserve"> </w:t>
            </w:r>
            <w:r>
              <w:rPr>
                <w:noProof/>
                <w:color w:val="0000FF"/>
                <w:lang w:val="fr-FR" w:eastAsia="fr-FR"/>
              </w:rPr>
              <w:drawing>
                <wp:inline distT="0" distB="0" distL="0" distR="0" wp14:anchorId="7A3DEE33" wp14:editId="34E82572">
                  <wp:extent cx="1457325" cy="1012031"/>
                  <wp:effectExtent l="0" t="0" r="0" b="0"/>
                  <wp:docPr id="5" name="Picture 2" descr="L-(+)-Lactic acid ≥98%">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actic acid ≥98%">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3159" cy="1023027"/>
                          </a:xfrm>
                          <a:prstGeom prst="rect">
                            <a:avLst/>
                          </a:prstGeom>
                          <a:noFill/>
                          <a:ln>
                            <a:noFill/>
                          </a:ln>
                        </pic:spPr>
                      </pic:pic>
                    </a:graphicData>
                  </a:graphic>
                </wp:inline>
              </w:drawing>
            </w:r>
          </w:p>
        </w:tc>
      </w:tr>
    </w:tbl>
    <w:p w14:paraId="013F8835" w14:textId="77777777" w:rsidR="00F74BBE" w:rsidRPr="00F74BBE" w:rsidRDefault="00F74BBE" w:rsidP="00AB1CDB">
      <w:pPr>
        <w:rPr>
          <w:lang w:eastAsia="fr-FR"/>
        </w:rPr>
      </w:pPr>
    </w:p>
    <w:p w14:paraId="7D5917F7" w14:textId="77777777" w:rsidR="009D0C0B" w:rsidRDefault="00FA480B">
      <w:pPr>
        <w:pStyle w:val="Titre4"/>
        <w:rPr>
          <w:rFonts w:ascii="Times New Roman" w:hAnsi="Times New Roman" w:cs="Times New Roman"/>
          <w:i/>
          <w:lang w:eastAsia="fr-FR"/>
        </w:rPr>
      </w:pPr>
      <w:bookmarkStart w:id="21" w:name="_Toc74732449"/>
      <w:r>
        <w:t>Candidate(s) for substitution</w:t>
      </w:r>
      <w:bookmarkEnd w:id="21"/>
    </w:p>
    <w:p w14:paraId="7DBAEBAC" w14:textId="513F346B" w:rsidR="007763D2" w:rsidRDefault="007763D2" w:rsidP="007763D2">
      <w:pPr>
        <w:spacing w:line="260" w:lineRule="atLeast"/>
        <w:jc w:val="both"/>
        <w:rPr>
          <w:lang w:eastAsia="fr-FR"/>
        </w:rPr>
      </w:pPr>
      <w:r w:rsidRPr="00C62B73">
        <w:rPr>
          <w:rFonts w:cs="EUAlbertina"/>
          <w:color w:val="000000"/>
        </w:rPr>
        <w:t>Polyvinylpyrrolidone iodine</w:t>
      </w:r>
      <w:r>
        <w:rPr>
          <w:rFonts w:cs="EUAlbertina"/>
          <w:color w:val="000000"/>
        </w:rPr>
        <w:t xml:space="preserve"> (PVPI) and </w:t>
      </w:r>
      <w:r w:rsidRPr="00520705">
        <w:t>L-(+)</w:t>
      </w:r>
      <w:r>
        <w:t xml:space="preserve"> Lactic acid</w:t>
      </w:r>
      <w:r w:rsidRPr="000D6653">
        <w:rPr>
          <w:lang w:eastAsia="fr-FR"/>
        </w:rPr>
        <w:t xml:space="preserve"> </w:t>
      </w:r>
      <w:r w:rsidRPr="00EA0D90">
        <w:rPr>
          <w:lang w:eastAsia="fr-FR"/>
        </w:rPr>
        <w:t xml:space="preserve">contained in the biocidal product </w:t>
      </w:r>
      <w:r>
        <w:rPr>
          <w:lang w:eastAsia="fr-FR"/>
        </w:rPr>
        <w:t xml:space="preserve">are </w:t>
      </w:r>
      <w:r w:rsidRPr="000D6653">
        <w:rPr>
          <w:lang w:eastAsia="fr-FR"/>
        </w:rPr>
        <w:t>not candidate</w:t>
      </w:r>
      <w:r w:rsidR="004C3809">
        <w:rPr>
          <w:lang w:eastAsia="fr-FR"/>
        </w:rPr>
        <w:t>s</w:t>
      </w:r>
      <w:r w:rsidRPr="000D6653">
        <w:rPr>
          <w:lang w:eastAsia="fr-FR"/>
        </w:rPr>
        <w:t xml:space="preserve"> for substitution</w:t>
      </w:r>
      <w:r>
        <w:rPr>
          <w:lang w:eastAsia="fr-FR"/>
        </w:rPr>
        <w:t xml:space="preserve"> </w:t>
      </w:r>
      <w:r w:rsidRPr="00EA0D90">
        <w:rPr>
          <w:lang w:eastAsia="fr-FR"/>
        </w:rPr>
        <w:t>in accordance with Article 10 of BPR.</w:t>
      </w:r>
    </w:p>
    <w:p w14:paraId="0A5425B3" w14:textId="77777777" w:rsidR="00D14F77" w:rsidRDefault="00D14F77" w:rsidP="007763D2">
      <w:pPr>
        <w:spacing w:line="260" w:lineRule="atLeast"/>
        <w:jc w:val="both"/>
        <w:rPr>
          <w:lang w:eastAsia="fr-FR"/>
        </w:rPr>
      </w:pPr>
    </w:p>
    <w:p w14:paraId="0D6F3DC1" w14:textId="77777777" w:rsidR="009D0C0B" w:rsidRDefault="00FA480B" w:rsidP="00D14F77">
      <w:pPr>
        <w:pStyle w:val="Titre4"/>
        <w:ind w:left="862" w:hanging="862"/>
        <w:rPr>
          <w:vertAlign w:val="superscript"/>
        </w:rPr>
      </w:pPr>
      <w:bookmarkStart w:id="22" w:name="_Toc74732450"/>
      <w:r>
        <w:t>Qualitative and quantitative information on the composition of the biocidal product</w:t>
      </w:r>
      <w:r>
        <w:rPr>
          <w:rStyle w:val="Appelnotedebasdep"/>
        </w:rPr>
        <w:footnoteReference w:id="3"/>
      </w:r>
      <w:bookmarkEnd w:id="22"/>
      <w:r>
        <w:rPr>
          <w:vertAlign w:val="superscript"/>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1935"/>
        <w:gridCol w:w="1674"/>
        <w:gridCol w:w="1353"/>
        <w:gridCol w:w="1353"/>
        <w:gridCol w:w="1353"/>
        <w:gridCol w:w="1353"/>
      </w:tblGrid>
      <w:tr w:rsidR="00F74BBE" w:rsidRPr="00E212B7" w14:paraId="1310CAB7" w14:textId="77777777" w:rsidTr="007763D2">
        <w:trPr>
          <w:tblHeader/>
        </w:trPr>
        <w:tc>
          <w:tcPr>
            <w:tcW w:w="1935" w:type="dxa"/>
            <w:tcBorders>
              <w:top w:val="single" w:sz="4" w:space="0" w:color="000000" w:themeColor="text1"/>
              <w:left w:val="single" w:sz="4" w:space="0" w:color="000000" w:themeColor="text1"/>
              <w:bottom w:val="single" w:sz="4" w:space="0" w:color="auto"/>
              <w:right w:val="single" w:sz="4" w:space="0" w:color="000000" w:themeColor="text1"/>
            </w:tcBorders>
            <w:tcMar>
              <w:top w:w="40" w:type="dxa"/>
              <w:left w:w="40" w:type="dxa"/>
              <w:bottom w:w="40" w:type="dxa"/>
              <w:right w:w="40" w:type="dxa"/>
            </w:tcMar>
          </w:tcPr>
          <w:p w14:paraId="7FA0D4E0" w14:textId="77777777" w:rsidR="00F74BBE" w:rsidRPr="00C62B73" w:rsidRDefault="00F74BBE" w:rsidP="00AF391D">
            <w:r w:rsidRPr="00C62B73">
              <w:rPr>
                <w:b/>
                <w:bCs/>
                <w:color w:val="000000"/>
                <w:szCs w:val="24"/>
                <w:lang w:eastAsia="en-GB"/>
              </w:rPr>
              <w:t>Common name</w:t>
            </w:r>
          </w:p>
        </w:tc>
        <w:tc>
          <w:tcPr>
            <w:tcW w:w="1674" w:type="dxa"/>
            <w:tcBorders>
              <w:top w:val="single" w:sz="4" w:space="0" w:color="000000" w:themeColor="text1"/>
              <w:left w:val="nil"/>
              <w:bottom w:val="single" w:sz="4" w:space="0" w:color="auto"/>
              <w:right w:val="single" w:sz="4" w:space="0" w:color="000000" w:themeColor="text1"/>
            </w:tcBorders>
            <w:tcMar>
              <w:top w:w="40" w:type="dxa"/>
              <w:left w:w="40" w:type="dxa"/>
              <w:bottom w:w="40" w:type="dxa"/>
              <w:right w:w="40" w:type="dxa"/>
            </w:tcMar>
          </w:tcPr>
          <w:p w14:paraId="58138551" w14:textId="77777777" w:rsidR="00F74BBE" w:rsidRPr="00C62B73" w:rsidRDefault="00F74BBE" w:rsidP="00AF391D">
            <w:r w:rsidRPr="00C62B73">
              <w:rPr>
                <w:b/>
                <w:bCs/>
                <w:color w:val="000000"/>
                <w:szCs w:val="24"/>
                <w:lang w:eastAsia="en-GB"/>
              </w:rPr>
              <w:t>IUPAC name</w:t>
            </w:r>
          </w:p>
        </w:tc>
        <w:tc>
          <w:tcPr>
            <w:tcW w:w="1353" w:type="dxa"/>
            <w:tcBorders>
              <w:top w:val="single" w:sz="4" w:space="0" w:color="000000" w:themeColor="text1"/>
              <w:left w:val="nil"/>
              <w:bottom w:val="single" w:sz="4" w:space="0" w:color="auto"/>
              <w:right w:val="single" w:sz="4" w:space="0" w:color="000000" w:themeColor="text1"/>
            </w:tcBorders>
            <w:tcMar>
              <w:top w:w="40" w:type="dxa"/>
              <w:left w:w="40" w:type="dxa"/>
              <w:bottom w:w="40" w:type="dxa"/>
              <w:right w:w="40" w:type="dxa"/>
            </w:tcMar>
          </w:tcPr>
          <w:p w14:paraId="7FEE5CA6" w14:textId="77777777" w:rsidR="00F74BBE" w:rsidRPr="00C62B73" w:rsidRDefault="00F74BBE" w:rsidP="00AF391D">
            <w:r w:rsidRPr="00C62B73">
              <w:rPr>
                <w:b/>
                <w:bCs/>
                <w:color w:val="000000"/>
                <w:szCs w:val="24"/>
                <w:lang w:eastAsia="en-GB"/>
              </w:rPr>
              <w:t>Function</w:t>
            </w:r>
          </w:p>
        </w:tc>
        <w:tc>
          <w:tcPr>
            <w:tcW w:w="1353" w:type="dxa"/>
            <w:tcBorders>
              <w:top w:val="single" w:sz="4" w:space="0" w:color="000000" w:themeColor="text1"/>
              <w:left w:val="nil"/>
              <w:bottom w:val="single" w:sz="4" w:space="0" w:color="auto"/>
              <w:right w:val="single" w:sz="4" w:space="0" w:color="000000" w:themeColor="text1"/>
            </w:tcBorders>
            <w:tcMar>
              <w:top w:w="40" w:type="dxa"/>
              <w:left w:w="40" w:type="dxa"/>
              <w:bottom w:w="40" w:type="dxa"/>
              <w:right w:w="40" w:type="dxa"/>
            </w:tcMar>
          </w:tcPr>
          <w:p w14:paraId="76653F8B" w14:textId="77777777" w:rsidR="00F74BBE" w:rsidRPr="00C62B73" w:rsidRDefault="00F74BBE" w:rsidP="00AF391D">
            <w:r w:rsidRPr="00C62B73">
              <w:rPr>
                <w:b/>
                <w:bCs/>
                <w:color w:val="000000"/>
                <w:szCs w:val="24"/>
                <w:lang w:eastAsia="en-GB"/>
              </w:rPr>
              <w:t>CAS number</w:t>
            </w:r>
          </w:p>
        </w:tc>
        <w:tc>
          <w:tcPr>
            <w:tcW w:w="1353" w:type="dxa"/>
            <w:tcBorders>
              <w:top w:val="single" w:sz="4" w:space="0" w:color="000000" w:themeColor="text1"/>
              <w:left w:val="nil"/>
              <w:bottom w:val="single" w:sz="4" w:space="0" w:color="auto"/>
              <w:right w:val="single" w:sz="4" w:space="0" w:color="000000" w:themeColor="text1"/>
            </w:tcBorders>
            <w:tcMar>
              <w:top w:w="40" w:type="dxa"/>
              <w:left w:w="40" w:type="dxa"/>
              <w:bottom w:w="40" w:type="dxa"/>
              <w:right w:w="40" w:type="dxa"/>
            </w:tcMar>
          </w:tcPr>
          <w:p w14:paraId="25439F6C" w14:textId="77777777" w:rsidR="00F74BBE" w:rsidRPr="00C62B73" w:rsidRDefault="00F74BBE" w:rsidP="00AF391D">
            <w:r w:rsidRPr="00C62B73">
              <w:rPr>
                <w:b/>
                <w:bCs/>
                <w:color w:val="000000"/>
                <w:szCs w:val="24"/>
                <w:lang w:eastAsia="en-GB"/>
              </w:rPr>
              <w:t>EC number</w:t>
            </w:r>
          </w:p>
        </w:tc>
        <w:tc>
          <w:tcPr>
            <w:tcW w:w="1353" w:type="dxa"/>
            <w:tcBorders>
              <w:top w:val="single" w:sz="4" w:space="0" w:color="000000" w:themeColor="text1"/>
              <w:left w:val="nil"/>
              <w:bottom w:val="single" w:sz="4" w:space="0" w:color="auto"/>
              <w:right w:val="single" w:sz="4" w:space="0" w:color="000000" w:themeColor="text1"/>
            </w:tcBorders>
            <w:tcMar>
              <w:top w:w="40" w:type="dxa"/>
              <w:left w:w="40" w:type="dxa"/>
              <w:bottom w:w="40" w:type="dxa"/>
              <w:right w:w="40" w:type="dxa"/>
            </w:tcMar>
          </w:tcPr>
          <w:p w14:paraId="2E47C9AD" w14:textId="77777777" w:rsidR="00F74BBE" w:rsidRPr="00C62B73" w:rsidRDefault="00F74BBE" w:rsidP="007763D2">
            <w:pPr>
              <w:jc w:val="center"/>
            </w:pPr>
            <w:r w:rsidRPr="00C62B73">
              <w:rPr>
                <w:b/>
                <w:bCs/>
                <w:color w:val="000000"/>
                <w:szCs w:val="24"/>
                <w:lang w:eastAsia="en-GB"/>
              </w:rPr>
              <w:t>Content (%)</w:t>
            </w:r>
          </w:p>
        </w:tc>
      </w:tr>
      <w:tr w:rsidR="00F74BBE" w:rsidRPr="00E212B7" w14:paraId="0FD16748" w14:textId="77777777" w:rsidTr="007763D2">
        <w:tc>
          <w:tcPr>
            <w:tcW w:w="1935" w:type="dxa"/>
            <w:tcBorders>
              <w:top w:val="single" w:sz="4" w:space="0" w:color="auto"/>
              <w:left w:val="single" w:sz="4" w:space="0" w:color="auto"/>
              <w:bottom w:val="dashed" w:sz="4" w:space="0" w:color="auto"/>
              <w:right w:val="single" w:sz="4" w:space="0" w:color="auto"/>
            </w:tcBorders>
            <w:tcMar>
              <w:top w:w="40" w:type="dxa"/>
              <w:left w:w="40" w:type="dxa"/>
              <w:bottom w:w="40" w:type="dxa"/>
              <w:right w:w="40" w:type="dxa"/>
            </w:tcMar>
          </w:tcPr>
          <w:p w14:paraId="063D924B" w14:textId="1046789C" w:rsidR="00F74BBE" w:rsidRPr="00C62B73" w:rsidRDefault="00F74BBE" w:rsidP="008B0C7B">
            <w:pPr>
              <w:rPr>
                <w:lang w:val="pl-PL"/>
              </w:rPr>
            </w:pPr>
            <w:r w:rsidRPr="00C62B73">
              <w:rPr>
                <w:lang w:val="pl-PL"/>
              </w:rPr>
              <w:t xml:space="preserve">PVPI </w:t>
            </w:r>
          </w:p>
        </w:tc>
        <w:tc>
          <w:tcPr>
            <w:tcW w:w="1674" w:type="dxa"/>
            <w:tcBorders>
              <w:top w:val="single" w:sz="4" w:space="0" w:color="auto"/>
              <w:left w:val="single" w:sz="4" w:space="0" w:color="auto"/>
              <w:bottom w:val="dashed" w:sz="4" w:space="0" w:color="auto"/>
              <w:right w:val="single" w:sz="4" w:space="0" w:color="auto"/>
            </w:tcBorders>
            <w:tcMar>
              <w:top w:w="40" w:type="dxa"/>
              <w:left w:w="40" w:type="dxa"/>
              <w:bottom w:w="40" w:type="dxa"/>
              <w:right w:w="40" w:type="dxa"/>
            </w:tcMar>
          </w:tcPr>
          <w:p w14:paraId="0322097D" w14:textId="77777777" w:rsidR="00F74BBE" w:rsidRPr="00C62B73" w:rsidRDefault="00F74BBE" w:rsidP="00AF391D">
            <w:r w:rsidRPr="00C62B73">
              <w:rPr>
                <w:rFonts w:cs="EUAlbertina"/>
                <w:color w:val="000000"/>
              </w:rPr>
              <w:t>Polyvinylpyrrolidone iodine</w:t>
            </w:r>
          </w:p>
        </w:tc>
        <w:tc>
          <w:tcPr>
            <w:tcW w:w="1353" w:type="dxa"/>
            <w:tcBorders>
              <w:top w:val="single" w:sz="4" w:space="0" w:color="auto"/>
              <w:left w:val="single" w:sz="4" w:space="0" w:color="auto"/>
              <w:bottom w:val="dashed" w:sz="4" w:space="0" w:color="auto"/>
              <w:right w:val="single" w:sz="4" w:space="0" w:color="auto"/>
            </w:tcBorders>
            <w:tcMar>
              <w:top w:w="40" w:type="dxa"/>
              <w:left w:w="40" w:type="dxa"/>
              <w:bottom w:w="40" w:type="dxa"/>
              <w:right w:w="40" w:type="dxa"/>
            </w:tcMar>
          </w:tcPr>
          <w:p w14:paraId="4BD2A367" w14:textId="77777777" w:rsidR="00F74BBE" w:rsidRPr="00C62B73" w:rsidRDefault="00F74BBE" w:rsidP="00AF391D">
            <w:r w:rsidRPr="00C62B73">
              <w:t>Active substance</w:t>
            </w:r>
          </w:p>
        </w:tc>
        <w:tc>
          <w:tcPr>
            <w:tcW w:w="1353" w:type="dxa"/>
            <w:tcBorders>
              <w:top w:val="single" w:sz="4" w:space="0" w:color="auto"/>
              <w:left w:val="single" w:sz="4" w:space="0" w:color="auto"/>
              <w:bottom w:val="dashed" w:sz="4" w:space="0" w:color="auto"/>
              <w:right w:val="single" w:sz="4" w:space="0" w:color="auto"/>
            </w:tcBorders>
            <w:tcMar>
              <w:top w:w="40" w:type="dxa"/>
              <w:left w:w="40" w:type="dxa"/>
              <w:bottom w:w="40" w:type="dxa"/>
              <w:right w:w="40" w:type="dxa"/>
            </w:tcMar>
          </w:tcPr>
          <w:p w14:paraId="6AD37997" w14:textId="77777777" w:rsidR="00F74BBE" w:rsidRPr="00C62B73" w:rsidRDefault="00F74BBE" w:rsidP="00AF391D">
            <w:r w:rsidRPr="00C62B73">
              <w:rPr>
                <w:rFonts w:cs="EUAlbertina"/>
                <w:color w:val="000000"/>
              </w:rPr>
              <w:t>25655-41-8</w:t>
            </w:r>
          </w:p>
        </w:tc>
        <w:tc>
          <w:tcPr>
            <w:tcW w:w="1353" w:type="dxa"/>
            <w:tcBorders>
              <w:top w:val="single" w:sz="4" w:space="0" w:color="auto"/>
              <w:left w:val="single" w:sz="4" w:space="0" w:color="auto"/>
              <w:bottom w:val="dashed" w:sz="4" w:space="0" w:color="auto"/>
              <w:right w:val="single" w:sz="4" w:space="0" w:color="auto"/>
            </w:tcBorders>
            <w:tcMar>
              <w:top w:w="40" w:type="dxa"/>
              <w:left w:w="40" w:type="dxa"/>
              <w:bottom w:w="40" w:type="dxa"/>
              <w:right w:w="40" w:type="dxa"/>
            </w:tcMar>
          </w:tcPr>
          <w:p w14:paraId="4DEC7829" w14:textId="77777777" w:rsidR="00F74BBE" w:rsidRPr="00C62B73" w:rsidRDefault="00F74BBE" w:rsidP="00AF391D">
            <w:r w:rsidRPr="00C62B73">
              <w:t>N/A</w:t>
            </w:r>
          </w:p>
        </w:tc>
        <w:tc>
          <w:tcPr>
            <w:tcW w:w="1353" w:type="dxa"/>
            <w:tcBorders>
              <w:top w:val="single" w:sz="4" w:space="0" w:color="auto"/>
              <w:left w:val="single" w:sz="4" w:space="0" w:color="auto"/>
              <w:bottom w:val="dashed" w:sz="4" w:space="0" w:color="auto"/>
              <w:right w:val="single" w:sz="4" w:space="0" w:color="auto"/>
            </w:tcBorders>
            <w:tcMar>
              <w:top w:w="40" w:type="dxa"/>
              <w:left w:w="40" w:type="dxa"/>
              <w:bottom w:w="40" w:type="dxa"/>
              <w:right w:w="40" w:type="dxa"/>
            </w:tcMar>
          </w:tcPr>
          <w:p w14:paraId="03CAA2BA" w14:textId="77777777" w:rsidR="00F74BBE" w:rsidRPr="00E212B7" w:rsidRDefault="00F74BBE" w:rsidP="007763D2">
            <w:pPr>
              <w:jc w:val="center"/>
            </w:pPr>
            <w:r w:rsidRPr="00C62B73">
              <w:t>0.</w:t>
            </w:r>
            <w:r w:rsidRPr="00E212B7">
              <w:t>9</w:t>
            </w:r>
          </w:p>
        </w:tc>
      </w:tr>
      <w:tr w:rsidR="00F74BBE" w:rsidRPr="00E212B7" w14:paraId="250DD050" w14:textId="77777777" w:rsidTr="007763D2">
        <w:tc>
          <w:tcPr>
            <w:tcW w:w="1935" w:type="dxa"/>
            <w:tcBorders>
              <w:top w:val="dashed" w:sz="4" w:space="0" w:color="auto"/>
              <w:left w:val="single" w:sz="4" w:space="0" w:color="auto"/>
              <w:bottom w:val="dotted" w:sz="4" w:space="0" w:color="auto"/>
              <w:right w:val="single" w:sz="4" w:space="0" w:color="auto"/>
            </w:tcBorders>
            <w:tcMar>
              <w:top w:w="40" w:type="dxa"/>
              <w:left w:w="40" w:type="dxa"/>
              <w:bottom w:w="40" w:type="dxa"/>
              <w:right w:w="40" w:type="dxa"/>
            </w:tcMar>
            <w:vAlign w:val="center"/>
          </w:tcPr>
          <w:p w14:paraId="6F73E0FD" w14:textId="5D0146F9" w:rsidR="00F74BBE" w:rsidRPr="00A83816" w:rsidRDefault="00AF391D" w:rsidP="00AF391D">
            <w:r>
              <w:t>Min. Iodine*</w:t>
            </w:r>
          </w:p>
        </w:tc>
        <w:tc>
          <w:tcPr>
            <w:tcW w:w="1674" w:type="dxa"/>
            <w:tcBorders>
              <w:top w:val="dashed" w:sz="4" w:space="0" w:color="auto"/>
              <w:left w:val="single" w:sz="4" w:space="0" w:color="auto"/>
              <w:bottom w:val="dotted" w:sz="4" w:space="0" w:color="auto"/>
              <w:right w:val="single" w:sz="4" w:space="0" w:color="auto"/>
            </w:tcBorders>
            <w:tcMar>
              <w:top w:w="40" w:type="dxa"/>
              <w:left w:w="40" w:type="dxa"/>
              <w:bottom w:w="40" w:type="dxa"/>
              <w:right w:w="40" w:type="dxa"/>
            </w:tcMar>
            <w:vAlign w:val="center"/>
          </w:tcPr>
          <w:p w14:paraId="4B8B2DB7" w14:textId="77777777" w:rsidR="00F74BBE" w:rsidRPr="00A83816" w:rsidRDefault="00F74BBE" w:rsidP="00AF391D">
            <w:r w:rsidRPr="00A83816">
              <w:t>Iodine</w:t>
            </w:r>
          </w:p>
        </w:tc>
        <w:tc>
          <w:tcPr>
            <w:tcW w:w="1353" w:type="dxa"/>
            <w:tcBorders>
              <w:top w:val="dashed" w:sz="4" w:space="0" w:color="auto"/>
              <w:left w:val="single" w:sz="4" w:space="0" w:color="auto"/>
              <w:bottom w:val="dotted" w:sz="4" w:space="0" w:color="auto"/>
              <w:right w:val="single" w:sz="4" w:space="0" w:color="auto"/>
            </w:tcBorders>
            <w:tcMar>
              <w:top w:w="40" w:type="dxa"/>
              <w:left w:w="40" w:type="dxa"/>
              <w:bottom w:w="40" w:type="dxa"/>
              <w:right w:w="40" w:type="dxa"/>
            </w:tcMar>
            <w:vAlign w:val="center"/>
          </w:tcPr>
          <w:p w14:paraId="35659D39" w14:textId="77777777" w:rsidR="00F74BBE" w:rsidRPr="00A83816" w:rsidRDefault="00F74BBE" w:rsidP="00AF391D"/>
        </w:tc>
        <w:tc>
          <w:tcPr>
            <w:tcW w:w="1353" w:type="dxa"/>
            <w:tcBorders>
              <w:top w:val="dashed" w:sz="4" w:space="0" w:color="auto"/>
              <w:left w:val="single" w:sz="4" w:space="0" w:color="auto"/>
              <w:bottom w:val="dotted" w:sz="4" w:space="0" w:color="auto"/>
              <w:right w:val="single" w:sz="4" w:space="0" w:color="auto"/>
            </w:tcBorders>
            <w:tcMar>
              <w:top w:w="40" w:type="dxa"/>
              <w:left w:w="40" w:type="dxa"/>
              <w:bottom w:w="40" w:type="dxa"/>
              <w:right w:w="40" w:type="dxa"/>
            </w:tcMar>
            <w:vAlign w:val="center"/>
          </w:tcPr>
          <w:p w14:paraId="164D6216" w14:textId="77777777" w:rsidR="00F74BBE" w:rsidRPr="00A83816" w:rsidRDefault="00F74BBE" w:rsidP="00AF391D">
            <w:r w:rsidRPr="00A83816">
              <w:t>7553-56-2</w:t>
            </w:r>
          </w:p>
        </w:tc>
        <w:tc>
          <w:tcPr>
            <w:tcW w:w="1353" w:type="dxa"/>
            <w:tcBorders>
              <w:top w:val="dashed" w:sz="4" w:space="0" w:color="auto"/>
              <w:left w:val="single" w:sz="4" w:space="0" w:color="auto"/>
              <w:bottom w:val="dotted" w:sz="4" w:space="0" w:color="auto"/>
              <w:right w:val="single" w:sz="4" w:space="0" w:color="auto"/>
            </w:tcBorders>
            <w:tcMar>
              <w:top w:w="40" w:type="dxa"/>
              <w:left w:w="40" w:type="dxa"/>
              <w:bottom w:w="40" w:type="dxa"/>
              <w:right w:w="40" w:type="dxa"/>
            </w:tcMar>
            <w:vAlign w:val="center"/>
          </w:tcPr>
          <w:p w14:paraId="31B89952" w14:textId="77777777" w:rsidR="00F74BBE" w:rsidRPr="00A83816" w:rsidRDefault="00F74BBE" w:rsidP="00AF391D">
            <w:r w:rsidRPr="00A83816">
              <w:t>231-442-4</w:t>
            </w:r>
          </w:p>
        </w:tc>
        <w:tc>
          <w:tcPr>
            <w:tcW w:w="1353" w:type="dxa"/>
            <w:tcBorders>
              <w:top w:val="dashed" w:sz="4" w:space="0" w:color="auto"/>
              <w:left w:val="single" w:sz="4" w:space="0" w:color="auto"/>
              <w:bottom w:val="dotted" w:sz="4" w:space="0" w:color="auto"/>
              <w:right w:val="single" w:sz="4" w:space="0" w:color="auto"/>
            </w:tcBorders>
            <w:tcMar>
              <w:top w:w="40" w:type="dxa"/>
              <w:left w:w="40" w:type="dxa"/>
              <w:bottom w:w="40" w:type="dxa"/>
              <w:right w:w="40" w:type="dxa"/>
            </w:tcMar>
            <w:vAlign w:val="center"/>
          </w:tcPr>
          <w:p w14:paraId="11DEA287" w14:textId="1A4422AA" w:rsidR="00F74BBE" w:rsidRPr="00A83816" w:rsidRDefault="00AF391D" w:rsidP="007763D2">
            <w:pPr>
              <w:jc w:val="center"/>
            </w:pPr>
            <w:r>
              <w:t>0.081</w:t>
            </w:r>
          </w:p>
        </w:tc>
      </w:tr>
      <w:tr w:rsidR="00F74BBE" w:rsidRPr="004C0B65" w14:paraId="2FAB79D8" w14:textId="77777777" w:rsidTr="007763D2">
        <w:tc>
          <w:tcPr>
            <w:tcW w:w="193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3E0730C" w14:textId="6E924A79" w:rsidR="00F74BBE" w:rsidRPr="00175644" w:rsidRDefault="00F74BBE" w:rsidP="00AF391D">
            <w:r w:rsidRPr="00175644">
              <w:t>L-(+)-lactic acid</w:t>
            </w:r>
            <w:r w:rsidR="008B0C7B">
              <w:t>*</w:t>
            </w:r>
          </w:p>
        </w:tc>
        <w:tc>
          <w:tcPr>
            <w:tcW w:w="167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4AA4710" w14:textId="77777777" w:rsidR="00F74BBE" w:rsidRPr="00175644" w:rsidRDefault="00F74BBE" w:rsidP="00AF391D">
            <w:r w:rsidRPr="00175644">
              <w:t>(2S)-2-hydroxypropanoic acid</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374F107" w14:textId="77777777" w:rsidR="00F74BBE" w:rsidRPr="00175644" w:rsidRDefault="00F74BBE" w:rsidP="00AF391D">
            <w:r w:rsidRPr="00175644">
              <w:t>Active substance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84F6692" w14:textId="77777777" w:rsidR="00F74BBE" w:rsidRPr="00175644" w:rsidRDefault="00F74BBE" w:rsidP="00AF391D">
            <w:r w:rsidRPr="00175644">
              <w:t>79-33-4</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91EBE64" w14:textId="77777777" w:rsidR="00F74BBE" w:rsidRPr="00175644" w:rsidRDefault="00F74BBE" w:rsidP="00AF391D">
            <w:r w:rsidRPr="00175644">
              <w:t>201-196-2</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B7AC383" w14:textId="1DAE207C" w:rsidR="00F74BBE" w:rsidRPr="00175644" w:rsidRDefault="00F74BBE" w:rsidP="007763D2">
            <w:pPr>
              <w:jc w:val="center"/>
            </w:pPr>
            <w:r w:rsidRPr="00175644">
              <w:t>0.08</w:t>
            </w:r>
          </w:p>
        </w:tc>
      </w:tr>
    </w:tbl>
    <w:p w14:paraId="606E13AE" w14:textId="0778A139" w:rsidR="00F74BBE" w:rsidRDefault="00AF391D" w:rsidP="00F74BBE">
      <w:pPr>
        <w:pStyle w:val="Corpsdetexte"/>
        <w:rPr>
          <w:i/>
          <w:sz w:val="18"/>
          <w:lang w:val="de-DE"/>
        </w:rPr>
      </w:pPr>
      <w:r w:rsidRPr="00AF391D">
        <w:rPr>
          <w:i/>
          <w:sz w:val="18"/>
          <w:lang w:val="de-DE"/>
        </w:rPr>
        <w:t>*Min. content iodine</w:t>
      </w:r>
      <w:r>
        <w:rPr>
          <w:i/>
          <w:sz w:val="18"/>
          <w:lang w:val="de-DE"/>
        </w:rPr>
        <w:t xml:space="preserve"> in PVPi</w:t>
      </w:r>
      <w:r w:rsidRPr="00AF391D">
        <w:rPr>
          <w:i/>
          <w:sz w:val="18"/>
          <w:lang w:val="de-DE"/>
        </w:rPr>
        <w:t>: 9%</w:t>
      </w:r>
      <w:r w:rsidR="008B0C7B">
        <w:rPr>
          <w:i/>
          <w:sz w:val="18"/>
          <w:lang w:val="de-DE"/>
        </w:rPr>
        <w:t>; min. purity</w:t>
      </w:r>
      <w:r w:rsidR="00E748A7">
        <w:rPr>
          <w:i/>
          <w:sz w:val="18"/>
          <w:lang w:val="de-DE"/>
        </w:rPr>
        <w:t xml:space="preserve"> of</w:t>
      </w:r>
      <w:r w:rsidR="008B0C7B">
        <w:rPr>
          <w:i/>
          <w:sz w:val="18"/>
          <w:lang w:val="de-DE"/>
        </w:rPr>
        <w:t xml:space="preserve"> lactic acid: 95.5%</w:t>
      </w:r>
    </w:p>
    <w:p w14:paraId="39CDC67F" w14:textId="77777777" w:rsidR="007763D2" w:rsidRPr="00AF391D" w:rsidRDefault="007763D2" w:rsidP="00F74BBE">
      <w:pPr>
        <w:pStyle w:val="Corpsdetexte"/>
        <w:rPr>
          <w:i/>
          <w:sz w:val="18"/>
          <w:lang w:val="de-DE"/>
        </w:rPr>
      </w:pPr>
    </w:p>
    <w:p w14:paraId="79F5ED99" w14:textId="77777777" w:rsidR="009D0C0B" w:rsidRDefault="00FA480B">
      <w:pPr>
        <w:pStyle w:val="Titre4"/>
        <w:rPr>
          <w:rFonts w:ascii="Times New Roman" w:hAnsi="Times New Roman" w:cs="Times New Roman"/>
          <w:i/>
          <w:lang w:eastAsia="fr-FR"/>
        </w:rPr>
      </w:pPr>
      <w:bookmarkStart w:id="23" w:name="d0e437"/>
      <w:bookmarkStart w:id="24" w:name="_Toc74732451"/>
      <w:bookmarkEnd w:id="23"/>
      <w:r>
        <w:t>Information on technical equivalence</w:t>
      </w:r>
      <w:bookmarkEnd w:id="24"/>
    </w:p>
    <w:p w14:paraId="091BB581" w14:textId="77777777" w:rsidR="00AF391D" w:rsidDel="00290688" w:rsidRDefault="00AF391D" w:rsidP="00AF391D">
      <w:pPr>
        <w:spacing w:line="260" w:lineRule="atLeast"/>
        <w:jc w:val="both"/>
        <w:rPr>
          <w:rFonts w:eastAsia="Calibri"/>
          <w:lang w:eastAsia="en-US"/>
        </w:rPr>
      </w:pPr>
      <w:r>
        <w:rPr>
          <w:rFonts w:eastAsia="Calibri"/>
          <w:lang w:eastAsia="en-US"/>
        </w:rPr>
        <w:t xml:space="preserve">The active substance </w:t>
      </w:r>
      <w:r w:rsidRPr="00C62B73">
        <w:rPr>
          <w:lang w:val="pl-PL"/>
        </w:rPr>
        <w:t>PVPI</w:t>
      </w:r>
      <w:r>
        <w:rPr>
          <w:rFonts w:eastAsia="Calibri"/>
          <w:lang w:eastAsia="en-US"/>
        </w:rPr>
        <w:t xml:space="preserve"> is supplied by ALCOHOLES MONPLET who is a RP participant. Technical equivalence has thus been assessed and confirmed at the active substance evaluation level.</w:t>
      </w:r>
    </w:p>
    <w:p w14:paraId="070EDB8D" w14:textId="77777777" w:rsidR="00AF391D" w:rsidRPr="00DD42ED" w:rsidRDefault="00AF391D" w:rsidP="00AF391D">
      <w:pPr>
        <w:spacing w:line="260" w:lineRule="atLeast"/>
        <w:jc w:val="both"/>
        <w:rPr>
          <w:rFonts w:eastAsia="Calibri"/>
          <w:lang w:eastAsia="en-US"/>
        </w:rPr>
      </w:pPr>
    </w:p>
    <w:p w14:paraId="28B5A61E" w14:textId="238CDD34" w:rsidR="00B81828" w:rsidRDefault="00AF391D" w:rsidP="00AF391D">
      <w:pPr>
        <w:spacing w:line="260" w:lineRule="atLeast"/>
        <w:jc w:val="both"/>
        <w:rPr>
          <w:rFonts w:eastAsia="Calibri"/>
          <w:lang w:eastAsia="en-US"/>
        </w:rPr>
      </w:pPr>
      <w:r>
        <w:rPr>
          <w:rFonts w:eastAsia="Calibri"/>
          <w:lang w:eastAsia="en-US"/>
        </w:rPr>
        <w:t xml:space="preserve">The active substance </w:t>
      </w:r>
      <w:r>
        <w:rPr>
          <w:lang w:val="pl-PL"/>
        </w:rPr>
        <w:t>L-(+)-lactic acid</w:t>
      </w:r>
      <w:r>
        <w:rPr>
          <w:rFonts w:eastAsia="Calibri"/>
          <w:lang w:eastAsia="en-US"/>
        </w:rPr>
        <w:t xml:space="preserve"> is supplied by </w:t>
      </w:r>
      <w:r w:rsidR="00B81828">
        <w:rPr>
          <w:rFonts w:eastAsia="Calibri"/>
          <w:lang w:eastAsia="en-US"/>
        </w:rPr>
        <w:t xml:space="preserve">two sources: </w:t>
      </w:r>
    </w:p>
    <w:p w14:paraId="600960D9" w14:textId="00111604" w:rsidR="00AF391D" w:rsidRPr="00B81828" w:rsidRDefault="00AF391D" w:rsidP="00E10894">
      <w:pPr>
        <w:pStyle w:val="Paragraphedeliste"/>
        <w:numPr>
          <w:ilvl w:val="0"/>
          <w:numId w:val="35"/>
        </w:numPr>
        <w:spacing w:line="260" w:lineRule="atLeast"/>
        <w:jc w:val="both"/>
        <w:rPr>
          <w:rFonts w:eastAsia="Calibri"/>
          <w:lang w:eastAsia="en-US"/>
        </w:rPr>
      </w:pPr>
      <w:r w:rsidRPr="00B81828">
        <w:rPr>
          <w:rFonts w:eastAsia="Calibri"/>
          <w:lang w:eastAsia="en-US"/>
        </w:rPr>
        <w:t>Jungbunzlauer</w:t>
      </w:r>
      <w:r w:rsidR="00E10894">
        <w:rPr>
          <w:rFonts w:eastAsia="Calibri"/>
          <w:lang w:eastAsia="en-US"/>
        </w:rPr>
        <w:t xml:space="preserve"> S.A</w:t>
      </w:r>
      <w:r w:rsidRPr="00B81828">
        <w:rPr>
          <w:rFonts w:eastAsia="Calibri"/>
          <w:lang w:eastAsia="en-US"/>
        </w:rPr>
        <w:t xml:space="preserve">. Technical equivalence </w:t>
      </w:r>
      <w:r w:rsidR="00E10894">
        <w:rPr>
          <w:rFonts w:eastAsia="Calibri"/>
          <w:lang w:eastAsia="en-US"/>
        </w:rPr>
        <w:t>has been granted by ECHA on the 9 September 2019 under t</w:t>
      </w:r>
      <w:r w:rsidRPr="00B81828">
        <w:rPr>
          <w:rFonts w:eastAsia="Calibri"/>
          <w:lang w:eastAsia="en-US"/>
        </w:rPr>
        <w:t xml:space="preserve">he related case number BC-HL044251-48. </w:t>
      </w:r>
    </w:p>
    <w:p w14:paraId="6AA8FC4B" w14:textId="3B4AD64C" w:rsidR="009D0C0B" w:rsidRPr="00B81828" w:rsidRDefault="00AF391D" w:rsidP="00E10894">
      <w:pPr>
        <w:pStyle w:val="Paragraphedeliste"/>
        <w:numPr>
          <w:ilvl w:val="0"/>
          <w:numId w:val="35"/>
        </w:numPr>
        <w:spacing w:line="260" w:lineRule="atLeast"/>
        <w:jc w:val="both"/>
        <w:rPr>
          <w:rFonts w:ascii="Times New Roman" w:eastAsia="Calibri" w:hAnsi="Times New Roman" w:cs="Times New Roman"/>
          <w:i/>
          <w:szCs w:val="24"/>
          <w:lang w:eastAsia="en-US"/>
        </w:rPr>
      </w:pPr>
      <w:r w:rsidRPr="00B81828">
        <w:rPr>
          <w:rFonts w:eastAsia="Calibri"/>
          <w:lang w:eastAsia="en-US"/>
        </w:rPr>
        <w:t xml:space="preserve"> Corbion Puras Bioquimica sa, </w:t>
      </w:r>
      <w:r w:rsidR="00B81828">
        <w:rPr>
          <w:rFonts w:eastAsia="Calibri"/>
          <w:lang w:eastAsia="en-US"/>
        </w:rPr>
        <w:t xml:space="preserve">which </w:t>
      </w:r>
      <w:r w:rsidRPr="00B81828">
        <w:rPr>
          <w:rFonts w:eastAsia="Calibri"/>
          <w:lang w:eastAsia="en-US"/>
        </w:rPr>
        <w:t>is the RP participant (as indicated in the list of Article 95) and he is the reference source of active substance for this PT</w:t>
      </w:r>
      <w:r w:rsidR="002C6809" w:rsidRPr="00B81828">
        <w:rPr>
          <w:rFonts w:eastAsia="Calibri"/>
          <w:lang w:eastAsia="en-US"/>
        </w:rPr>
        <w:t>.</w:t>
      </w:r>
      <w:r w:rsidR="00FA480B" w:rsidRPr="00B81828">
        <w:rPr>
          <w:rFonts w:ascii="Times New Roman" w:eastAsia="Calibri" w:hAnsi="Times New Roman" w:cs="Times New Roman"/>
          <w:i/>
          <w:szCs w:val="24"/>
          <w:lang w:eastAsia="en-US"/>
        </w:rPr>
        <w:t xml:space="preserve"> </w:t>
      </w:r>
    </w:p>
    <w:p w14:paraId="6FE3B0DF" w14:textId="77777777" w:rsidR="009D0C0B" w:rsidRDefault="009D0C0B">
      <w:pPr>
        <w:spacing w:line="260" w:lineRule="atLeast"/>
        <w:rPr>
          <w:rFonts w:ascii="Times New Roman" w:eastAsia="Calibri" w:hAnsi="Times New Roman" w:cs="Times New Roman"/>
          <w:i/>
          <w:szCs w:val="24"/>
          <w:lang w:eastAsia="en-US"/>
        </w:rPr>
      </w:pPr>
    </w:p>
    <w:p w14:paraId="0D053CDF" w14:textId="77777777" w:rsidR="009D0C0B" w:rsidRDefault="00FA480B">
      <w:pPr>
        <w:pStyle w:val="Titre4"/>
        <w:rPr>
          <w:rFonts w:cs="Times"/>
          <w:bCs/>
          <w:szCs w:val="29"/>
        </w:rPr>
      </w:pPr>
      <w:bookmarkStart w:id="25" w:name="_Toc74732452"/>
      <w:r>
        <w:lastRenderedPageBreak/>
        <w:t>Information on the substance(s) of concern</w:t>
      </w:r>
      <w:bookmarkEnd w:id="25"/>
    </w:p>
    <w:p w14:paraId="65707B1A" w14:textId="10957230" w:rsidR="00A91A00" w:rsidRDefault="00A91A00" w:rsidP="00A91A00">
      <w:pPr>
        <w:spacing w:line="260" w:lineRule="atLeast"/>
        <w:rPr>
          <w:rFonts w:eastAsia="Calibri" w:cs="Times"/>
          <w:bCs/>
          <w:szCs w:val="29"/>
        </w:rPr>
      </w:pPr>
      <w:r>
        <w:rPr>
          <w:rFonts w:eastAsia="Calibri" w:cs="Times"/>
          <w:bCs/>
          <w:szCs w:val="29"/>
        </w:rPr>
        <w:t>No substance of concern</w:t>
      </w:r>
      <w:r w:rsidR="007763D2">
        <w:rPr>
          <w:rFonts w:eastAsia="Calibri" w:cs="Times"/>
          <w:bCs/>
          <w:szCs w:val="29"/>
        </w:rPr>
        <w:t xml:space="preserve"> (SoC)</w:t>
      </w:r>
      <w:r>
        <w:rPr>
          <w:rFonts w:eastAsia="Calibri" w:cs="Times"/>
          <w:bCs/>
          <w:szCs w:val="29"/>
        </w:rPr>
        <w:t xml:space="preserve"> has been identified (refer to </w:t>
      </w:r>
      <w:r w:rsidRPr="00A53EE0">
        <w:rPr>
          <w:rFonts w:eastAsia="Calibri" w:cs="Times"/>
          <w:bCs/>
          <w:szCs w:val="29"/>
        </w:rPr>
        <w:t>confidential annex for details</w:t>
      </w:r>
      <w:r>
        <w:rPr>
          <w:rFonts w:eastAsia="Calibri" w:cs="Times"/>
          <w:bCs/>
          <w:szCs w:val="29"/>
        </w:rPr>
        <w:t>)</w:t>
      </w:r>
      <w:r w:rsidRPr="00A53EE0">
        <w:rPr>
          <w:rFonts w:eastAsia="Calibri" w:cs="Times"/>
          <w:bCs/>
          <w:szCs w:val="29"/>
        </w:rPr>
        <w:t>.</w:t>
      </w:r>
    </w:p>
    <w:p w14:paraId="272F8AE9" w14:textId="77777777" w:rsidR="00A91A00" w:rsidRDefault="00A91A00" w:rsidP="00A91A00">
      <w:pPr>
        <w:spacing w:line="260" w:lineRule="atLeast"/>
        <w:rPr>
          <w:rFonts w:eastAsia="Calibri" w:cs="Times"/>
          <w:bCs/>
          <w:szCs w:val="29"/>
        </w:rPr>
      </w:pPr>
    </w:p>
    <w:p w14:paraId="2F0A0015" w14:textId="77777777" w:rsidR="00671E49" w:rsidRDefault="00671E49">
      <w:pPr>
        <w:spacing w:line="260" w:lineRule="atLeast"/>
        <w:jc w:val="both"/>
        <w:rPr>
          <w:rFonts w:eastAsia="Calibri" w:cs="Times"/>
          <w:bCs/>
          <w:szCs w:val="29"/>
        </w:rPr>
      </w:pPr>
    </w:p>
    <w:p w14:paraId="2DB1ED56" w14:textId="77777777" w:rsidR="00671E49" w:rsidRDefault="00671E49" w:rsidP="00671E49">
      <w:pPr>
        <w:pStyle w:val="Titre4"/>
      </w:pPr>
      <w:bookmarkStart w:id="26" w:name="_Toc532221594"/>
      <w:bookmarkStart w:id="27" w:name="_Toc533154532"/>
      <w:bookmarkStart w:id="28" w:name="_Toc2154055"/>
      <w:bookmarkStart w:id="29" w:name="_Toc2154494"/>
      <w:bookmarkStart w:id="30" w:name="_Toc74732453"/>
      <w:r>
        <w:t>Assessment of endocrine disruption (ED) properties of the biocidal product</w:t>
      </w:r>
      <w:bookmarkEnd w:id="26"/>
      <w:bookmarkEnd w:id="27"/>
      <w:bookmarkEnd w:id="28"/>
      <w:bookmarkEnd w:id="29"/>
      <w:bookmarkEnd w:id="30"/>
    </w:p>
    <w:p w14:paraId="78D0642A" w14:textId="7649DB65" w:rsidR="00151BC7" w:rsidRPr="00AB1CDB" w:rsidRDefault="00873BBF" w:rsidP="00AB1CDB">
      <w:pPr>
        <w:spacing w:before="120" w:after="120"/>
        <w:ind w:firstLine="3"/>
        <w:jc w:val="both"/>
        <w:rPr>
          <w:rFonts w:ascii="Calibri" w:hAnsi="Calibri" w:cs="Calibri"/>
          <w:lang w:val="en-US" w:eastAsia="en-US"/>
        </w:rPr>
      </w:pPr>
      <w:r>
        <w:rPr>
          <w:lang w:val="en-US"/>
        </w:rPr>
        <w:t xml:space="preserve">The biocidal product contains the active substances </w:t>
      </w:r>
      <w:r w:rsidRPr="00873BBF">
        <w:rPr>
          <w:lang w:val="en-US"/>
        </w:rPr>
        <w:t>Polyvinylpyrrolidone iodine</w:t>
      </w:r>
      <w:r>
        <w:rPr>
          <w:lang w:val="en-US"/>
        </w:rPr>
        <w:t xml:space="preserve"> and </w:t>
      </w:r>
      <w:r w:rsidRPr="00175644">
        <w:t>L-(+)-lactic acid</w:t>
      </w:r>
      <w:r>
        <w:rPr>
          <w:lang w:val="en-US"/>
        </w:rPr>
        <w:t>, which have not yet been evaluated according to the scientific criteria set out in the Regulation (EU) 2017/2100.</w:t>
      </w:r>
      <w:r>
        <w:rPr>
          <w:rFonts w:ascii="Calibri" w:hAnsi="Calibri" w:cs="Calibri"/>
          <w:lang w:val="en-US" w:eastAsia="en-US"/>
        </w:rPr>
        <w:t xml:space="preserve"> </w:t>
      </w:r>
      <w:r>
        <w:rPr>
          <w:rFonts w:cs="Arial"/>
          <w:lang w:eastAsia="en-US"/>
        </w:rPr>
        <w:t>It</w:t>
      </w:r>
      <w:r w:rsidR="00151BC7" w:rsidRPr="004A21DE">
        <w:rPr>
          <w:rFonts w:cs="Arial"/>
          <w:lang w:eastAsia="en-US"/>
        </w:rPr>
        <w:t xml:space="preserve"> will be performed at the renewal stage</w:t>
      </w:r>
      <w:r w:rsidR="00151BC7">
        <w:rPr>
          <w:rFonts w:cs="Arial"/>
          <w:lang w:eastAsia="en-US"/>
        </w:rPr>
        <w:t>.</w:t>
      </w:r>
      <w:r w:rsidR="00151BC7">
        <w:rPr>
          <w:iCs/>
          <w:lang w:val="en-029"/>
        </w:rPr>
        <w:t xml:space="preserve"> </w:t>
      </w:r>
    </w:p>
    <w:p w14:paraId="2B6B59B9" w14:textId="77777777" w:rsidR="00151BC7" w:rsidRDefault="00151BC7" w:rsidP="00AE3F4A">
      <w:pPr>
        <w:jc w:val="both"/>
        <w:rPr>
          <w:iCs/>
          <w:lang w:val="en-029"/>
        </w:rPr>
      </w:pPr>
    </w:p>
    <w:p w14:paraId="505CDBB2" w14:textId="3D8B7DF1" w:rsidR="00AE3F4A" w:rsidRDefault="00D14F77" w:rsidP="00AE3F4A">
      <w:pPr>
        <w:jc w:val="both"/>
        <w:rPr>
          <w:iCs/>
          <w:lang w:val="en-029"/>
        </w:rPr>
      </w:pPr>
      <w:r>
        <w:rPr>
          <w:iCs/>
          <w:lang w:val="en-029"/>
        </w:rPr>
        <w:t>N</w:t>
      </w:r>
      <w:r w:rsidR="00AE3F4A">
        <w:rPr>
          <w:iCs/>
          <w:lang w:val="en-029"/>
        </w:rPr>
        <w:t xml:space="preserve">one of the co-formulants contained in the products </w:t>
      </w:r>
      <w:r>
        <w:rPr>
          <w:iCs/>
          <w:lang w:val="en-029"/>
        </w:rPr>
        <w:t>ALGOFILM</w:t>
      </w:r>
      <w:r>
        <w:rPr>
          <w:lang w:val="en-029"/>
        </w:rPr>
        <w:t xml:space="preserve"> </w:t>
      </w:r>
      <w:r w:rsidR="00AE3F4A">
        <w:rPr>
          <w:iCs/>
          <w:lang w:val="en-029"/>
        </w:rPr>
        <w:t>are regulatory identified as endocrine disruptors</w:t>
      </w:r>
      <w:r w:rsidR="005040A3">
        <w:rPr>
          <w:iCs/>
          <w:lang w:val="en-029"/>
        </w:rPr>
        <w:t xml:space="preserve"> </w:t>
      </w:r>
      <w:r w:rsidR="005040A3">
        <w:rPr>
          <w:lang w:val="en-US"/>
        </w:rPr>
        <w:t>or have significant ED properties</w:t>
      </w:r>
      <w:r w:rsidR="00AE3F4A">
        <w:rPr>
          <w:iCs/>
          <w:lang w:val="en-029"/>
        </w:rPr>
        <w:t>.</w:t>
      </w:r>
    </w:p>
    <w:p w14:paraId="53B24B0F" w14:textId="77777777" w:rsidR="005040A3" w:rsidRDefault="005040A3" w:rsidP="00AE3F4A">
      <w:pPr>
        <w:jc w:val="both"/>
        <w:rPr>
          <w:rFonts w:asciiTheme="minorHAnsi" w:hAnsiTheme="minorHAnsi" w:cstheme="minorBidi"/>
          <w:iCs/>
          <w:lang w:val="en-029" w:eastAsia="en-US"/>
        </w:rPr>
      </w:pPr>
    </w:p>
    <w:p w14:paraId="29ACF826" w14:textId="768E4C4F" w:rsidR="005040A3" w:rsidRDefault="005040A3" w:rsidP="005040A3">
      <w:pPr>
        <w:jc w:val="both"/>
        <w:rPr>
          <w:rFonts w:ascii="Calibri" w:hAnsi="Calibri" w:cs="Calibri"/>
          <w:lang w:val="en-US" w:eastAsia="en-US"/>
        </w:rPr>
      </w:pPr>
      <w:r>
        <w:rPr>
          <w:lang w:val="en-US"/>
        </w:rPr>
        <w:t>However, there is indication that one co-formulant has ED properties and it should be further assessed in the frame of REACH Regulation.</w:t>
      </w:r>
    </w:p>
    <w:p w14:paraId="6BB8A5E4" w14:textId="42026DA2" w:rsidR="005040A3" w:rsidRDefault="005040A3" w:rsidP="005040A3">
      <w:pPr>
        <w:jc w:val="both"/>
        <w:rPr>
          <w:lang w:val="en-US"/>
        </w:rPr>
      </w:pPr>
      <w:r>
        <w:rPr>
          <w:lang w:val="en-US"/>
        </w:rPr>
        <w:t xml:space="preserve">Hence, it is not possible to conclude whether this co-formulant should be considered to have ED properties or not before the end of the assessment. In case it is finally identified as ED, the biocidal product will be considered as ED and authorisation will have to be revised accordingly. </w:t>
      </w:r>
    </w:p>
    <w:p w14:paraId="1DEACF91" w14:textId="29D5B1E6" w:rsidR="00671E49" w:rsidRPr="00AB1CDB" w:rsidRDefault="00671E49" w:rsidP="005040A3">
      <w:pPr>
        <w:jc w:val="both"/>
        <w:rPr>
          <w:iCs/>
          <w:lang w:val="en-029"/>
        </w:rPr>
      </w:pPr>
    </w:p>
    <w:p w14:paraId="5429A08D" w14:textId="3739B215" w:rsidR="009D0C0B" w:rsidRDefault="009D0C0B">
      <w:pPr>
        <w:spacing w:line="260" w:lineRule="atLeast"/>
        <w:jc w:val="both"/>
        <w:rPr>
          <w:rFonts w:eastAsia="Calibri" w:cs="Times"/>
          <w:bCs/>
          <w:szCs w:val="29"/>
        </w:rPr>
      </w:pPr>
    </w:p>
    <w:p w14:paraId="5C0127DF" w14:textId="77777777" w:rsidR="009D0C0B" w:rsidRDefault="00FA480B">
      <w:pPr>
        <w:pStyle w:val="Titre4"/>
      </w:pPr>
      <w:bookmarkStart w:id="31" w:name="_Toc74732454"/>
      <w:r>
        <w:t>Type of formulation</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DA657B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363905F" w14:textId="77777777" w:rsidR="009D0C0B" w:rsidRDefault="00F74BBE">
            <w:pPr>
              <w:snapToGrid w:val="0"/>
            </w:pPr>
            <w:r>
              <w:t>AL- Any other liquid</w:t>
            </w:r>
          </w:p>
        </w:tc>
      </w:tr>
    </w:tbl>
    <w:p w14:paraId="4180D596" w14:textId="77777777" w:rsidR="009D0C0B" w:rsidRDefault="009D0C0B">
      <w:bookmarkStart w:id="32" w:name="d0e452"/>
    </w:p>
    <w:p w14:paraId="068EB2DD" w14:textId="77777777" w:rsidR="009D0C0B" w:rsidRDefault="009D0C0B"/>
    <w:p w14:paraId="2B7073D2" w14:textId="21E15E92" w:rsidR="009D0C0B" w:rsidRDefault="00FA480B">
      <w:pPr>
        <w:pStyle w:val="Titre3"/>
      </w:pPr>
      <w:bookmarkStart w:id="33" w:name="_Toc74732455"/>
      <w:r>
        <w:t>Hazard and precautionary statements</w:t>
      </w:r>
      <w:bookmarkEnd w:id="33"/>
    </w:p>
    <w:p w14:paraId="14180739"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582FC8EA"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5699C831"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C3BA0EF" w14:textId="77777777" w:rsidR="009D0C0B" w:rsidRDefault="00FA480B">
            <w:r>
              <w:rPr>
                <w:b/>
                <w:lang w:eastAsia="en-US"/>
              </w:rPr>
              <w:t>Classification</w:t>
            </w:r>
          </w:p>
        </w:tc>
      </w:tr>
      <w:tr w:rsidR="009D0C0B" w14:paraId="42CAAA3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4A1D1B2"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EF687F6" w14:textId="60704F21" w:rsidR="009D0C0B" w:rsidRDefault="00983AA2">
            <w:pPr>
              <w:snapToGrid w:val="0"/>
              <w:rPr>
                <w:lang w:eastAsia="fi-FI"/>
              </w:rPr>
            </w:pPr>
            <w:r>
              <w:rPr>
                <w:lang w:eastAsia="fi-FI"/>
              </w:rPr>
              <w:t>-</w:t>
            </w:r>
          </w:p>
        </w:tc>
      </w:tr>
      <w:tr w:rsidR="009D0C0B" w14:paraId="7A272DD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3F1664F"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EEECC7A" w14:textId="30707182" w:rsidR="009D0C0B" w:rsidRDefault="00983AA2">
            <w:pPr>
              <w:snapToGrid w:val="0"/>
              <w:rPr>
                <w:lang w:eastAsia="fi-FI"/>
              </w:rPr>
            </w:pPr>
            <w:r>
              <w:rPr>
                <w:lang w:eastAsia="fi-FI"/>
              </w:rPr>
              <w:t>-</w:t>
            </w:r>
          </w:p>
        </w:tc>
      </w:tr>
      <w:tr w:rsidR="009D0C0B" w14:paraId="7D2973E6"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C15D8C2" w14:textId="77777777" w:rsidR="009D0C0B" w:rsidRDefault="009D0C0B">
            <w:pPr>
              <w:snapToGrid w:val="0"/>
              <w:rPr>
                <w:lang w:eastAsia="fi-FI"/>
              </w:rPr>
            </w:pPr>
          </w:p>
        </w:tc>
      </w:tr>
      <w:tr w:rsidR="009D0C0B" w14:paraId="310926E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A502E33" w14:textId="77777777" w:rsidR="009D0C0B" w:rsidRDefault="00FA480B">
            <w:r>
              <w:rPr>
                <w:b/>
                <w:lang w:eastAsia="en-US"/>
              </w:rPr>
              <w:t>Labelling</w:t>
            </w:r>
          </w:p>
        </w:tc>
      </w:tr>
      <w:tr w:rsidR="009D0C0B" w14:paraId="3C164CF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7256319"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0579C5D" w14:textId="6D33F2FB" w:rsidR="009D0C0B" w:rsidRDefault="00983AA2">
            <w:pPr>
              <w:snapToGrid w:val="0"/>
              <w:rPr>
                <w:lang w:eastAsia="fi-FI"/>
              </w:rPr>
            </w:pPr>
            <w:r>
              <w:rPr>
                <w:lang w:eastAsia="fi-FI"/>
              </w:rPr>
              <w:t>-</w:t>
            </w:r>
          </w:p>
        </w:tc>
      </w:tr>
      <w:tr w:rsidR="009D0C0B" w14:paraId="04AC50C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E927306"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3537B42" w14:textId="2EE6B191" w:rsidR="009D0C0B" w:rsidRDefault="00983AA2">
            <w:pPr>
              <w:snapToGrid w:val="0"/>
              <w:rPr>
                <w:lang w:eastAsia="fi-FI"/>
              </w:rPr>
            </w:pPr>
            <w:r>
              <w:rPr>
                <w:lang w:eastAsia="fi-FI"/>
              </w:rPr>
              <w:t>-</w:t>
            </w:r>
          </w:p>
        </w:tc>
      </w:tr>
      <w:tr w:rsidR="009D0C0B" w14:paraId="4D5477D9"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1A44FF7"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79C96DC" w14:textId="2526E3E8" w:rsidR="009D0C0B" w:rsidRDefault="00983AA2">
            <w:pPr>
              <w:snapToGrid w:val="0"/>
              <w:rPr>
                <w:lang w:eastAsia="fi-FI"/>
              </w:rPr>
            </w:pPr>
            <w:r>
              <w:rPr>
                <w:lang w:eastAsia="fi-FI"/>
              </w:rPr>
              <w:t>-</w:t>
            </w:r>
          </w:p>
        </w:tc>
      </w:tr>
      <w:tr w:rsidR="009D0C0B" w14:paraId="12942F3B"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C869879" w14:textId="77777777" w:rsidR="009D0C0B" w:rsidRDefault="009D0C0B">
            <w:pPr>
              <w:snapToGrid w:val="0"/>
              <w:rPr>
                <w:lang w:eastAsia="fi-FI"/>
              </w:rPr>
            </w:pPr>
          </w:p>
        </w:tc>
      </w:tr>
      <w:tr w:rsidR="009D0C0B" w14:paraId="737E823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E492AB"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0DB98B7" w14:textId="2E511C49" w:rsidR="009D0C0B" w:rsidRDefault="00983AA2">
            <w:pPr>
              <w:snapToGrid w:val="0"/>
              <w:rPr>
                <w:b/>
                <w:lang w:eastAsia="fi-FI"/>
              </w:rPr>
            </w:pPr>
            <w:r>
              <w:rPr>
                <w:b/>
                <w:lang w:eastAsia="fi-FI"/>
              </w:rPr>
              <w:t>-</w:t>
            </w:r>
          </w:p>
        </w:tc>
      </w:tr>
    </w:tbl>
    <w:p w14:paraId="57565ABC" w14:textId="77777777" w:rsidR="009D0C0B" w:rsidRDefault="009D0C0B">
      <w:pPr>
        <w:tabs>
          <w:tab w:val="left" w:pos="500"/>
        </w:tabs>
        <w:ind w:left="500" w:hanging="500"/>
      </w:pPr>
    </w:p>
    <w:p w14:paraId="26E3C7B9" w14:textId="77777777" w:rsidR="009D0C0B" w:rsidRDefault="009D0C0B"/>
    <w:p w14:paraId="0B71CD7E" w14:textId="77777777" w:rsidR="009D0C0B" w:rsidRDefault="00FA480B">
      <w:pPr>
        <w:pStyle w:val="Titre3"/>
      </w:pPr>
      <w:bookmarkStart w:id="34" w:name="_Toc74732456"/>
      <w:r>
        <w:t>Authorised use(s)</w:t>
      </w:r>
      <w:bookmarkEnd w:id="34"/>
    </w:p>
    <w:p w14:paraId="27E5009D" w14:textId="63B657B1" w:rsidR="009D0C0B" w:rsidRDefault="00FA480B">
      <w:pPr>
        <w:pStyle w:val="Titre4"/>
      </w:pPr>
      <w:bookmarkStart w:id="35" w:name="_Toc74732457"/>
      <w:r>
        <w:t>Use description</w:t>
      </w:r>
      <w:bookmarkEnd w:id="35"/>
    </w:p>
    <w:bookmarkEnd w:id="32"/>
    <w:p w14:paraId="17555676"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4C4809">
        <w:rPr>
          <w:rFonts w:ascii="Verdana" w:hAnsi="Verdana"/>
        </w:rPr>
        <w:t>Teat disinfection after milking – Professional</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0CB793CB" w14:textId="77777777">
        <w:tc>
          <w:tcPr>
            <w:tcW w:w="2707" w:type="dxa"/>
            <w:tcBorders>
              <w:top w:val="single" w:sz="4" w:space="0" w:color="000000"/>
              <w:left w:val="single" w:sz="4" w:space="0" w:color="000000"/>
              <w:bottom w:val="single" w:sz="4" w:space="0" w:color="000000"/>
            </w:tcBorders>
            <w:shd w:val="clear" w:color="auto" w:fill="auto"/>
          </w:tcPr>
          <w:p w14:paraId="3FE2B506"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7477DF2" w14:textId="3FBF99D4" w:rsidR="009D0C0B" w:rsidRPr="004E1826" w:rsidRDefault="00A90271">
            <w:pPr>
              <w:snapToGrid w:val="0"/>
            </w:pPr>
            <w:r w:rsidRPr="004E1826">
              <w:rPr>
                <w:rFonts w:cs="Times New Roman"/>
                <w:lang w:eastAsia="de-DE"/>
              </w:rPr>
              <w:t xml:space="preserve">PT3 - </w:t>
            </w:r>
            <w:r w:rsidRPr="004E1826">
              <w:rPr>
                <w:rFonts w:cs="Arial"/>
                <w:bCs/>
                <w:lang w:eastAsia="de-DE"/>
              </w:rPr>
              <w:t>Veterinary hygiene</w:t>
            </w:r>
          </w:p>
        </w:tc>
      </w:tr>
      <w:tr w:rsidR="009D0C0B" w14:paraId="4041928B" w14:textId="77777777">
        <w:tc>
          <w:tcPr>
            <w:tcW w:w="2707" w:type="dxa"/>
            <w:tcBorders>
              <w:left w:val="single" w:sz="4" w:space="0" w:color="000000"/>
              <w:bottom w:val="single" w:sz="4" w:space="0" w:color="000000"/>
            </w:tcBorders>
            <w:shd w:val="clear" w:color="auto" w:fill="auto"/>
          </w:tcPr>
          <w:p w14:paraId="79AD955B" w14:textId="77777777" w:rsidR="009D0C0B" w:rsidRDefault="00FA480B">
            <w:pPr>
              <w:rPr>
                <w:b/>
              </w:rPr>
            </w:pPr>
            <w:r>
              <w:rPr>
                <w:b/>
                <w:bCs/>
                <w:szCs w:val="24"/>
                <w:lang w:eastAsia="en-GB"/>
              </w:rPr>
              <w:lastRenderedPageBreak/>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418C189" w14:textId="2BA8F627" w:rsidR="00A90271" w:rsidRPr="00A90271" w:rsidRDefault="00A90271" w:rsidP="00A90271">
            <w:pPr>
              <w:suppressAutoHyphens w:val="0"/>
              <w:jc w:val="both"/>
              <w:rPr>
                <w:rFonts w:cs="Times New Roman"/>
                <w:lang w:eastAsia="de-DE"/>
              </w:rPr>
            </w:pPr>
            <w:r w:rsidRPr="00A90271">
              <w:rPr>
                <w:rFonts w:cs="Times New Roman"/>
                <w:lang w:eastAsia="de-DE"/>
              </w:rPr>
              <w:t>Non-medical teat disinfection post-milking</w:t>
            </w:r>
          </w:p>
          <w:p w14:paraId="1347B042" w14:textId="463EA73E" w:rsidR="00A90271" w:rsidRPr="004C4809" w:rsidRDefault="00A90271" w:rsidP="00A90271">
            <w:pPr>
              <w:snapToGrid w:val="0"/>
            </w:pPr>
          </w:p>
        </w:tc>
      </w:tr>
      <w:tr w:rsidR="009D0C0B" w14:paraId="278A996F" w14:textId="77777777">
        <w:tc>
          <w:tcPr>
            <w:tcW w:w="2707" w:type="dxa"/>
            <w:tcBorders>
              <w:left w:val="single" w:sz="4" w:space="0" w:color="000000"/>
              <w:bottom w:val="single" w:sz="4" w:space="0" w:color="000000"/>
            </w:tcBorders>
            <w:shd w:val="clear" w:color="auto" w:fill="auto"/>
          </w:tcPr>
          <w:p w14:paraId="2E9FABAC" w14:textId="77777777"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2D0B0AB5" w14:textId="0EF2E2B6" w:rsidR="009D0C0B" w:rsidRPr="008C5B54" w:rsidRDefault="00A90271" w:rsidP="004C4809">
            <w:r w:rsidRPr="008C5B54">
              <w:t>Bacteria</w:t>
            </w:r>
          </w:p>
          <w:p w14:paraId="5976398C" w14:textId="66DB62EA" w:rsidR="00A90271" w:rsidRPr="004C4809" w:rsidRDefault="00A90271" w:rsidP="004C4809">
            <w:pPr>
              <w:rPr>
                <w:i/>
              </w:rPr>
            </w:pPr>
            <w:r w:rsidRPr="008C5B54">
              <w:t>Yeasts</w:t>
            </w:r>
          </w:p>
        </w:tc>
      </w:tr>
      <w:tr w:rsidR="009D0C0B" w14:paraId="6E988EAD" w14:textId="77777777">
        <w:tc>
          <w:tcPr>
            <w:tcW w:w="2707" w:type="dxa"/>
            <w:tcBorders>
              <w:left w:val="single" w:sz="4" w:space="0" w:color="000000"/>
              <w:bottom w:val="single" w:sz="4" w:space="0" w:color="000000"/>
            </w:tcBorders>
            <w:shd w:val="clear" w:color="auto" w:fill="auto"/>
          </w:tcPr>
          <w:p w14:paraId="0B2D0E8B" w14:textId="77777777"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A93AE74" w14:textId="76C3C1A5" w:rsidR="009D0C0B" w:rsidRPr="00CC3066" w:rsidRDefault="00A90271">
            <w:pPr>
              <w:snapToGrid w:val="0"/>
            </w:pPr>
            <w:r w:rsidRPr="00A90271">
              <w:rPr>
                <w:rFonts w:cs="Times New Roman"/>
                <w:lang w:eastAsia="de-DE"/>
              </w:rPr>
              <w:t>The ready to use product is applied af</w:t>
            </w:r>
            <w:r w:rsidR="001E42C3">
              <w:rPr>
                <w:rFonts w:cs="Times New Roman"/>
                <w:lang w:eastAsia="de-DE"/>
              </w:rPr>
              <w:t xml:space="preserve">ter milking on dairy </w:t>
            </w:r>
            <w:r w:rsidRPr="00A90271">
              <w:rPr>
                <w:rFonts w:cs="Times New Roman"/>
                <w:lang w:eastAsia="de-DE"/>
              </w:rPr>
              <w:t xml:space="preserve">animals </w:t>
            </w:r>
            <w:r w:rsidRPr="00983AA2">
              <w:rPr>
                <w:rFonts w:cs="Times New Roman"/>
                <w:lang w:eastAsia="de-DE"/>
              </w:rPr>
              <w:t>(</w:t>
            </w:r>
            <w:r w:rsidRPr="00983AA2">
              <w:rPr>
                <w:rFonts w:cs="Arial"/>
                <w:iCs/>
                <w:lang w:val="en-US" w:eastAsia="de-DE"/>
              </w:rPr>
              <w:t>cows, ewes or goats)</w:t>
            </w:r>
          </w:p>
        </w:tc>
      </w:tr>
      <w:tr w:rsidR="009D0C0B" w14:paraId="5E70D9B3" w14:textId="77777777">
        <w:tc>
          <w:tcPr>
            <w:tcW w:w="2707" w:type="dxa"/>
            <w:tcBorders>
              <w:left w:val="single" w:sz="4" w:space="0" w:color="000000"/>
              <w:bottom w:val="single" w:sz="4" w:space="0" w:color="000000"/>
            </w:tcBorders>
            <w:shd w:val="clear" w:color="auto" w:fill="auto"/>
          </w:tcPr>
          <w:p w14:paraId="6DA66A52" w14:textId="77777777"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3D436B1C" w14:textId="75C57C77" w:rsidR="00CC3066" w:rsidRPr="00CC3066" w:rsidRDefault="00A90271">
            <w:pPr>
              <w:snapToGrid w:val="0"/>
            </w:pPr>
            <w:r w:rsidRPr="00A90271">
              <w:rPr>
                <w:rFonts w:cs="Times New Roman"/>
                <w:lang w:eastAsia="de-DE"/>
              </w:rPr>
              <w:t>Manual or automatic application by dipping the teats</w:t>
            </w:r>
          </w:p>
        </w:tc>
      </w:tr>
      <w:tr w:rsidR="009D0C0B" w14:paraId="4398CBD2" w14:textId="77777777">
        <w:tc>
          <w:tcPr>
            <w:tcW w:w="2707" w:type="dxa"/>
            <w:tcBorders>
              <w:left w:val="single" w:sz="4" w:space="0" w:color="000000"/>
              <w:bottom w:val="single" w:sz="4" w:space="0" w:color="000000"/>
            </w:tcBorders>
            <w:shd w:val="clear" w:color="auto" w:fill="auto"/>
          </w:tcPr>
          <w:p w14:paraId="2A5CA1A3" w14:textId="77777777" w:rsidR="009D0C0B" w:rsidRDefault="00FA480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C16A403" w14:textId="36F767AE" w:rsidR="00724581" w:rsidRDefault="00724581" w:rsidP="00A90271">
            <w:pPr>
              <w:suppressAutoHyphens w:val="0"/>
              <w:jc w:val="both"/>
            </w:pPr>
            <w:r>
              <w:t>Ready-to-use</w:t>
            </w:r>
          </w:p>
          <w:p w14:paraId="1B05FAD6" w14:textId="77777777" w:rsidR="00724581" w:rsidRDefault="00724581" w:rsidP="00A90271">
            <w:pPr>
              <w:suppressAutoHyphens w:val="0"/>
              <w:jc w:val="both"/>
            </w:pPr>
          </w:p>
          <w:p w14:paraId="59942E1E" w14:textId="0C3F173D" w:rsidR="00A90271" w:rsidRPr="00A90271" w:rsidRDefault="00CC3066" w:rsidP="00A90271">
            <w:pPr>
              <w:suppressAutoHyphens w:val="0"/>
              <w:jc w:val="both"/>
              <w:rPr>
                <w:rFonts w:cs="Times New Roman"/>
                <w:lang w:eastAsia="de-DE"/>
              </w:rPr>
            </w:pPr>
            <w:r>
              <w:t>2 mL product/teat (4 teats/animals equal to 8 mL product by animal</w:t>
            </w:r>
            <w:r w:rsidR="00A90271" w:rsidRPr="00A90271">
              <w:rPr>
                <w:rFonts w:cs="Times New Roman"/>
                <w:lang w:eastAsia="de-DE"/>
              </w:rPr>
              <w:t xml:space="preserve"> or 2 teats/animal equal to 4 ml of product by animal) </w:t>
            </w:r>
          </w:p>
          <w:p w14:paraId="485462BE" w14:textId="0603582C" w:rsidR="009D0C0B" w:rsidRDefault="009D0C0B">
            <w:pPr>
              <w:snapToGrid w:val="0"/>
            </w:pPr>
          </w:p>
          <w:p w14:paraId="68CC25F7" w14:textId="085E0752" w:rsidR="00F00AB2" w:rsidRDefault="00F00AB2">
            <w:pPr>
              <w:snapToGrid w:val="0"/>
              <w:rPr>
                <w:rFonts w:cs="Arial"/>
                <w:bCs/>
                <w:lang w:val="en-US"/>
              </w:rPr>
            </w:pPr>
            <w:r>
              <w:rPr>
                <w:rFonts w:cs="Arial"/>
                <w:bCs/>
                <w:lang w:val="en-US"/>
              </w:rPr>
              <w:t>Twice a day after each milking</w:t>
            </w:r>
          </w:p>
          <w:p w14:paraId="58499F84" w14:textId="601D5687" w:rsidR="00A90271" w:rsidRPr="00A90271" w:rsidRDefault="00A90271" w:rsidP="00A90271">
            <w:pPr>
              <w:suppressAutoHyphens w:val="0"/>
              <w:jc w:val="both"/>
              <w:rPr>
                <w:rFonts w:cs="Times New Roman"/>
                <w:lang w:eastAsia="de-DE"/>
              </w:rPr>
            </w:pPr>
            <w:r w:rsidRPr="00A90271">
              <w:rPr>
                <w:rFonts w:cs="Times New Roman"/>
                <w:lang w:eastAsia="de-DE"/>
              </w:rPr>
              <w:t>Contact time: 5 minutes</w:t>
            </w:r>
          </w:p>
          <w:p w14:paraId="3EB1BC7D" w14:textId="37DCEC1E" w:rsidR="00A90271" w:rsidRPr="00F00AB2" w:rsidRDefault="00EE62BE" w:rsidP="00A90271">
            <w:pPr>
              <w:snapToGrid w:val="0"/>
            </w:pPr>
            <w:r w:rsidRPr="00A90271">
              <w:rPr>
                <w:rFonts w:cs="Times New Roman"/>
                <w:lang w:eastAsia="de-DE"/>
              </w:rPr>
              <w:t>Ambient</w:t>
            </w:r>
            <w:r w:rsidR="00A90271" w:rsidRPr="00A90271">
              <w:rPr>
                <w:rFonts w:cs="Times New Roman"/>
                <w:lang w:eastAsia="de-DE"/>
              </w:rPr>
              <w:t xml:space="preserve"> temperature</w:t>
            </w:r>
          </w:p>
        </w:tc>
      </w:tr>
      <w:tr w:rsidR="009D0C0B" w14:paraId="10A207DD" w14:textId="77777777">
        <w:tc>
          <w:tcPr>
            <w:tcW w:w="2707" w:type="dxa"/>
            <w:tcBorders>
              <w:left w:val="single" w:sz="4" w:space="0" w:color="000000"/>
              <w:bottom w:val="single" w:sz="4" w:space="0" w:color="000000"/>
            </w:tcBorders>
            <w:shd w:val="clear" w:color="auto" w:fill="auto"/>
          </w:tcPr>
          <w:p w14:paraId="57D00AE8" w14:textId="77777777" w:rsidR="009D0C0B" w:rsidRDefault="00FA480B">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33F5B64" w14:textId="77777777" w:rsidR="009D0C0B" w:rsidRPr="00CC3066" w:rsidRDefault="00CC3066">
            <w:pPr>
              <w:snapToGrid w:val="0"/>
            </w:pPr>
            <w:r w:rsidRPr="00CC3066">
              <w:t>Professional</w:t>
            </w:r>
          </w:p>
        </w:tc>
      </w:tr>
      <w:tr w:rsidR="00620CDB" w14:paraId="01D65B53" w14:textId="77777777">
        <w:tc>
          <w:tcPr>
            <w:tcW w:w="2707" w:type="dxa"/>
            <w:tcBorders>
              <w:left w:val="single" w:sz="4" w:space="0" w:color="000000"/>
              <w:bottom w:val="single" w:sz="4" w:space="0" w:color="000000"/>
            </w:tcBorders>
            <w:shd w:val="clear" w:color="auto" w:fill="auto"/>
          </w:tcPr>
          <w:p w14:paraId="3314586B" w14:textId="77777777" w:rsidR="00620CDB" w:rsidRDefault="00620CDB" w:rsidP="00620CD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314E5EC6" w14:textId="34434C78" w:rsidR="00620CDB" w:rsidRDefault="00620CDB" w:rsidP="00620CDB">
            <w:pPr>
              <w:snapToGrid w:val="0"/>
              <w:rPr>
                <w:rFonts w:cs="Arial"/>
                <w:bCs/>
                <w:lang w:val="en-US"/>
              </w:rPr>
            </w:pPr>
            <w:r>
              <w:rPr>
                <w:rFonts w:cs="Arial"/>
                <w:bCs/>
                <w:lang w:val="en-US"/>
              </w:rPr>
              <w:t>Can – 20</w:t>
            </w:r>
            <w:r w:rsidR="00983AA2">
              <w:rPr>
                <w:rFonts w:cs="Arial"/>
                <w:bCs/>
                <w:lang w:val="en-US"/>
              </w:rPr>
              <w:t xml:space="preserve"> </w:t>
            </w:r>
            <w:r>
              <w:rPr>
                <w:rFonts w:cs="Arial"/>
                <w:bCs/>
                <w:lang w:val="en-US"/>
              </w:rPr>
              <w:t>L, opaque HDPE, hermetically closed.</w:t>
            </w:r>
          </w:p>
          <w:p w14:paraId="2E90BE04" w14:textId="0B20FF52" w:rsidR="00620CDB" w:rsidRDefault="00620CDB" w:rsidP="00620CDB">
            <w:r>
              <w:rPr>
                <w:rFonts w:cs="Arial"/>
                <w:bCs/>
                <w:lang w:val="en-US"/>
              </w:rPr>
              <w:t>Barrels – 60, 220</w:t>
            </w:r>
            <w:r w:rsidR="00983AA2">
              <w:rPr>
                <w:rFonts w:cs="Arial"/>
                <w:bCs/>
                <w:lang w:val="en-US"/>
              </w:rPr>
              <w:t xml:space="preserve"> </w:t>
            </w:r>
            <w:r>
              <w:rPr>
                <w:rFonts w:cs="Arial"/>
                <w:bCs/>
                <w:lang w:val="en-US"/>
              </w:rPr>
              <w:t>L, opaque HDPE, hermetically closed.</w:t>
            </w:r>
          </w:p>
        </w:tc>
      </w:tr>
    </w:tbl>
    <w:p w14:paraId="177A37A7" w14:textId="77777777" w:rsidR="009D0C0B" w:rsidRDefault="009D0C0B">
      <w:pPr>
        <w:keepNext/>
        <w:widowControl w:val="0"/>
        <w:autoSpaceDE w:val="0"/>
        <w:spacing w:after="120"/>
        <w:rPr>
          <w:b/>
          <w:bCs/>
          <w:i/>
          <w:iCs/>
        </w:rPr>
      </w:pPr>
      <w:bookmarkStart w:id="36" w:name="d0e1044"/>
    </w:p>
    <w:p w14:paraId="46B5B37F" w14:textId="0B492CB6" w:rsidR="009D0C0B" w:rsidRDefault="00FA480B">
      <w:pPr>
        <w:pStyle w:val="Titre4"/>
        <w:rPr>
          <w:rFonts w:cs="Times"/>
          <w:bCs/>
          <w:szCs w:val="29"/>
        </w:rPr>
      </w:pPr>
      <w:bookmarkStart w:id="37" w:name="_Toc74732458"/>
      <w:r>
        <w:t>Use-specific instructions for use</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A3C76A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3B3F7F6" w14:textId="580403DB" w:rsidR="009D0C0B" w:rsidRDefault="00F00AB2">
            <w:pPr>
              <w:widowControl w:val="0"/>
              <w:autoSpaceDE w:val="0"/>
              <w:snapToGrid w:val="0"/>
              <w:spacing w:before="80"/>
              <w:rPr>
                <w:rFonts w:cs="Times"/>
                <w:bCs/>
                <w:szCs w:val="29"/>
              </w:rPr>
            </w:pPr>
            <w:r>
              <w:rPr>
                <w:rFonts w:cs="Times"/>
                <w:bCs/>
                <w:szCs w:val="29"/>
              </w:rPr>
              <w:t>-</w:t>
            </w:r>
          </w:p>
        </w:tc>
      </w:tr>
    </w:tbl>
    <w:p w14:paraId="2C9FC54C" w14:textId="77777777" w:rsidR="009D0C0B" w:rsidRDefault="009D0C0B">
      <w:pPr>
        <w:keepNext/>
        <w:widowControl w:val="0"/>
        <w:autoSpaceDE w:val="0"/>
        <w:spacing w:after="120"/>
        <w:rPr>
          <w:rFonts w:eastAsia="Calibri"/>
          <w:b/>
          <w:i/>
          <w:caps/>
          <w:sz w:val="22"/>
          <w:szCs w:val="22"/>
          <w:lang w:val="de-DE" w:eastAsia="en-US"/>
        </w:rPr>
      </w:pPr>
    </w:p>
    <w:p w14:paraId="0860C10A" w14:textId="77777777" w:rsidR="009D0C0B" w:rsidRDefault="00FA480B">
      <w:pPr>
        <w:pStyle w:val="Titre4"/>
        <w:rPr>
          <w:rFonts w:cs="Times"/>
          <w:bCs/>
          <w:szCs w:val="29"/>
        </w:rPr>
      </w:pPr>
      <w:bookmarkStart w:id="38" w:name="_Toc74732459"/>
      <w:r>
        <w:t>Use-specific risk mitigation measures</w:t>
      </w:r>
      <w:bookmarkEnd w:id="3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DD281B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DA5A9A" w14:textId="21FADD38" w:rsidR="009D0C0B" w:rsidRDefault="00F00AB2">
            <w:pPr>
              <w:widowControl w:val="0"/>
              <w:autoSpaceDE w:val="0"/>
              <w:snapToGrid w:val="0"/>
              <w:spacing w:before="80"/>
              <w:rPr>
                <w:rFonts w:cs="Times"/>
                <w:bCs/>
                <w:szCs w:val="29"/>
              </w:rPr>
            </w:pPr>
            <w:r>
              <w:rPr>
                <w:rFonts w:cs="Times"/>
                <w:bCs/>
                <w:szCs w:val="29"/>
              </w:rPr>
              <w:t>-</w:t>
            </w:r>
          </w:p>
        </w:tc>
      </w:tr>
    </w:tbl>
    <w:p w14:paraId="5FC8078D" w14:textId="77777777" w:rsidR="009D0C0B" w:rsidRDefault="009D0C0B">
      <w:pPr>
        <w:keepNext/>
        <w:widowControl w:val="0"/>
        <w:autoSpaceDE w:val="0"/>
        <w:spacing w:after="120"/>
        <w:rPr>
          <w:rFonts w:eastAsia="Calibri"/>
          <w:b/>
          <w:i/>
          <w:caps/>
          <w:sz w:val="22"/>
          <w:szCs w:val="22"/>
          <w:lang w:val="de-DE" w:eastAsia="en-US"/>
        </w:rPr>
      </w:pPr>
    </w:p>
    <w:p w14:paraId="17D69F8A" w14:textId="77777777" w:rsidR="009D0C0B" w:rsidRDefault="00FA480B">
      <w:pPr>
        <w:pStyle w:val="Titre4"/>
        <w:rPr>
          <w:rFonts w:cs="Times"/>
          <w:bCs/>
          <w:szCs w:val="29"/>
        </w:rPr>
      </w:pPr>
      <w:bookmarkStart w:id="39" w:name="_Toc74732460"/>
      <w:r>
        <w:t>Where specific to the use, the particulars of likely direct or indirect effects, first aid instructions and emergency measures to protect the environment</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9B2424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FB33984" w14:textId="7ABBD456" w:rsidR="009D0C0B" w:rsidRDefault="00F00AB2">
            <w:pPr>
              <w:widowControl w:val="0"/>
              <w:autoSpaceDE w:val="0"/>
              <w:snapToGrid w:val="0"/>
              <w:spacing w:before="80"/>
              <w:rPr>
                <w:rFonts w:cs="Times"/>
                <w:bCs/>
                <w:szCs w:val="29"/>
              </w:rPr>
            </w:pPr>
            <w:r>
              <w:rPr>
                <w:rFonts w:cs="Times"/>
                <w:bCs/>
                <w:szCs w:val="29"/>
              </w:rPr>
              <w:t>-</w:t>
            </w:r>
          </w:p>
        </w:tc>
      </w:tr>
    </w:tbl>
    <w:p w14:paraId="06A4DEDB" w14:textId="77777777" w:rsidR="009D0C0B" w:rsidRDefault="00FA480B">
      <w:pPr>
        <w:pStyle w:val="Titre4"/>
        <w:rPr>
          <w:rFonts w:cs="Times"/>
          <w:bCs/>
          <w:szCs w:val="29"/>
        </w:rPr>
      </w:pPr>
      <w:bookmarkStart w:id="40" w:name="_Toc74732461"/>
      <w:r>
        <w:t>Where specific to the use, the instructions for safe disposal of the product and its packaging</w:t>
      </w:r>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01AAE0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E063B37" w14:textId="656021E0" w:rsidR="009D0C0B" w:rsidRDefault="00F00AB2">
            <w:pPr>
              <w:widowControl w:val="0"/>
              <w:autoSpaceDE w:val="0"/>
              <w:snapToGrid w:val="0"/>
              <w:spacing w:before="80"/>
              <w:rPr>
                <w:rFonts w:cs="Times"/>
                <w:bCs/>
                <w:szCs w:val="29"/>
              </w:rPr>
            </w:pPr>
            <w:r>
              <w:rPr>
                <w:rFonts w:cs="Times"/>
                <w:bCs/>
                <w:szCs w:val="29"/>
              </w:rPr>
              <w:t>-</w:t>
            </w:r>
          </w:p>
        </w:tc>
      </w:tr>
    </w:tbl>
    <w:p w14:paraId="2A92547A" w14:textId="77777777" w:rsidR="009D0C0B" w:rsidRDefault="009D0C0B">
      <w:pPr>
        <w:widowControl w:val="0"/>
        <w:autoSpaceDE w:val="0"/>
        <w:rPr>
          <w:rFonts w:cs="Times"/>
          <w:bCs/>
          <w:szCs w:val="29"/>
        </w:rPr>
      </w:pPr>
    </w:p>
    <w:p w14:paraId="4ABF8651" w14:textId="77777777" w:rsidR="009D0C0B" w:rsidRDefault="00FA480B">
      <w:pPr>
        <w:pStyle w:val="Titre4"/>
        <w:rPr>
          <w:rFonts w:cs="Times"/>
          <w:bCs/>
          <w:szCs w:val="29"/>
        </w:rPr>
      </w:pPr>
      <w:bookmarkStart w:id="41" w:name="_Toc74732462"/>
      <w:r>
        <w:t>Where specific to the use, the conditions of storage and shelf-life of the product under normal conditions of storage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6AB7C8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909B88" w14:textId="72DA8CB5" w:rsidR="009D0C0B" w:rsidRDefault="00F00AB2">
            <w:pPr>
              <w:widowControl w:val="0"/>
              <w:autoSpaceDE w:val="0"/>
              <w:snapToGrid w:val="0"/>
              <w:spacing w:before="80"/>
              <w:rPr>
                <w:rFonts w:cs="Times"/>
                <w:bCs/>
                <w:szCs w:val="29"/>
              </w:rPr>
            </w:pPr>
            <w:r>
              <w:rPr>
                <w:rFonts w:cs="Times"/>
                <w:bCs/>
                <w:szCs w:val="29"/>
              </w:rPr>
              <w:t>-</w:t>
            </w:r>
          </w:p>
        </w:tc>
      </w:tr>
    </w:tbl>
    <w:p w14:paraId="6BD55C39" w14:textId="77777777" w:rsidR="009D0C0B" w:rsidRDefault="009D0C0B">
      <w:pPr>
        <w:widowControl w:val="0"/>
        <w:autoSpaceDE w:val="0"/>
        <w:rPr>
          <w:rFonts w:cs="Times"/>
          <w:bCs/>
          <w:szCs w:val="29"/>
        </w:rPr>
      </w:pPr>
    </w:p>
    <w:p w14:paraId="733FE958" w14:textId="77777777" w:rsidR="009D0C0B" w:rsidRDefault="009D0C0B">
      <w:pPr>
        <w:pageBreakBefore/>
        <w:widowControl w:val="0"/>
        <w:autoSpaceDE w:val="0"/>
        <w:rPr>
          <w:rFonts w:cs="Times"/>
          <w:bCs/>
          <w:szCs w:val="29"/>
        </w:rPr>
      </w:pPr>
    </w:p>
    <w:p w14:paraId="75E7D1DF" w14:textId="77777777" w:rsidR="009D0C0B" w:rsidRDefault="00FA480B">
      <w:pPr>
        <w:pStyle w:val="Titre3"/>
      </w:pPr>
      <w:bookmarkStart w:id="42" w:name="_Toc74732463"/>
      <w:r>
        <w:t>General directions for use</w:t>
      </w:r>
      <w:bookmarkEnd w:id="42"/>
    </w:p>
    <w:p w14:paraId="596B506C" w14:textId="27FD3793" w:rsidR="009D0C0B" w:rsidRDefault="00FA480B">
      <w:pPr>
        <w:pStyle w:val="Titre4"/>
      </w:pPr>
      <w:bookmarkStart w:id="43" w:name="_Toc74732464"/>
      <w:r>
        <w:t>Instructions for use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2AE464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31758D" w14:textId="2EED298B" w:rsidR="006B03C9" w:rsidRDefault="006B03C9"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6B03C9">
              <w:rPr>
                <w:rFonts w:eastAsia="Calibri" w:cs="Times"/>
                <w:bCs/>
                <w:szCs w:val="24"/>
                <w:lang w:val="sv-SE" w:eastAsia="sv-SE"/>
              </w:rPr>
              <w:t>Comply with the instructions for use</w:t>
            </w:r>
            <w:r w:rsidR="00983AA2">
              <w:rPr>
                <w:rFonts w:eastAsia="Calibri" w:cs="Times"/>
                <w:bCs/>
                <w:szCs w:val="24"/>
                <w:lang w:val="sv-SE" w:eastAsia="sv-SE"/>
              </w:rPr>
              <w:t>.</w:t>
            </w:r>
          </w:p>
          <w:p w14:paraId="3D3595FF" w14:textId="6E769B51" w:rsidR="00546CD1" w:rsidRPr="00592BB5" w:rsidRDefault="00546CD1"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592BB5">
              <w:rPr>
                <w:rFonts w:eastAsia="Calibri" w:cs="Times"/>
                <w:bCs/>
                <w:szCs w:val="24"/>
                <w:lang w:val="sv-SE" w:eastAsia="sv-SE"/>
              </w:rPr>
              <w:t>Respect the conditions of use of the product (concentration, contact time, temperature, pH, etc.).</w:t>
            </w:r>
          </w:p>
          <w:p w14:paraId="3B9A75C2" w14:textId="77777777" w:rsidR="00546CD1" w:rsidRPr="00983AA2" w:rsidRDefault="00546CD1"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592BB5">
              <w:rPr>
                <w:rFonts w:eastAsia="Calibri" w:cs="Times"/>
                <w:bCs/>
                <w:szCs w:val="24"/>
                <w:lang w:val="sv-SE" w:eastAsia="sv-SE"/>
              </w:rPr>
              <w:t>Inform the</w:t>
            </w:r>
            <w:r w:rsidRPr="00983AA2">
              <w:rPr>
                <w:rFonts w:eastAsia="Calibri" w:cs="Times"/>
                <w:bCs/>
                <w:szCs w:val="24"/>
                <w:lang w:val="sv-SE" w:eastAsia="sv-SE"/>
              </w:rPr>
              <w:t xml:space="preserve"> registration holder if the treatment is ineffective.</w:t>
            </w:r>
          </w:p>
          <w:p w14:paraId="597AB012" w14:textId="77777777" w:rsidR="003A37BA" w:rsidRPr="00983AA2" w:rsidRDefault="003A37BA"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983AA2">
              <w:rPr>
                <w:rFonts w:eastAsia="Calibri" w:cs="Times"/>
                <w:bCs/>
                <w:szCs w:val="24"/>
                <w:lang w:val="sv-SE" w:eastAsia="sv-SE"/>
              </w:rPr>
              <w:t>The product must be brought to a temperature above 20°C before use.</w:t>
            </w:r>
          </w:p>
          <w:p w14:paraId="04F9152E" w14:textId="57582D78" w:rsidR="009D0C0B" w:rsidRDefault="003A37BA" w:rsidP="00983AA2">
            <w:pPr>
              <w:widowControl w:val="0"/>
              <w:numPr>
                <w:ilvl w:val="0"/>
                <w:numId w:val="15"/>
              </w:numPr>
              <w:suppressAutoHyphens w:val="0"/>
              <w:autoSpaceDE w:val="0"/>
              <w:snapToGrid w:val="0"/>
              <w:spacing w:line="254" w:lineRule="auto"/>
              <w:ind w:left="338" w:hanging="277"/>
              <w:contextualSpacing/>
              <w:jc w:val="both"/>
            </w:pPr>
            <w:r w:rsidRPr="00983AA2">
              <w:rPr>
                <w:rFonts w:eastAsia="Calibri" w:cs="Times"/>
                <w:bCs/>
                <w:szCs w:val="24"/>
                <w:lang w:val="sv-SE" w:eastAsia="sv-SE"/>
              </w:rPr>
              <w:t>Leave the product until next milking. Keep the cows standing until the product has dried (at least 5 minutes)</w:t>
            </w:r>
            <w:r w:rsidR="00983AA2">
              <w:rPr>
                <w:rFonts w:eastAsia="Calibri" w:cs="Times"/>
                <w:bCs/>
                <w:szCs w:val="24"/>
                <w:lang w:val="sv-SE" w:eastAsia="sv-SE"/>
              </w:rPr>
              <w:t>.</w:t>
            </w:r>
          </w:p>
        </w:tc>
      </w:tr>
    </w:tbl>
    <w:p w14:paraId="52CBC17A" w14:textId="77777777" w:rsidR="009D0C0B" w:rsidRDefault="00FA480B">
      <w:pPr>
        <w:pStyle w:val="Titre4"/>
      </w:pPr>
      <w:bookmarkStart w:id="44" w:name="_Toc74732465"/>
      <w:r>
        <w:t>Risk mitigation measures</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3FCAD0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DCA466D" w14:textId="0855D6DC" w:rsidR="009D0C0B" w:rsidRDefault="00221142" w:rsidP="00DA6BCF">
            <w:pPr>
              <w:widowControl w:val="0"/>
              <w:numPr>
                <w:ilvl w:val="0"/>
                <w:numId w:val="15"/>
              </w:numPr>
              <w:suppressAutoHyphens w:val="0"/>
              <w:autoSpaceDE w:val="0"/>
              <w:snapToGrid w:val="0"/>
              <w:spacing w:line="254" w:lineRule="auto"/>
              <w:ind w:left="338" w:hanging="277"/>
              <w:contextualSpacing/>
              <w:jc w:val="both"/>
            </w:pPr>
            <w:r w:rsidRPr="00DA6BCF">
              <w:rPr>
                <w:rFonts w:eastAsia="Calibri" w:cs="Times"/>
                <w:bCs/>
                <w:szCs w:val="24"/>
                <w:lang w:val="sv-SE" w:eastAsia="sv-SE"/>
              </w:rPr>
              <w:t>In case a combination of pre- and post-milking disinfection is necessary, using another product not containing iodine has to be considered for pre-milking disinfection.</w:t>
            </w:r>
          </w:p>
        </w:tc>
      </w:tr>
    </w:tbl>
    <w:p w14:paraId="0F86888A" w14:textId="77777777" w:rsidR="009D0C0B" w:rsidRDefault="00FA480B">
      <w:pPr>
        <w:pStyle w:val="Titre4"/>
      </w:pPr>
      <w:bookmarkStart w:id="45" w:name="_Toc74732466"/>
      <w:r>
        <w:t>Particulars of likely direct or indirect effects, first aid instructions and emergency measures to protect the environment</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4B362D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420198E" w14:textId="77777777" w:rsidR="00452E09" w:rsidRPr="00983AA2" w:rsidRDefault="00452E09"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983AA2">
              <w:rPr>
                <w:rFonts w:eastAsia="Calibri" w:cs="Times"/>
                <w:bCs/>
                <w:szCs w:val="24"/>
                <w:lang w:val="sv-SE" w:eastAsia="sv-SE"/>
              </w:rPr>
              <w:t>IF SWALLOWED: If symptoms occur call a POISON CENTRE or a doctor.</w:t>
            </w:r>
          </w:p>
          <w:p w14:paraId="4E813227" w14:textId="77777777" w:rsidR="00452E09" w:rsidRPr="00983AA2" w:rsidRDefault="00452E09"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983AA2">
              <w:rPr>
                <w:rFonts w:eastAsia="Calibri" w:cs="Times"/>
                <w:bCs/>
                <w:szCs w:val="24"/>
                <w:lang w:val="sv-SE" w:eastAsia="sv-SE"/>
              </w:rPr>
              <w:t>IF ON SKIN: If symptoms occur call a POISON CENTRE or a doctor.</w:t>
            </w:r>
          </w:p>
          <w:p w14:paraId="3730C2F1" w14:textId="500734B5" w:rsidR="009D0C0B" w:rsidRDefault="00452E09" w:rsidP="00983AA2">
            <w:pPr>
              <w:widowControl w:val="0"/>
              <w:numPr>
                <w:ilvl w:val="0"/>
                <w:numId w:val="15"/>
              </w:numPr>
              <w:suppressAutoHyphens w:val="0"/>
              <w:autoSpaceDE w:val="0"/>
              <w:snapToGrid w:val="0"/>
              <w:spacing w:line="254" w:lineRule="auto"/>
              <w:ind w:left="338" w:hanging="277"/>
              <w:contextualSpacing/>
              <w:jc w:val="both"/>
            </w:pPr>
            <w:r w:rsidRPr="00983AA2">
              <w:rPr>
                <w:rFonts w:eastAsia="Calibri" w:cs="Times"/>
                <w:bCs/>
                <w:szCs w:val="24"/>
                <w:lang w:val="sv-SE" w:eastAsia="sv-SE"/>
              </w:rPr>
              <w:t>IF IN EYES: If symptoms occur rinse with water. Remove contact lenses, if present and easy to do. Call a POISON CENTRE or a doctor.</w:t>
            </w:r>
          </w:p>
        </w:tc>
      </w:tr>
    </w:tbl>
    <w:p w14:paraId="50E43417" w14:textId="77777777" w:rsidR="009D0C0B" w:rsidRDefault="00FA480B">
      <w:pPr>
        <w:pStyle w:val="Titre4"/>
      </w:pPr>
      <w:bookmarkStart w:id="46" w:name="_Toc74732467"/>
      <w:r>
        <w:t>Instructions for safe disposal of the product and its packaging</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3DBCB3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6C8849A" w14:textId="1748D727" w:rsidR="003E7BB9" w:rsidRPr="00983AA2" w:rsidRDefault="003E7BB9"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983AA2">
              <w:rPr>
                <w:rFonts w:eastAsia="Calibri" w:cs="Times"/>
                <w:bCs/>
                <w:szCs w:val="24"/>
                <w:lang w:val="sv-SE" w:eastAsia="sv-SE"/>
              </w:rPr>
              <w:t>Do not discharge unused product on the ground, into water courses, into pipes (sink, toilets…) nor down the drains</w:t>
            </w:r>
            <w:r w:rsidR="00983AA2">
              <w:rPr>
                <w:rFonts w:eastAsia="Calibri" w:cs="Times"/>
                <w:bCs/>
                <w:szCs w:val="24"/>
                <w:lang w:val="sv-SE" w:eastAsia="sv-SE"/>
              </w:rPr>
              <w:t>.</w:t>
            </w:r>
          </w:p>
          <w:p w14:paraId="5DAF2999" w14:textId="25DFA71A" w:rsidR="009D0C0B" w:rsidRDefault="003E7BB9" w:rsidP="00983AA2">
            <w:pPr>
              <w:widowControl w:val="0"/>
              <w:numPr>
                <w:ilvl w:val="0"/>
                <w:numId w:val="15"/>
              </w:numPr>
              <w:suppressAutoHyphens w:val="0"/>
              <w:autoSpaceDE w:val="0"/>
              <w:snapToGrid w:val="0"/>
              <w:spacing w:line="254" w:lineRule="auto"/>
              <w:ind w:left="338" w:hanging="277"/>
              <w:contextualSpacing/>
              <w:jc w:val="both"/>
            </w:pPr>
            <w:r w:rsidRPr="00983AA2">
              <w:rPr>
                <w:rFonts w:eastAsia="Calibri" w:cs="Times"/>
                <w:bCs/>
                <w:szCs w:val="24"/>
                <w:lang w:val="sv-SE" w:eastAsia="sv-SE"/>
              </w:rPr>
              <w:t>Dispose of unused product, its packaging and all other waste, in accordance with local regulations</w:t>
            </w:r>
            <w:r w:rsidR="00983AA2">
              <w:rPr>
                <w:rFonts w:eastAsia="Calibri" w:cs="Times"/>
                <w:bCs/>
                <w:szCs w:val="24"/>
                <w:lang w:val="sv-SE" w:eastAsia="sv-SE"/>
              </w:rPr>
              <w:t>.</w:t>
            </w:r>
          </w:p>
        </w:tc>
      </w:tr>
    </w:tbl>
    <w:p w14:paraId="420FE7C1" w14:textId="77777777" w:rsidR="009D0C0B" w:rsidRDefault="00FA480B">
      <w:pPr>
        <w:pStyle w:val="Titre4"/>
      </w:pPr>
      <w:bookmarkStart w:id="47" w:name="_Toc74732468"/>
      <w:r>
        <w:t>Conditions of storage and shelf-life of the product under normal conditions of storage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0B4BD0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D165A7E" w14:textId="1BB122F3" w:rsidR="00AF391D" w:rsidRPr="00983AA2" w:rsidRDefault="00AF391D"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983AA2">
              <w:rPr>
                <w:rFonts w:eastAsia="Calibri" w:cs="Times"/>
                <w:bCs/>
                <w:szCs w:val="24"/>
                <w:lang w:val="sv-SE" w:eastAsia="sv-SE"/>
              </w:rPr>
              <w:t>Protect from frost.</w:t>
            </w:r>
          </w:p>
          <w:p w14:paraId="6D9A710F" w14:textId="4F4EB409" w:rsidR="00AF391D" w:rsidRPr="00983AA2" w:rsidRDefault="00AF391D"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983AA2">
              <w:rPr>
                <w:rFonts w:eastAsia="Calibri" w:cs="Times"/>
                <w:bCs/>
                <w:szCs w:val="24"/>
                <w:lang w:val="sv-SE" w:eastAsia="sv-SE"/>
              </w:rPr>
              <w:t xml:space="preserve">Do not store at a temperature above </w:t>
            </w:r>
            <w:r w:rsidR="00DC698E">
              <w:rPr>
                <w:rFonts w:eastAsia="Calibri" w:cs="Times"/>
                <w:bCs/>
                <w:szCs w:val="24"/>
                <w:lang w:val="sv-SE" w:eastAsia="sv-SE"/>
              </w:rPr>
              <w:t>25</w:t>
            </w:r>
            <w:r w:rsidRPr="00983AA2">
              <w:rPr>
                <w:rFonts w:eastAsia="Calibri" w:cs="Times"/>
                <w:bCs/>
                <w:szCs w:val="24"/>
                <w:lang w:val="sv-SE" w:eastAsia="sv-SE"/>
              </w:rPr>
              <w:t>°C.</w:t>
            </w:r>
          </w:p>
          <w:p w14:paraId="58F02BC2" w14:textId="18F96C00" w:rsidR="00AF391D" w:rsidRPr="00983AA2" w:rsidRDefault="00AF391D" w:rsidP="00983AA2">
            <w:pPr>
              <w:widowControl w:val="0"/>
              <w:numPr>
                <w:ilvl w:val="0"/>
                <w:numId w:val="15"/>
              </w:numPr>
              <w:suppressAutoHyphens w:val="0"/>
              <w:autoSpaceDE w:val="0"/>
              <w:snapToGrid w:val="0"/>
              <w:spacing w:line="254" w:lineRule="auto"/>
              <w:ind w:left="338" w:hanging="277"/>
              <w:contextualSpacing/>
              <w:jc w:val="both"/>
              <w:rPr>
                <w:rFonts w:eastAsia="Calibri" w:cs="Times"/>
                <w:bCs/>
                <w:szCs w:val="24"/>
                <w:lang w:val="sv-SE" w:eastAsia="sv-SE"/>
              </w:rPr>
            </w:pPr>
            <w:r w:rsidRPr="00983AA2">
              <w:rPr>
                <w:rFonts w:eastAsia="Calibri" w:cs="Times"/>
                <w:bCs/>
                <w:szCs w:val="24"/>
                <w:lang w:val="sv-SE" w:eastAsia="sv-SE"/>
              </w:rPr>
              <w:t xml:space="preserve">Shelf life: </w:t>
            </w:r>
            <w:r w:rsidR="000F7B12">
              <w:rPr>
                <w:rFonts w:eastAsia="Calibri" w:cs="Times"/>
                <w:bCs/>
                <w:szCs w:val="24"/>
                <w:lang w:val="sv-SE" w:eastAsia="sv-SE"/>
              </w:rPr>
              <w:t>12</w:t>
            </w:r>
            <w:r w:rsidR="0025461D" w:rsidRPr="00983AA2">
              <w:rPr>
                <w:rFonts w:eastAsia="Calibri" w:cs="Times"/>
                <w:bCs/>
                <w:szCs w:val="24"/>
                <w:lang w:val="sv-SE" w:eastAsia="sv-SE"/>
              </w:rPr>
              <w:t xml:space="preserve"> months</w:t>
            </w:r>
          </w:p>
          <w:p w14:paraId="773AAABB" w14:textId="72418A72" w:rsidR="009D0C0B" w:rsidRDefault="00AF391D" w:rsidP="00983AA2">
            <w:pPr>
              <w:widowControl w:val="0"/>
              <w:numPr>
                <w:ilvl w:val="0"/>
                <w:numId w:val="15"/>
              </w:numPr>
              <w:suppressAutoHyphens w:val="0"/>
              <w:autoSpaceDE w:val="0"/>
              <w:snapToGrid w:val="0"/>
              <w:spacing w:line="254" w:lineRule="auto"/>
              <w:ind w:left="338" w:hanging="277"/>
              <w:contextualSpacing/>
              <w:jc w:val="both"/>
            </w:pPr>
            <w:r w:rsidRPr="00983AA2">
              <w:rPr>
                <w:rFonts w:eastAsia="Calibri" w:cs="Times"/>
                <w:bCs/>
                <w:szCs w:val="24"/>
                <w:lang w:val="sv-SE" w:eastAsia="sv-SE"/>
              </w:rPr>
              <w:t>Protect from direct sunlight.</w:t>
            </w:r>
          </w:p>
        </w:tc>
      </w:tr>
    </w:tbl>
    <w:p w14:paraId="50C54B9A" w14:textId="77777777" w:rsidR="009D0C0B" w:rsidRDefault="009D0C0B">
      <w:pPr>
        <w:pStyle w:val="Absatz"/>
        <w:rPr>
          <w:lang w:eastAsia="en-US"/>
        </w:rPr>
      </w:pPr>
    </w:p>
    <w:p w14:paraId="3BF22F68" w14:textId="77777777" w:rsidR="009D0C0B" w:rsidRDefault="009D0C0B">
      <w:pPr>
        <w:pStyle w:val="Absatz"/>
        <w:rPr>
          <w:lang w:eastAsia="en-US"/>
        </w:rPr>
      </w:pPr>
    </w:p>
    <w:p w14:paraId="5511882A" w14:textId="77777777" w:rsidR="009D0C0B" w:rsidRDefault="00FA480B">
      <w:pPr>
        <w:pStyle w:val="Titre3"/>
      </w:pPr>
      <w:bookmarkStart w:id="48" w:name="_Toc74732469"/>
      <w:r>
        <w:t>Other information</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DFF1A9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CA195DE" w14:textId="4C3AB0CA" w:rsidR="009D0C0B" w:rsidRDefault="00452E09" w:rsidP="00983AA2">
            <w:pPr>
              <w:jc w:val="both"/>
            </w:pPr>
            <w:r w:rsidRPr="00983AA2">
              <w:t>The product contains pyrrolidones derivatives. Do not use in case of known hypersensitivity.</w:t>
            </w:r>
          </w:p>
        </w:tc>
      </w:tr>
    </w:tbl>
    <w:p w14:paraId="3EAD2FB6" w14:textId="77777777" w:rsidR="009D0C0B" w:rsidRDefault="009D0C0B">
      <w:pPr>
        <w:pStyle w:val="Absatz"/>
        <w:rPr>
          <w:lang w:eastAsia="en-US"/>
        </w:rPr>
      </w:pPr>
    </w:p>
    <w:bookmarkEnd w:id="36"/>
    <w:p w14:paraId="150C2CF7" w14:textId="77777777" w:rsidR="009D0C0B" w:rsidRDefault="009D0C0B">
      <w:pPr>
        <w:tabs>
          <w:tab w:val="left" w:pos="500"/>
        </w:tabs>
        <w:ind w:left="500" w:hanging="500"/>
        <w:rPr>
          <w:lang w:eastAsia="en-US"/>
        </w:rPr>
      </w:pPr>
    </w:p>
    <w:p w14:paraId="0F25BD06" w14:textId="77777777" w:rsidR="009D0C0B" w:rsidRDefault="00FA480B">
      <w:pPr>
        <w:pStyle w:val="Titre3"/>
        <w:rPr>
          <w:rFonts w:eastAsia="Calibri"/>
          <w:sz w:val="18"/>
          <w:lang w:eastAsia="en-US"/>
        </w:rPr>
      </w:pPr>
      <w:bookmarkStart w:id="49" w:name="_Toc74732470"/>
      <w:r>
        <w:lastRenderedPageBreak/>
        <w:t>Packaging of the biocidal product</w:t>
      </w:r>
      <w:bookmarkEnd w:id="49"/>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17678C77" w14:textId="77777777">
        <w:tc>
          <w:tcPr>
            <w:tcW w:w="1403" w:type="dxa"/>
            <w:tcBorders>
              <w:top w:val="single" w:sz="4" w:space="0" w:color="000000"/>
              <w:left w:val="single" w:sz="4" w:space="0" w:color="000000"/>
              <w:bottom w:val="single" w:sz="4" w:space="0" w:color="000000"/>
            </w:tcBorders>
            <w:shd w:val="clear" w:color="auto" w:fill="FFFFCC"/>
          </w:tcPr>
          <w:p w14:paraId="35D158FC"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3B4F922A"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76A72E32"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06A4254F"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623805F6" w14:textId="77777777" w:rsidR="009D0C0B" w:rsidRPr="00D05F81"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1A49AC66" w14:textId="77777777" w:rsidR="009D0C0B" w:rsidRDefault="00FA480B">
            <w:pPr>
              <w:spacing w:line="260" w:lineRule="atLeast"/>
            </w:pPr>
            <w:r>
              <w:rPr>
                <w:rFonts w:eastAsia="Calibri"/>
                <w:b/>
                <w:sz w:val="18"/>
                <w:lang w:eastAsia="en-US"/>
              </w:rPr>
              <w:t>Compatibility of the product with the proposed packaging materials (Yes/No)</w:t>
            </w:r>
          </w:p>
        </w:tc>
      </w:tr>
      <w:tr w:rsidR="00AF391D" w14:paraId="44898D7A" w14:textId="77777777">
        <w:tc>
          <w:tcPr>
            <w:tcW w:w="1403" w:type="dxa"/>
            <w:tcBorders>
              <w:top w:val="single" w:sz="4" w:space="0" w:color="000000"/>
              <w:left w:val="single" w:sz="4" w:space="0" w:color="000000"/>
              <w:bottom w:val="single" w:sz="4" w:space="0" w:color="000000"/>
            </w:tcBorders>
            <w:shd w:val="clear" w:color="auto" w:fill="auto"/>
          </w:tcPr>
          <w:p w14:paraId="7A8468AD" w14:textId="77130380" w:rsidR="00AF391D" w:rsidRDefault="00AF391D" w:rsidP="00AF391D">
            <w:pPr>
              <w:snapToGrid w:val="0"/>
              <w:spacing w:line="260" w:lineRule="atLeast"/>
              <w:rPr>
                <w:rFonts w:eastAsia="Calibri"/>
                <w:b/>
                <w:sz w:val="18"/>
                <w:lang w:eastAsia="en-US"/>
              </w:rPr>
            </w:pPr>
            <w:r>
              <w:rPr>
                <w:rFonts w:eastAsia="Calibri"/>
                <w:lang w:eastAsia="en-US"/>
              </w:rPr>
              <w:t>Cans</w:t>
            </w:r>
          </w:p>
        </w:tc>
        <w:tc>
          <w:tcPr>
            <w:tcW w:w="1640" w:type="dxa"/>
            <w:tcBorders>
              <w:top w:val="single" w:sz="4" w:space="0" w:color="000000"/>
              <w:left w:val="single" w:sz="4" w:space="0" w:color="000000"/>
              <w:bottom w:val="single" w:sz="4" w:space="0" w:color="000000"/>
            </w:tcBorders>
            <w:shd w:val="clear" w:color="auto" w:fill="auto"/>
          </w:tcPr>
          <w:p w14:paraId="44B09E92" w14:textId="2F7A2B07" w:rsidR="00AF391D" w:rsidRDefault="00AF391D" w:rsidP="00AF391D">
            <w:pPr>
              <w:snapToGrid w:val="0"/>
              <w:spacing w:line="260" w:lineRule="atLeast"/>
              <w:rPr>
                <w:rFonts w:eastAsia="Calibri"/>
                <w:lang w:eastAsia="en-US"/>
              </w:rPr>
            </w:pPr>
            <w:r>
              <w:rPr>
                <w:rFonts w:eastAsia="Calibri"/>
                <w:lang w:eastAsia="en-US"/>
              </w:rPr>
              <w:t>20 L</w:t>
            </w:r>
          </w:p>
        </w:tc>
        <w:tc>
          <w:tcPr>
            <w:tcW w:w="1402" w:type="dxa"/>
            <w:tcBorders>
              <w:top w:val="single" w:sz="4" w:space="0" w:color="000000"/>
              <w:left w:val="single" w:sz="4" w:space="0" w:color="000000"/>
              <w:bottom w:val="single" w:sz="4" w:space="0" w:color="000000"/>
            </w:tcBorders>
            <w:shd w:val="clear" w:color="auto" w:fill="auto"/>
          </w:tcPr>
          <w:p w14:paraId="46C02C44" w14:textId="7CD18A2D" w:rsidR="00AF391D" w:rsidRDefault="00AF391D" w:rsidP="00AF391D">
            <w:pPr>
              <w:snapToGrid w:val="0"/>
              <w:spacing w:line="260" w:lineRule="atLeast"/>
              <w:rPr>
                <w:rFonts w:eastAsia="Calibri"/>
                <w:lang w:eastAsia="en-US"/>
              </w:rPr>
            </w:pPr>
            <w:r>
              <w:rPr>
                <w:rFonts w:eastAsia="Calibri"/>
                <w:lang w:eastAsia="en-US"/>
              </w:rPr>
              <w:t>Opaque  HDPE</w:t>
            </w:r>
          </w:p>
        </w:tc>
        <w:tc>
          <w:tcPr>
            <w:tcW w:w="1382" w:type="dxa"/>
            <w:tcBorders>
              <w:top w:val="single" w:sz="4" w:space="0" w:color="000000"/>
              <w:left w:val="single" w:sz="4" w:space="0" w:color="000000"/>
              <w:bottom w:val="single" w:sz="4" w:space="0" w:color="000000"/>
            </w:tcBorders>
            <w:shd w:val="clear" w:color="auto" w:fill="auto"/>
          </w:tcPr>
          <w:p w14:paraId="556F15C0" w14:textId="0DAECA00" w:rsidR="00AF391D" w:rsidRDefault="00AF391D" w:rsidP="00AF391D">
            <w:pPr>
              <w:snapToGrid w:val="0"/>
              <w:spacing w:line="260" w:lineRule="atLeast"/>
              <w:rPr>
                <w:rFonts w:eastAsia="Calibri"/>
                <w:lang w:eastAsia="en-US"/>
              </w:rPr>
            </w:pPr>
            <w:r>
              <w:rPr>
                <w:rFonts w:eastAsia="Calibri"/>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14:paraId="21A259EB" w14:textId="058819FA" w:rsidR="00AF391D" w:rsidRDefault="00AF391D" w:rsidP="00AF391D">
            <w:pPr>
              <w:snapToGrid w:val="0"/>
              <w:spacing w:line="260" w:lineRule="atLeast"/>
              <w:rPr>
                <w:rFonts w:eastAsia="Calibri"/>
                <w:lang w:eastAsia="en-US"/>
              </w:rPr>
            </w:pPr>
            <w:r>
              <w:rPr>
                <w:rFonts w:eastAsia="Calibri"/>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C6046D0" w14:textId="5159333B" w:rsidR="00AF391D" w:rsidRDefault="00AF391D" w:rsidP="00AF391D">
            <w:pPr>
              <w:snapToGrid w:val="0"/>
              <w:spacing w:line="260" w:lineRule="atLeast"/>
              <w:rPr>
                <w:rFonts w:eastAsia="Calibri"/>
                <w:lang w:eastAsia="en-US"/>
              </w:rPr>
            </w:pPr>
            <w:r>
              <w:rPr>
                <w:rFonts w:eastAsia="Calibri"/>
                <w:lang w:eastAsia="en-US"/>
              </w:rPr>
              <w:t>Yes</w:t>
            </w:r>
          </w:p>
        </w:tc>
      </w:tr>
      <w:tr w:rsidR="00AF391D" w14:paraId="0485C1C6" w14:textId="77777777">
        <w:tc>
          <w:tcPr>
            <w:tcW w:w="1403" w:type="dxa"/>
            <w:tcBorders>
              <w:top w:val="single" w:sz="4" w:space="0" w:color="000000"/>
              <w:left w:val="single" w:sz="4" w:space="0" w:color="000000"/>
              <w:bottom w:val="single" w:sz="4" w:space="0" w:color="000000"/>
            </w:tcBorders>
            <w:shd w:val="clear" w:color="auto" w:fill="auto"/>
          </w:tcPr>
          <w:p w14:paraId="6C055B28" w14:textId="660F4D1A" w:rsidR="00AF391D" w:rsidRDefault="00AF391D" w:rsidP="00AF391D">
            <w:pPr>
              <w:snapToGrid w:val="0"/>
              <w:spacing w:line="260" w:lineRule="atLeast"/>
              <w:rPr>
                <w:rFonts w:eastAsia="Calibri"/>
                <w:lang w:eastAsia="en-US"/>
              </w:rPr>
            </w:pPr>
            <w:r>
              <w:rPr>
                <w:rFonts w:eastAsia="Calibri"/>
                <w:lang w:eastAsia="en-US"/>
              </w:rPr>
              <w:t xml:space="preserve">Barrels </w:t>
            </w:r>
          </w:p>
        </w:tc>
        <w:tc>
          <w:tcPr>
            <w:tcW w:w="1640" w:type="dxa"/>
            <w:tcBorders>
              <w:top w:val="single" w:sz="4" w:space="0" w:color="000000"/>
              <w:left w:val="single" w:sz="4" w:space="0" w:color="000000"/>
              <w:bottom w:val="single" w:sz="4" w:space="0" w:color="000000"/>
            </w:tcBorders>
            <w:shd w:val="clear" w:color="auto" w:fill="auto"/>
          </w:tcPr>
          <w:p w14:paraId="740DC325" w14:textId="77777777" w:rsidR="00AF391D" w:rsidRDefault="00AF391D" w:rsidP="00AF391D">
            <w:pPr>
              <w:spacing w:line="260" w:lineRule="atLeast"/>
              <w:rPr>
                <w:rFonts w:eastAsia="Calibri"/>
                <w:lang w:eastAsia="en-US"/>
              </w:rPr>
            </w:pPr>
            <w:r>
              <w:rPr>
                <w:rFonts w:eastAsia="Calibri"/>
                <w:lang w:eastAsia="en-US"/>
              </w:rPr>
              <w:t>60 L</w:t>
            </w:r>
          </w:p>
          <w:p w14:paraId="24870592" w14:textId="4F046770" w:rsidR="00AF391D" w:rsidRDefault="00AF391D" w:rsidP="00AF391D">
            <w:pPr>
              <w:snapToGrid w:val="0"/>
              <w:spacing w:line="260" w:lineRule="atLeast"/>
              <w:rPr>
                <w:rFonts w:eastAsia="Calibri"/>
                <w:lang w:eastAsia="en-US"/>
              </w:rPr>
            </w:pPr>
            <w:r>
              <w:rPr>
                <w:rFonts w:eastAsia="Calibri"/>
                <w:lang w:eastAsia="en-US"/>
              </w:rPr>
              <w:t>220 L</w:t>
            </w:r>
          </w:p>
        </w:tc>
        <w:tc>
          <w:tcPr>
            <w:tcW w:w="1402" w:type="dxa"/>
            <w:tcBorders>
              <w:top w:val="single" w:sz="4" w:space="0" w:color="000000"/>
              <w:left w:val="single" w:sz="4" w:space="0" w:color="000000"/>
              <w:bottom w:val="single" w:sz="4" w:space="0" w:color="000000"/>
            </w:tcBorders>
            <w:shd w:val="clear" w:color="auto" w:fill="auto"/>
          </w:tcPr>
          <w:p w14:paraId="6AED6536" w14:textId="77011D69" w:rsidR="00AF391D" w:rsidRDefault="00AF391D" w:rsidP="00AF391D">
            <w:pPr>
              <w:snapToGrid w:val="0"/>
              <w:spacing w:line="260" w:lineRule="atLeast"/>
              <w:rPr>
                <w:rFonts w:eastAsia="Calibri"/>
                <w:lang w:eastAsia="en-US"/>
              </w:rPr>
            </w:pPr>
            <w:r>
              <w:rPr>
                <w:lang w:eastAsia="en-US"/>
              </w:rPr>
              <w:t>Opaque HDPE</w:t>
            </w:r>
          </w:p>
        </w:tc>
        <w:tc>
          <w:tcPr>
            <w:tcW w:w="1382" w:type="dxa"/>
            <w:tcBorders>
              <w:top w:val="single" w:sz="4" w:space="0" w:color="000000"/>
              <w:left w:val="single" w:sz="4" w:space="0" w:color="000000"/>
              <w:bottom w:val="single" w:sz="4" w:space="0" w:color="000000"/>
            </w:tcBorders>
            <w:shd w:val="clear" w:color="auto" w:fill="auto"/>
          </w:tcPr>
          <w:p w14:paraId="3050CB25" w14:textId="00D22A4D" w:rsidR="00AF391D" w:rsidRDefault="00AF391D" w:rsidP="00AF391D">
            <w:pPr>
              <w:snapToGrid w:val="0"/>
              <w:spacing w:line="260" w:lineRule="atLeast"/>
              <w:rPr>
                <w:rFonts w:eastAsia="Calibri"/>
                <w:lang w:eastAsia="en-US"/>
              </w:rPr>
            </w:pPr>
            <w:r>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14:paraId="268E0E1B" w14:textId="19AD87D8" w:rsidR="00AF391D" w:rsidRDefault="00AF391D" w:rsidP="00AF391D">
            <w:pPr>
              <w:snapToGrid w:val="0"/>
              <w:spacing w:line="260" w:lineRule="atLeast"/>
              <w:rPr>
                <w:rFonts w:eastAsia="Calibri"/>
                <w:lang w:eastAsia="en-US"/>
              </w:rPr>
            </w:pPr>
            <w:r>
              <w:rPr>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2BFD61C" w14:textId="314121F8" w:rsidR="00AF391D" w:rsidRDefault="00AF391D" w:rsidP="00AF391D">
            <w:pPr>
              <w:snapToGrid w:val="0"/>
              <w:spacing w:line="260" w:lineRule="atLeast"/>
              <w:rPr>
                <w:rFonts w:eastAsia="Calibri"/>
                <w:lang w:eastAsia="en-US"/>
              </w:rPr>
            </w:pPr>
            <w:r>
              <w:rPr>
                <w:lang w:eastAsia="en-US"/>
              </w:rPr>
              <w:t>Yes</w:t>
            </w:r>
          </w:p>
        </w:tc>
      </w:tr>
    </w:tbl>
    <w:p w14:paraId="48C19A8D" w14:textId="77777777" w:rsidR="009D0C0B" w:rsidRDefault="009D0C0B">
      <w:pPr>
        <w:spacing w:line="260" w:lineRule="atLeast"/>
        <w:rPr>
          <w:rFonts w:eastAsia="Calibri"/>
          <w:lang w:eastAsia="en-US"/>
        </w:rPr>
      </w:pPr>
    </w:p>
    <w:p w14:paraId="4652E3D8" w14:textId="77777777" w:rsidR="009D0C0B" w:rsidRDefault="009D0C0B">
      <w:pPr>
        <w:rPr>
          <w:rFonts w:eastAsia="Calibri"/>
          <w:lang w:eastAsia="en-US"/>
        </w:rPr>
      </w:pPr>
    </w:p>
    <w:p w14:paraId="74FBC063" w14:textId="1B66F23A" w:rsidR="009D0C0B" w:rsidRDefault="00FA480B">
      <w:pPr>
        <w:pStyle w:val="Titre3"/>
        <w:rPr>
          <w:lang w:eastAsia="en-US"/>
        </w:rPr>
      </w:pPr>
      <w:bookmarkStart w:id="50" w:name="_Toc74732471"/>
      <w:bookmarkStart w:id="51" w:name="d0e2119"/>
      <w:r>
        <w:rPr>
          <w:lang w:eastAsia="en-US"/>
        </w:rPr>
        <w:t>Documentation</w:t>
      </w:r>
      <w:bookmarkEnd w:id="50"/>
    </w:p>
    <w:p w14:paraId="57675703" w14:textId="77777777" w:rsidR="00D821AC" w:rsidRPr="00D821AC" w:rsidRDefault="00D821AC" w:rsidP="00D821AC">
      <w:pPr>
        <w:pStyle w:val="Absatz"/>
        <w:rPr>
          <w:lang w:val="de-DE" w:eastAsia="en-US"/>
        </w:rPr>
      </w:pPr>
    </w:p>
    <w:p w14:paraId="79109DE2" w14:textId="77777777" w:rsidR="009D0C0B" w:rsidRDefault="00FA480B">
      <w:pPr>
        <w:pStyle w:val="Titre4"/>
        <w:rPr>
          <w:rFonts w:ascii="Times New Roman" w:hAnsi="Times New Roman" w:cs="Times New Roman"/>
          <w:i/>
          <w:iCs/>
          <w:lang w:eastAsia="en-US"/>
        </w:rPr>
      </w:pPr>
      <w:bookmarkStart w:id="52" w:name="_Toc74732472"/>
      <w:r>
        <w:t>Data submitted in relation to product application</w:t>
      </w:r>
      <w:bookmarkEnd w:id="52"/>
    </w:p>
    <w:p w14:paraId="0D85D420" w14:textId="0AE4AE58" w:rsidR="009D0C0B" w:rsidRDefault="006060C9">
      <w:pPr>
        <w:spacing w:line="260" w:lineRule="atLeast"/>
        <w:jc w:val="both"/>
      </w:pPr>
      <w:r w:rsidRPr="00432400">
        <w:rPr>
          <w:rFonts w:eastAsia="Calibri"/>
          <w:lang w:eastAsia="en-US"/>
        </w:rPr>
        <w:t>New data have been submitted in the purpose of product authorisation. All documents are available in section 1</w:t>
      </w:r>
      <w:r w:rsidR="00154253">
        <w:rPr>
          <w:rFonts w:eastAsia="Calibri"/>
          <w:lang w:eastAsia="en-US"/>
        </w:rPr>
        <w:t>3 of IUCLID and are listed in annex.</w:t>
      </w:r>
    </w:p>
    <w:p w14:paraId="62278E30" w14:textId="77777777" w:rsidR="009D0C0B" w:rsidRDefault="00FA480B">
      <w:pPr>
        <w:pStyle w:val="Titre4"/>
        <w:rPr>
          <w:rFonts w:ascii="Times New Roman" w:hAnsi="Times New Roman" w:cs="Times New Roman"/>
          <w:i/>
          <w:iCs/>
          <w:lang w:eastAsia="en-US"/>
        </w:rPr>
      </w:pPr>
      <w:bookmarkStart w:id="53" w:name="_Toc74732473"/>
      <w:r>
        <w:t>Access to documentation</w:t>
      </w:r>
      <w:bookmarkEnd w:id="53"/>
    </w:p>
    <w:p w14:paraId="489AA94D" w14:textId="729099F1" w:rsidR="006060C9" w:rsidRPr="006244A5" w:rsidRDefault="006060C9" w:rsidP="006060C9">
      <w:pPr>
        <w:autoSpaceDE w:val="0"/>
        <w:autoSpaceDN w:val="0"/>
        <w:adjustRightInd w:val="0"/>
        <w:jc w:val="both"/>
        <w:rPr>
          <w:rFonts w:cs="Arial"/>
        </w:rPr>
      </w:pPr>
      <w:r>
        <w:rPr>
          <w:rFonts w:cs="Arial"/>
          <w:i/>
          <w:iCs/>
          <w:lang w:eastAsia="en-US"/>
        </w:rPr>
        <w:t>Centre Technique d’Hygiène</w:t>
      </w:r>
      <w:r w:rsidRPr="006244A5">
        <w:rPr>
          <w:rFonts w:cs="Arial"/>
        </w:rPr>
        <w:t xml:space="preserve"> has access to analytical methods on the active substance Iodine with a Letter of Access of </w:t>
      </w:r>
      <w:r>
        <w:rPr>
          <w:rFonts w:cs="Arial"/>
          <w:i/>
          <w:iCs/>
          <w:lang w:eastAsia="en-US"/>
        </w:rPr>
        <w:t>Alcoholes Montplet</w:t>
      </w:r>
      <w:r w:rsidRPr="006244A5">
        <w:rPr>
          <w:rFonts w:cs="Arial"/>
          <w:i/>
          <w:iCs/>
          <w:lang w:eastAsia="en-US"/>
        </w:rPr>
        <w:t xml:space="preserve">, </w:t>
      </w:r>
      <w:r w:rsidRPr="007763D2">
        <w:rPr>
          <w:rFonts w:cs="Arial"/>
          <w:iCs/>
          <w:lang w:eastAsia="en-US"/>
        </w:rPr>
        <w:t>one of applicants of the active substance iodine</w:t>
      </w:r>
      <w:r w:rsidR="000B0499">
        <w:rPr>
          <w:rFonts w:cs="Arial"/>
        </w:rPr>
        <w:t xml:space="preserve"> (including PVP-iodine)</w:t>
      </w:r>
      <w:r w:rsidRPr="006244A5">
        <w:rPr>
          <w:rFonts w:cs="Arial"/>
        </w:rPr>
        <w:t>.</w:t>
      </w:r>
    </w:p>
    <w:p w14:paraId="705DBB2C" w14:textId="77777777" w:rsidR="006060C9" w:rsidRPr="006244A5" w:rsidRDefault="006060C9" w:rsidP="006060C9">
      <w:pPr>
        <w:autoSpaceDE w:val="0"/>
        <w:autoSpaceDN w:val="0"/>
        <w:adjustRightInd w:val="0"/>
        <w:jc w:val="both"/>
        <w:rPr>
          <w:rFonts w:cs="Arial"/>
        </w:rPr>
      </w:pPr>
      <w:r>
        <w:rPr>
          <w:rFonts w:cs="Arial"/>
          <w:i/>
          <w:iCs/>
          <w:lang w:eastAsia="en-US"/>
        </w:rPr>
        <w:t>Centre Technique d’Hygiène</w:t>
      </w:r>
      <w:r w:rsidRPr="006244A5">
        <w:rPr>
          <w:rFonts w:cs="Arial"/>
        </w:rPr>
        <w:t xml:space="preserve"> has access to analytical methods on the active substance </w:t>
      </w:r>
      <w:r>
        <w:rPr>
          <w:rFonts w:cs="Arial"/>
        </w:rPr>
        <w:t>L-(+)-lactic acid</w:t>
      </w:r>
      <w:r w:rsidRPr="006244A5">
        <w:rPr>
          <w:rFonts w:cs="Arial"/>
        </w:rPr>
        <w:t xml:space="preserve"> with a Letter of Access of </w:t>
      </w:r>
      <w:r w:rsidRPr="00FC4DAC">
        <w:rPr>
          <w:rFonts w:cs="Arial"/>
          <w:i/>
          <w:iCs/>
          <w:lang w:eastAsia="en-US"/>
        </w:rPr>
        <w:t>Jungbunzlauer</w:t>
      </w:r>
      <w:r>
        <w:rPr>
          <w:rFonts w:cs="Arial"/>
          <w:i/>
          <w:iCs/>
          <w:lang w:eastAsia="en-US"/>
        </w:rPr>
        <w:t>.</w:t>
      </w:r>
    </w:p>
    <w:p w14:paraId="2286BAFB" w14:textId="7366C4D9" w:rsidR="009D0C0B" w:rsidRDefault="009D0C0B">
      <w:pPr>
        <w:spacing w:line="260" w:lineRule="atLeast"/>
        <w:rPr>
          <w:rFonts w:ascii="Times New Roman" w:eastAsia="Calibri" w:hAnsi="Times New Roman" w:cs="Times New Roman"/>
          <w:i/>
          <w:iCs/>
          <w:lang w:eastAsia="en-US"/>
        </w:rPr>
      </w:pPr>
    </w:p>
    <w:p w14:paraId="25BFE61C" w14:textId="77777777" w:rsidR="009D0C0B" w:rsidRDefault="009D0C0B">
      <w:pPr>
        <w:rPr>
          <w:rFonts w:ascii="Times New Roman" w:eastAsia="Calibri" w:hAnsi="Times New Roman" w:cs="Times New Roman"/>
          <w:i/>
          <w:iCs/>
          <w:lang w:eastAsia="en-US"/>
        </w:rPr>
      </w:pPr>
    </w:p>
    <w:p w14:paraId="4DEB791E" w14:textId="77777777" w:rsidR="009D0C0B" w:rsidRDefault="009D0C0B"/>
    <w:bookmarkEnd w:id="51"/>
    <w:p w14:paraId="5D924F89" w14:textId="77777777" w:rsidR="009D0C0B" w:rsidRDefault="009D0C0B"/>
    <w:p w14:paraId="51021A3A" w14:textId="77777777" w:rsidR="009D0C0B" w:rsidRDefault="009D0C0B">
      <w:pPr>
        <w:spacing w:line="260" w:lineRule="atLeast"/>
        <w:rPr>
          <w:rFonts w:eastAsia="Calibri"/>
          <w:lang w:val="de-DE" w:eastAsia="en-US"/>
        </w:rPr>
      </w:pPr>
    </w:p>
    <w:p w14:paraId="58B50CA5" w14:textId="77777777" w:rsidR="009D0C0B" w:rsidRDefault="009D0C0B">
      <w:pPr>
        <w:pageBreakBefore/>
        <w:rPr>
          <w:rFonts w:eastAsia="Calibri"/>
          <w:sz w:val="24"/>
          <w:szCs w:val="24"/>
          <w:u w:val="single"/>
          <w:lang w:val="de-DE" w:eastAsia="en-US"/>
        </w:rPr>
      </w:pPr>
    </w:p>
    <w:p w14:paraId="34B2ED29" w14:textId="77777777" w:rsidR="009D0C0B" w:rsidRDefault="00FA480B">
      <w:pPr>
        <w:pStyle w:val="Titre2"/>
      </w:pPr>
      <w:bookmarkStart w:id="54" w:name="_Toc74732474"/>
      <w:r>
        <w:t>Ass</w:t>
      </w:r>
      <w:r w:rsidR="006C666D">
        <w:t>essment of the biocidal product</w:t>
      </w:r>
      <w:bookmarkEnd w:id="54"/>
    </w:p>
    <w:p w14:paraId="4F4101DB" w14:textId="77777777" w:rsidR="009D0C0B" w:rsidRDefault="00FA480B">
      <w:pPr>
        <w:pStyle w:val="Titre3"/>
      </w:pPr>
      <w:bookmarkStart w:id="55" w:name="_Toc74732475"/>
      <w:r>
        <w:t>Intended use(s) as applied for by the applicant</w:t>
      </w:r>
      <w:bookmarkEnd w:id="55"/>
      <w:r>
        <w:t xml:space="preserve"> </w:t>
      </w:r>
    </w:p>
    <w:p w14:paraId="0BF0FEBC" w14:textId="77A83DEE" w:rsidR="009D0C0B" w:rsidRDefault="00FA480B">
      <w:pPr>
        <w:pStyle w:val="Lgende"/>
        <w:spacing w:after="120"/>
        <w:ind w:left="0" w:firstLine="0"/>
        <w:rPr>
          <w:rFonts w:cs="Arial"/>
          <w:bCs/>
        </w:rPr>
      </w:pPr>
      <w:r>
        <w:rPr>
          <w:rFonts w:ascii="Verdana" w:hAnsi="Verdana" w:cs="Verdana"/>
        </w:rPr>
        <w:t xml:space="preserve">Table </w:t>
      </w:r>
      <w:r>
        <w:rPr>
          <w:rFonts w:cs="Verdana"/>
        </w:rPr>
        <w:fldChar w:fldCharType="begin"/>
      </w:r>
      <w:r>
        <w:rPr>
          <w:rFonts w:cs="Verdana"/>
        </w:rPr>
        <w:instrText xml:space="preserve"> SEQ "Tableau" \* ARABIC </w:instrText>
      </w:r>
      <w:r>
        <w:rPr>
          <w:rFonts w:cs="Verdana"/>
        </w:rPr>
        <w:fldChar w:fldCharType="separate"/>
      </w:r>
      <w:r>
        <w:rPr>
          <w:rFonts w:cs="Verdana"/>
        </w:rPr>
        <w:t>2</w:t>
      </w:r>
      <w:r>
        <w:rPr>
          <w:rFonts w:cs="Verdana"/>
        </w:rPr>
        <w:fldChar w:fldCharType="end"/>
      </w:r>
      <w:r>
        <w:rPr>
          <w:rFonts w:ascii="Verdana" w:hAnsi="Verdana" w:cs="Verdana"/>
        </w:rPr>
        <w:t xml:space="preserve">. Intended use # 1 – </w:t>
      </w:r>
      <w:r w:rsidR="00F00AB2">
        <w:rPr>
          <w:rFonts w:ascii="Verdana" w:hAnsi="Verdana" w:cs="Verdana"/>
        </w:rPr>
        <w:t>Teat disinfection after milking / Professional</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6B0FAB6F" w14:textId="77777777">
        <w:tc>
          <w:tcPr>
            <w:tcW w:w="2707" w:type="dxa"/>
            <w:tcBorders>
              <w:top w:val="single" w:sz="4" w:space="0" w:color="000000"/>
              <w:left w:val="single" w:sz="4" w:space="0" w:color="000000"/>
              <w:bottom w:val="single" w:sz="4" w:space="0" w:color="000000"/>
            </w:tcBorders>
            <w:shd w:val="clear" w:color="auto" w:fill="auto"/>
          </w:tcPr>
          <w:p w14:paraId="37693369"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9E61710" w14:textId="2BF9DF75" w:rsidR="009D0C0B" w:rsidRDefault="00F00AB2">
            <w:pPr>
              <w:snapToGrid w:val="0"/>
              <w:rPr>
                <w:rFonts w:cs="Arial"/>
                <w:bCs/>
                <w:lang w:val="de-DE"/>
              </w:rPr>
            </w:pPr>
            <w:r>
              <w:rPr>
                <w:rFonts w:cs="Arial"/>
                <w:bCs/>
                <w:lang w:val="de-DE"/>
              </w:rPr>
              <w:t>3</w:t>
            </w:r>
          </w:p>
        </w:tc>
      </w:tr>
      <w:tr w:rsidR="009D0C0B" w14:paraId="4CBEA606" w14:textId="77777777">
        <w:tc>
          <w:tcPr>
            <w:tcW w:w="2707" w:type="dxa"/>
            <w:tcBorders>
              <w:left w:val="single" w:sz="4" w:space="0" w:color="000000"/>
              <w:bottom w:val="single" w:sz="4" w:space="0" w:color="000000"/>
            </w:tcBorders>
            <w:shd w:val="clear" w:color="auto" w:fill="auto"/>
          </w:tcPr>
          <w:p w14:paraId="5330AD5F" w14:textId="77777777" w:rsidR="009D0C0B" w:rsidRDefault="00FA480B">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D77ECA8" w14:textId="587573C1" w:rsidR="009D0C0B" w:rsidRDefault="00F00AB2">
            <w:pPr>
              <w:snapToGrid w:val="0"/>
              <w:rPr>
                <w:rFonts w:cs="Arial"/>
                <w:bCs/>
                <w:lang w:val="en-US"/>
              </w:rPr>
            </w:pPr>
            <w:r>
              <w:t>Teat disinfection in post milking</w:t>
            </w:r>
          </w:p>
        </w:tc>
      </w:tr>
      <w:tr w:rsidR="009D0C0B" w14:paraId="7A2DA3E3" w14:textId="77777777">
        <w:tc>
          <w:tcPr>
            <w:tcW w:w="2707" w:type="dxa"/>
            <w:tcBorders>
              <w:left w:val="single" w:sz="4" w:space="0" w:color="000000"/>
              <w:bottom w:val="single" w:sz="4" w:space="0" w:color="000000"/>
            </w:tcBorders>
            <w:shd w:val="clear" w:color="auto" w:fill="auto"/>
          </w:tcPr>
          <w:p w14:paraId="48F40879" w14:textId="77777777" w:rsidR="009D0C0B" w:rsidRDefault="00FA480B">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72710C8" w14:textId="77777777" w:rsidR="00F00AB2" w:rsidRPr="00540758" w:rsidRDefault="00F00AB2" w:rsidP="00F00AB2">
            <w:pPr>
              <w:rPr>
                <w:i/>
                <w:lang w:val="fr-BE"/>
              </w:rPr>
            </w:pPr>
            <w:r w:rsidRPr="00540758">
              <w:rPr>
                <w:i/>
                <w:lang w:val="fr-BE"/>
              </w:rPr>
              <w:t>Streptococcus uberis</w:t>
            </w:r>
          </w:p>
          <w:p w14:paraId="40BBACD6" w14:textId="77777777" w:rsidR="00F00AB2" w:rsidRPr="00540758" w:rsidRDefault="00F00AB2" w:rsidP="00F00AB2">
            <w:pPr>
              <w:rPr>
                <w:i/>
                <w:lang w:val="fr-BE"/>
              </w:rPr>
            </w:pPr>
            <w:r w:rsidRPr="00540758">
              <w:rPr>
                <w:i/>
                <w:lang w:val="fr-BE"/>
              </w:rPr>
              <w:t>Staphyloccocus aureus</w:t>
            </w:r>
          </w:p>
          <w:p w14:paraId="7AE261F5" w14:textId="77777777" w:rsidR="00F00AB2" w:rsidRPr="00540758" w:rsidRDefault="00F00AB2" w:rsidP="00F00AB2">
            <w:pPr>
              <w:rPr>
                <w:i/>
                <w:lang w:val="fr-BE"/>
              </w:rPr>
            </w:pPr>
            <w:r w:rsidRPr="00540758">
              <w:rPr>
                <w:i/>
                <w:lang w:val="fr-BE"/>
              </w:rPr>
              <w:t>Escherichia coli</w:t>
            </w:r>
          </w:p>
          <w:p w14:paraId="54F5F10F" w14:textId="59D4FA80" w:rsidR="009D0C0B" w:rsidRDefault="00F00AB2" w:rsidP="00F00AB2">
            <w:pPr>
              <w:snapToGrid w:val="0"/>
              <w:rPr>
                <w:rFonts w:cs="Arial"/>
                <w:bCs/>
                <w:lang w:val="en-US"/>
              </w:rPr>
            </w:pPr>
            <w:r w:rsidRPr="00C775F6">
              <w:rPr>
                <w:i/>
              </w:rPr>
              <w:t>Candida albicans</w:t>
            </w:r>
          </w:p>
        </w:tc>
      </w:tr>
      <w:tr w:rsidR="009D0C0B" w14:paraId="0075044D" w14:textId="77777777">
        <w:tc>
          <w:tcPr>
            <w:tcW w:w="2707" w:type="dxa"/>
            <w:tcBorders>
              <w:left w:val="single" w:sz="4" w:space="0" w:color="000000"/>
              <w:bottom w:val="single" w:sz="4" w:space="0" w:color="000000"/>
            </w:tcBorders>
            <w:shd w:val="clear" w:color="auto" w:fill="auto"/>
          </w:tcPr>
          <w:p w14:paraId="43F53AB1" w14:textId="77777777"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1D982A0" w14:textId="7E0253BC" w:rsidR="009D0C0B" w:rsidRDefault="00F00AB2">
            <w:pPr>
              <w:snapToGrid w:val="0"/>
              <w:rPr>
                <w:rFonts w:cs="Arial"/>
                <w:bCs/>
                <w:lang w:val="de-DE"/>
              </w:rPr>
            </w:pPr>
            <w:r>
              <w:rPr>
                <w:rFonts w:cs="Arial"/>
                <w:bCs/>
                <w:lang w:val="de-DE"/>
              </w:rPr>
              <w:t>Indoor</w:t>
            </w:r>
          </w:p>
        </w:tc>
      </w:tr>
      <w:tr w:rsidR="009D0C0B" w14:paraId="38801AC5" w14:textId="77777777">
        <w:tc>
          <w:tcPr>
            <w:tcW w:w="2707" w:type="dxa"/>
            <w:tcBorders>
              <w:left w:val="single" w:sz="4" w:space="0" w:color="000000"/>
              <w:bottom w:val="single" w:sz="4" w:space="0" w:color="000000"/>
            </w:tcBorders>
            <w:shd w:val="clear" w:color="auto" w:fill="auto"/>
          </w:tcPr>
          <w:p w14:paraId="2432BF16" w14:textId="77777777" w:rsidR="009D0C0B" w:rsidRDefault="00FA480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E1AEC8A" w14:textId="77777777" w:rsidR="009D0C0B" w:rsidRDefault="00F00AB2">
            <w:pPr>
              <w:snapToGrid w:val="0"/>
              <w:rPr>
                <w:rFonts w:cs="Arial"/>
                <w:bCs/>
                <w:lang w:val="de-DE"/>
              </w:rPr>
            </w:pPr>
            <w:r>
              <w:rPr>
                <w:rFonts w:cs="Arial"/>
                <w:bCs/>
                <w:lang w:val="de-DE"/>
              </w:rPr>
              <w:t>Manual application</w:t>
            </w:r>
          </w:p>
          <w:p w14:paraId="49D982EA" w14:textId="2A1C05D2" w:rsidR="00F00AB2" w:rsidRDefault="00F00AB2">
            <w:pPr>
              <w:snapToGrid w:val="0"/>
              <w:rPr>
                <w:rFonts w:cs="Arial"/>
                <w:bCs/>
                <w:lang w:val="de-DE"/>
              </w:rPr>
            </w:pPr>
            <w:r>
              <w:rPr>
                <w:rFonts w:cs="Arial"/>
                <w:bCs/>
                <w:lang w:val="de-DE"/>
              </w:rPr>
              <w:t>Automatic application</w:t>
            </w:r>
          </w:p>
        </w:tc>
      </w:tr>
      <w:tr w:rsidR="009D0C0B" w14:paraId="53DD8D83" w14:textId="77777777">
        <w:tc>
          <w:tcPr>
            <w:tcW w:w="2707" w:type="dxa"/>
            <w:tcBorders>
              <w:left w:val="single" w:sz="4" w:space="0" w:color="000000"/>
              <w:bottom w:val="single" w:sz="4" w:space="0" w:color="000000"/>
            </w:tcBorders>
            <w:shd w:val="clear" w:color="auto" w:fill="auto"/>
          </w:tcPr>
          <w:p w14:paraId="258FCBF0" w14:textId="77777777" w:rsidR="009D0C0B" w:rsidRDefault="00FA480B">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885165A" w14:textId="77777777" w:rsidR="009D0C0B" w:rsidRDefault="00F00AB2" w:rsidP="00F00AB2">
            <w:pPr>
              <w:snapToGrid w:val="0"/>
              <w:rPr>
                <w:rFonts w:cs="Arial"/>
                <w:bCs/>
                <w:lang w:val="en-US"/>
              </w:rPr>
            </w:pPr>
            <w:r>
              <w:rPr>
                <w:rFonts w:cs="Arial"/>
                <w:bCs/>
                <w:lang w:val="en-US"/>
              </w:rPr>
              <w:t>2 mL product/teat (4 teats/animal equal to 8 mL product by animal).</w:t>
            </w:r>
          </w:p>
          <w:p w14:paraId="188F7DE6" w14:textId="1AA14DE9" w:rsidR="00F00AB2" w:rsidRPr="00F00AB2" w:rsidRDefault="00F00AB2" w:rsidP="00F00AB2">
            <w:pPr>
              <w:snapToGrid w:val="0"/>
              <w:rPr>
                <w:rFonts w:cs="Arial"/>
                <w:bCs/>
                <w:lang w:val="en-US"/>
              </w:rPr>
            </w:pPr>
            <w:r>
              <w:rPr>
                <w:rFonts w:cs="Arial"/>
                <w:bCs/>
                <w:lang w:val="en-US"/>
              </w:rPr>
              <w:t>Twice a day after each milking</w:t>
            </w:r>
          </w:p>
        </w:tc>
      </w:tr>
      <w:tr w:rsidR="009D0C0B" w14:paraId="58D01E44" w14:textId="77777777">
        <w:tc>
          <w:tcPr>
            <w:tcW w:w="2707" w:type="dxa"/>
            <w:tcBorders>
              <w:left w:val="single" w:sz="4" w:space="0" w:color="000000"/>
              <w:bottom w:val="single" w:sz="4" w:space="0" w:color="000000"/>
            </w:tcBorders>
            <w:shd w:val="clear" w:color="auto" w:fill="auto"/>
          </w:tcPr>
          <w:p w14:paraId="758AB3D4" w14:textId="77777777" w:rsidR="009D0C0B" w:rsidRDefault="00FA480B">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521B2AA" w14:textId="745663AC" w:rsidR="009D0C0B" w:rsidRDefault="00F00AB2">
            <w:pPr>
              <w:snapToGrid w:val="0"/>
              <w:rPr>
                <w:rFonts w:cs="Arial"/>
                <w:bCs/>
              </w:rPr>
            </w:pPr>
            <w:r>
              <w:rPr>
                <w:rFonts w:cs="Arial"/>
                <w:bCs/>
              </w:rPr>
              <w:t>Professional</w:t>
            </w:r>
          </w:p>
        </w:tc>
      </w:tr>
      <w:tr w:rsidR="009D0C0B" w14:paraId="5F704FFE" w14:textId="77777777">
        <w:tc>
          <w:tcPr>
            <w:tcW w:w="2707" w:type="dxa"/>
            <w:tcBorders>
              <w:left w:val="single" w:sz="4" w:space="0" w:color="000000"/>
              <w:bottom w:val="single" w:sz="4" w:space="0" w:color="000000"/>
            </w:tcBorders>
            <w:shd w:val="clear" w:color="auto" w:fill="auto"/>
          </w:tcPr>
          <w:p w14:paraId="4325EFDE" w14:textId="77777777"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30123380" w14:textId="5C260C6B" w:rsidR="009D0C0B" w:rsidRDefault="00F00AB2">
            <w:pPr>
              <w:snapToGrid w:val="0"/>
              <w:rPr>
                <w:rFonts w:cs="Arial"/>
                <w:bCs/>
                <w:lang w:val="en-US"/>
              </w:rPr>
            </w:pPr>
            <w:r>
              <w:rPr>
                <w:rFonts w:cs="Arial"/>
                <w:bCs/>
                <w:lang w:val="en-US"/>
              </w:rPr>
              <w:t xml:space="preserve">Can – 20L, </w:t>
            </w:r>
            <w:r w:rsidR="00182CFE">
              <w:rPr>
                <w:rFonts w:cs="Arial"/>
                <w:bCs/>
                <w:lang w:val="en-US"/>
              </w:rPr>
              <w:t xml:space="preserve">opaque </w:t>
            </w:r>
            <w:r>
              <w:rPr>
                <w:rFonts w:cs="Arial"/>
                <w:bCs/>
                <w:lang w:val="en-US"/>
              </w:rPr>
              <w:t>HDPE, hermetically closed.</w:t>
            </w:r>
          </w:p>
          <w:p w14:paraId="216FF756" w14:textId="08C2D4AA" w:rsidR="00F00AB2" w:rsidRDefault="00F00AB2">
            <w:pPr>
              <w:snapToGrid w:val="0"/>
              <w:rPr>
                <w:rFonts w:cs="Arial"/>
                <w:bCs/>
                <w:lang w:val="en-US"/>
              </w:rPr>
            </w:pPr>
            <w:r>
              <w:rPr>
                <w:rFonts w:cs="Arial"/>
                <w:bCs/>
                <w:lang w:val="en-US"/>
              </w:rPr>
              <w:t xml:space="preserve">Barrels – 60, 220L, </w:t>
            </w:r>
            <w:r w:rsidR="00182CFE">
              <w:rPr>
                <w:rFonts w:cs="Arial"/>
                <w:bCs/>
                <w:lang w:val="en-US"/>
              </w:rPr>
              <w:t>opaque HDPE, hermetically closed.</w:t>
            </w:r>
          </w:p>
        </w:tc>
      </w:tr>
    </w:tbl>
    <w:p w14:paraId="72B9B47D" w14:textId="77777777" w:rsidR="009D0C0B" w:rsidRDefault="009D0C0B">
      <w:pPr>
        <w:pStyle w:val="Absatz"/>
      </w:pPr>
    </w:p>
    <w:p w14:paraId="0C661B9C" w14:textId="77777777" w:rsidR="009F1A2F" w:rsidRDefault="009F1A2F">
      <w:pPr>
        <w:pStyle w:val="Absatz"/>
        <w:rPr>
          <w:lang w:val="de-DE"/>
        </w:rPr>
        <w:sectPr w:rsidR="009F1A2F">
          <w:headerReference w:type="even" r:id="rId17"/>
          <w:footerReference w:type="even" r:id="rId18"/>
          <w:footerReference w:type="default" r:id="rId19"/>
          <w:headerReference w:type="first" r:id="rId20"/>
          <w:footerReference w:type="first" r:id="rId21"/>
          <w:pgSz w:w="11906" w:h="16838"/>
          <w:pgMar w:top="1474" w:right="1247" w:bottom="2013" w:left="1446" w:header="850" w:footer="850" w:gutter="0"/>
          <w:cols w:space="720"/>
          <w:docGrid w:linePitch="272"/>
        </w:sectPr>
      </w:pPr>
    </w:p>
    <w:p w14:paraId="22035FAF" w14:textId="17AD0B06" w:rsidR="009D0C0B" w:rsidRDefault="00FA480B">
      <w:pPr>
        <w:pStyle w:val="Titre3"/>
        <w:rPr>
          <w:rFonts w:eastAsia="Calibri"/>
          <w:lang w:eastAsia="sv-SE"/>
        </w:rPr>
      </w:pPr>
      <w:bookmarkStart w:id="56" w:name="_Toc74732476"/>
      <w:r>
        <w:lastRenderedPageBreak/>
        <w:t>Physical, chemical and technical properties</w:t>
      </w:r>
      <w:bookmarkEnd w:id="56"/>
      <w:r>
        <w:t xml:space="preserve"> </w:t>
      </w:r>
    </w:p>
    <w:p w14:paraId="1107824D" w14:textId="77777777" w:rsidR="009F1A2F" w:rsidRDefault="009F1A2F" w:rsidP="009F1A2F">
      <w:r>
        <w:t xml:space="preserve">The biocidal product is an </w:t>
      </w:r>
      <w:r w:rsidRPr="007C6629">
        <w:t>Another Liquid (AL) formulation,</w:t>
      </w:r>
      <w:r>
        <w:t xml:space="preserve"> ready-to-use.</w:t>
      </w:r>
    </w:p>
    <w:p w14:paraId="767A742B" w14:textId="236772AA" w:rsidR="009D0C0B" w:rsidRDefault="009F1A2F" w:rsidP="009F1A2F">
      <w:pPr>
        <w:spacing w:line="260" w:lineRule="atLeast"/>
        <w:contextualSpacing/>
      </w:pPr>
      <w:r>
        <w:t>The product does not contain hydrocarbons or H304 co-formulant content above 10</w:t>
      </w:r>
      <w:r w:rsidR="007763D2">
        <w:t xml:space="preserve"> </w:t>
      </w:r>
      <w:r>
        <w:t>%.</w:t>
      </w:r>
    </w:p>
    <w:p w14:paraId="60F16304" w14:textId="77777777" w:rsidR="007763D2" w:rsidRDefault="007763D2" w:rsidP="009F1A2F">
      <w:pPr>
        <w:spacing w:line="260" w:lineRule="atLeast"/>
        <w:contextualSpacing/>
      </w:pPr>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1251"/>
        <w:gridCol w:w="1391"/>
        <w:gridCol w:w="5840"/>
        <w:gridCol w:w="612"/>
        <w:gridCol w:w="1435"/>
        <w:gridCol w:w="2652"/>
      </w:tblGrid>
      <w:tr w:rsidR="009F1A2F" w:rsidRPr="00D749ED" w14:paraId="675382FE" w14:textId="77777777" w:rsidTr="009F1A2F">
        <w:trPr>
          <w:trHeight w:val="88"/>
          <w:tblHeader/>
          <w:jc w:val="center"/>
        </w:trPr>
        <w:tc>
          <w:tcPr>
            <w:tcW w:w="1737" w:type="dxa"/>
            <w:shd w:val="clear" w:color="auto" w:fill="E0E0E0"/>
            <w:vAlign w:val="center"/>
          </w:tcPr>
          <w:p w14:paraId="380AB3DA" w14:textId="77777777" w:rsidR="009F1A2F" w:rsidRPr="00C00A2E" w:rsidRDefault="009F1A2F" w:rsidP="009F1A2F">
            <w:pPr>
              <w:jc w:val="center"/>
              <w:rPr>
                <w:rFonts w:cs="Arial"/>
                <w:b/>
                <w:lang w:eastAsia="en-US"/>
              </w:rPr>
            </w:pPr>
            <w:r w:rsidRPr="00C00A2E">
              <w:rPr>
                <w:rFonts w:cs="Arial"/>
                <w:b/>
                <w:lang w:eastAsia="en-US"/>
              </w:rPr>
              <w:t>Property</w:t>
            </w:r>
          </w:p>
        </w:tc>
        <w:tc>
          <w:tcPr>
            <w:tcW w:w="1251" w:type="dxa"/>
            <w:shd w:val="clear" w:color="auto" w:fill="E0E0E0"/>
            <w:vAlign w:val="center"/>
          </w:tcPr>
          <w:p w14:paraId="0DA276AF" w14:textId="77777777" w:rsidR="009F1A2F" w:rsidRPr="00C00A2E" w:rsidRDefault="009F1A2F" w:rsidP="009F1A2F">
            <w:pPr>
              <w:jc w:val="center"/>
              <w:rPr>
                <w:rFonts w:cs="Arial"/>
                <w:b/>
                <w:lang w:eastAsia="en-US"/>
              </w:rPr>
            </w:pPr>
            <w:r w:rsidRPr="00C00A2E">
              <w:rPr>
                <w:rFonts w:cs="Arial"/>
                <w:b/>
                <w:lang w:eastAsia="en-US"/>
              </w:rPr>
              <w:t>Guideline  and Method</w:t>
            </w:r>
          </w:p>
        </w:tc>
        <w:tc>
          <w:tcPr>
            <w:tcW w:w="1391" w:type="dxa"/>
            <w:shd w:val="clear" w:color="auto" w:fill="E0E0E0"/>
            <w:vAlign w:val="center"/>
          </w:tcPr>
          <w:p w14:paraId="2CAFCBCD" w14:textId="77777777" w:rsidR="009F1A2F" w:rsidRPr="00C00A2E" w:rsidRDefault="009F1A2F" w:rsidP="009F1A2F">
            <w:pPr>
              <w:jc w:val="center"/>
              <w:rPr>
                <w:rFonts w:cs="Arial"/>
                <w:b/>
                <w:lang w:eastAsia="en-US"/>
              </w:rPr>
            </w:pPr>
            <w:r w:rsidRPr="00C00A2E">
              <w:rPr>
                <w:rFonts w:cs="Arial"/>
                <w:b/>
                <w:lang w:eastAsia="en-US"/>
              </w:rPr>
              <w:t>Purity of the test substance (% (w/w)</w:t>
            </w:r>
          </w:p>
        </w:tc>
        <w:tc>
          <w:tcPr>
            <w:tcW w:w="5840" w:type="dxa"/>
            <w:shd w:val="clear" w:color="auto" w:fill="E0E0E0"/>
            <w:vAlign w:val="center"/>
          </w:tcPr>
          <w:p w14:paraId="6F2A4219" w14:textId="77777777" w:rsidR="009F1A2F" w:rsidRPr="00D749ED" w:rsidRDefault="009F1A2F" w:rsidP="009F1A2F">
            <w:pPr>
              <w:jc w:val="center"/>
              <w:rPr>
                <w:rFonts w:cs="Arial"/>
                <w:b/>
                <w:sz w:val="18"/>
                <w:szCs w:val="18"/>
                <w:lang w:eastAsia="en-US"/>
              </w:rPr>
            </w:pPr>
            <w:r w:rsidRPr="00D749ED">
              <w:rPr>
                <w:rFonts w:cs="Arial"/>
                <w:b/>
                <w:sz w:val="18"/>
                <w:szCs w:val="18"/>
                <w:lang w:eastAsia="en-US"/>
              </w:rPr>
              <w:t>Results</w:t>
            </w:r>
          </w:p>
        </w:tc>
        <w:tc>
          <w:tcPr>
            <w:tcW w:w="612" w:type="dxa"/>
            <w:shd w:val="clear" w:color="auto" w:fill="E0E0E0"/>
            <w:vAlign w:val="center"/>
          </w:tcPr>
          <w:p w14:paraId="4336B5FD" w14:textId="77777777" w:rsidR="009F1A2F" w:rsidRPr="00C00A2E" w:rsidRDefault="009F1A2F" w:rsidP="009F1A2F">
            <w:pPr>
              <w:jc w:val="center"/>
              <w:rPr>
                <w:rFonts w:cs="Arial"/>
                <w:b/>
                <w:lang w:eastAsia="en-US"/>
              </w:rPr>
            </w:pPr>
            <w:r w:rsidRPr="00C00A2E">
              <w:rPr>
                <w:rFonts w:cs="Arial"/>
                <w:b/>
                <w:lang w:eastAsia="en-US"/>
              </w:rPr>
              <w:t>GLP</w:t>
            </w:r>
          </w:p>
        </w:tc>
        <w:tc>
          <w:tcPr>
            <w:tcW w:w="1435" w:type="dxa"/>
            <w:shd w:val="clear" w:color="auto" w:fill="E0E0E0"/>
            <w:vAlign w:val="center"/>
          </w:tcPr>
          <w:p w14:paraId="24F07CF5" w14:textId="77777777" w:rsidR="009F1A2F" w:rsidRPr="00C00A2E" w:rsidRDefault="009F1A2F" w:rsidP="009F1A2F">
            <w:pPr>
              <w:jc w:val="center"/>
              <w:rPr>
                <w:rFonts w:cs="Arial"/>
                <w:b/>
                <w:lang w:eastAsia="en-US"/>
              </w:rPr>
            </w:pPr>
            <w:r w:rsidRPr="00C00A2E">
              <w:rPr>
                <w:rFonts w:cs="Arial"/>
                <w:b/>
                <w:lang w:eastAsia="en-US"/>
              </w:rPr>
              <w:t>Reference</w:t>
            </w:r>
          </w:p>
        </w:tc>
        <w:tc>
          <w:tcPr>
            <w:tcW w:w="2652" w:type="dxa"/>
            <w:shd w:val="clear" w:color="auto" w:fill="E0E0E0"/>
            <w:vAlign w:val="center"/>
          </w:tcPr>
          <w:p w14:paraId="38F698DF" w14:textId="77777777" w:rsidR="009F1A2F" w:rsidRPr="00C00A2E" w:rsidRDefault="009F1A2F" w:rsidP="009F1A2F">
            <w:pPr>
              <w:jc w:val="center"/>
              <w:rPr>
                <w:rFonts w:cs="Arial"/>
                <w:b/>
                <w:lang w:eastAsia="en-US"/>
              </w:rPr>
            </w:pPr>
            <w:r w:rsidRPr="00C00A2E">
              <w:rPr>
                <w:rFonts w:cs="Arial"/>
                <w:b/>
                <w:lang w:eastAsia="en-US"/>
              </w:rPr>
              <w:t>Comments</w:t>
            </w:r>
          </w:p>
        </w:tc>
      </w:tr>
      <w:tr w:rsidR="009F1A2F" w:rsidRPr="00D749ED" w14:paraId="3B493A2E" w14:textId="77777777" w:rsidTr="009F1A2F">
        <w:trPr>
          <w:trHeight w:val="88"/>
          <w:jc w:val="center"/>
        </w:trPr>
        <w:tc>
          <w:tcPr>
            <w:tcW w:w="1737" w:type="dxa"/>
            <w:vAlign w:val="center"/>
          </w:tcPr>
          <w:p w14:paraId="09D53E44" w14:textId="77777777" w:rsidR="009F1A2F" w:rsidRPr="00C00A2E" w:rsidRDefault="009F1A2F" w:rsidP="009F1A2F">
            <w:pPr>
              <w:jc w:val="center"/>
              <w:rPr>
                <w:rFonts w:cs="Arial"/>
              </w:rPr>
            </w:pPr>
            <w:r w:rsidRPr="00C00A2E">
              <w:rPr>
                <w:rFonts w:cs="Arial"/>
              </w:rPr>
              <w:t>Physical state at 20 °C and 101.3 kPa</w:t>
            </w:r>
          </w:p>
        </w:tc>
        <w:tc>
          <w:tcPr>
            <w:tcW w:w="1251" w:type="dxa"/>
            <w:vMerge w:val="restart"/>
            <w:vAlign w:val="center"/>
          </w:tcPr>
          <w:p w14:paraId="54C27112" w14:textId="77777777" w:rsidR="009F1A2F" w:rsidRPr="00C00A2E" w:rsidRDefault="009F1A2F" w:rsidP="009F1A2F">
            <w:pPr>
              <w:jc w:val="center"/>
              <w:rPr>
                <w:rFonts w:cs="Arial"/>
              </w:rPr>
            </w:pPr>
            <w:r w:rsidRPr="00C00A2E">
              <w:rPr>
                <w:rFonts w:cs="Arial"/>
              </w:rPr>
              <w:t>Visual method</w:t>
            </w:r>
          </w:p>
        </w:tc>
        <w:tc>
          <w:tcPr>
            <w:tcW w:w="1391" w:type="dxa"/>
            <w:vMerge w:val="restart"/>
            <w:vAlign w:val="center"/>
          </w:tcPr>
          <w:p w14:paraId="4278AC7C" w14:textId="77777777" w:rsidR="009F1A2F" w:rsidRPr="00C00A2E" w:rsidRDefault="009F1A2F" w:rsidP="009F1A2F">
            <w:pPr>
              <w:jc w:val="center"/>
              <w:rPr>
                <w:rFonts w:cs="Arial"/>
              </w:rPr>
            </w:pPr>
            <w:r w:rsidRPr="00C00A2E">
              <w:rPr>
                <w:rFonts w:cs="Arial"/>
              </w:rPr>
              <w:t>ALGOFILM</w:t>
            </w:r>
          </w:p>
          <w:p w14:paraId="2A7DEEEF" w14:textId="77777777" w:rsidR="009F1A2F" w:rsidRPr="00C00A2E" w:rsidRDefault="009F1A2F" w:rsidP="009F1A2F">
            <w:pPr>
              <w:jc w:val="center"/>
              <w:rPr>
                <w:rFonts w:cs="Arial"/>
              </w:rPr>
            </w:pPr>
            <w:r w:rsidRPr="00C00A2E">
              <w:rPr>
                <w:rFonts w:cs="Arial"/>
              </w:rPr>
              <w:t>Batch 13001002</w:t>
            </w:r>
          </w:p>
        </w:tc>
        <w:tc>
          <w:tcPr>
            <w:tcW w:w="5840" w:type="dxa"/>
            <w:vMerge w:val="restart"/>
            <w:vAlign w:val="center"/>
          </w:tcPr>
          <w:p w14:paraId="1EEC682D" w14:textId="77777777" w:rsidR="009F1A2F" w:rsidRDefault="009F1A2F" w:rsidP="007763D2">
            <w:pPr>
              <w:rPr>
                <w:rFonts w:cs="Arial"/>
              </w:rPr>
            </w:pPr>
            <w:r w:rsidRPr="00C00A2E">
              <w:rPr>
                <w:rFonts w:cs="Arial"/>
              </w:rPr>
              <w:t>Viscous brown liquid</w:t>
            </w:r>
          </w:p>
          <w:p w14:paraId="3C441127" w14:textId="3F55409B" w:rsidR="009F1A2F" w:rsidRPr="00C00A2E" w:rsidRDefault="00DA6F01" w:rsidP="00DA6F01">
            <w:pPr>
              <w:rPr>
                <w:rFonts w:cs="Arial"/>
              </w:rPr>
            </w:pPr>
            <w:r>
              <w:rPr>
                <w:rFonts w:cs="Arial"/>
              </w:rPr>
              <w:t>Characteristic o</w:t>
            </w:r>
            <w:r w:rsidR="00D76E04">
              <w:rPr>
                <w:rFonts w:cs="Arial"/>
              </w:rPr>
              <w:t>dour: missing data</w:t>
            </w:r>
          </w:p>
        </w:tc>
        <w:tc>
          <w:tcPr>
            <w:tcW w:w="612" w:type="dxa"/>
            <w:vMerge w:val="restart"/>
            <w:vAlign w:val="center"/>
          </w:tcPr>
          <w:p w14:paraId="1A52E634" w14:textId="77777777" w:rsidR="009F1A2F" w:rsidRPr="00C00A2E" w:rsidRDefault="009F1A2F" w:rsidP="009F1A2F">
            <w:pPr>
              <w:jc w:val="center"/>
              <w:rPr>
                <w:rFonts w:cs="Arial"/>
              </w:rPr>
            </w:pPr>
            <w:r w:rsidRPr="00C00A2E">
              <w:rPr>
                <w:rFonts w:cs="Arial"/>
              </w:rPr>
              <w:t>N</w:t>
            </w:r>
          </w:p>
        </w:tc>
        <w:tc>
          <w:tcPr>
            <w:tcW w:w="1435" w:type="dxa"/>
            <w:vMerge w:val="restart"/>
            <w:vAlign w:val="center"/>
          </w:tcPr>
          <w:p w14:paraId="795614FB" w14:textId="77777777" w:rsidR="009F1A2F" w:rsidRPr="00C00A2E" w:rsidRDefault="009F1A2F" w:rsidP="009F1A2F">
            <w:pPr>
              <w:rPr>
                <w:rFonts w:cs="Arial"/>
              </w:rPr>
            </w:pPr>
            <w:r w:rsidRPr="00C00A2E">
              <w:rPr>
                <w:rFonts w:cs="Arial"/>
              </w:rPr>
              <w:t>A. Morel, 2015 Report N° D041-39</w:t>
            </w:r>
          </w:p>
        </w:tc>
        <w:tc>
          <w:tcPr>
            <w:tcW w:w="2652" w:type="dxa"/>
            <w:vMerge w:val="restart"/>
            <w:vAlign w:val="center"/>
          </w:tcPr>
          <w:p w14:paraId="766FD4F2" w14:textId="4F15AFFC" w:rsidR="009F1A2F" w:rsidRPr="00C00A2E" w:rsidRDefault="009F1A2F" w:rsidP="009F1A2F">
            <w:pPr>
              <w:rPr>
                <w:rFonts w:cs="Arial"/>
              </w:rPr>
            </w:pPr>
            <w:r>
              <w:rPr>
                <w:rFonts w:cs="Arial"/>
              </w:rPr>
              <w:t>Acceptable</w:t>
            </w:r>
          </w:p>
        </w:tc>
      </w:tr>
      <w:tr w:rsidR="009F1A2F" w:rsidRPr="00D749ED" w14:paraId="4ADB6C40" w14:textId="77777777" w:rsidTr="009F1A2F">
        <w:trPr>
          <w:trHeight w:val="434"/>
          <w:jc w:val="center"/>
        </w:trPr>
        <w:tc>
          <w:tcPr>
            <w:tcW w:w="1737" w:type="dxa"/>
            <w:vAlign w:val="center"/>
          </w:tcPr>
          <w:p w14:paraId="0349D0B4" w14:textId="77777777" w:rsidR="009F1A2F" w:rsidRPr="00C00A2E" w:rsidRDefault="009F1A2F" w:rsidP="009F1A2F">
            <w:pPr>
              <w:jc w:val="center"/>
              <w:rPr>
                <w:rFonts w:cs="Arial"/>
              </w:rPr>
            </w:pPr>
            <w:r w:rsidRPr="00C00A2E">
              <w:rPr>
                <w:rFonts w:cs="Arial"/>
              </w:rPr>
              <w:t>Colour at 20 °C and 101.3 kPa</w:t>
            </w:r>
          </w:p>
        </w:tc>
        <w:tc>
          <w:tcPr>
            <w:tcW w:w="1251" w:type="dxa"/>
            <w:vMerge/>
            <w:vAlign w:val="center"/>
          </w:tcPr>
          <w:p w14:paraId="41D842A3" w14:textId="77777777" w:rsidR="009F1A2F" w:rsidRPr="00C00A2E" w:rsidRDefault="009F1A2F" w:rsidP="009F1A2F">
            <w:pPr>
              <w:jc w:val="center"/>
              <w:rPr>
                <w:rFonts w:cs="Arial"/>
              </w:rPr>
            </w:pPr>
          </w:p>
        </w:tc>
        <w:tc>
          <w:tcPr>
            <w:tcW w:w="1391" w:type="dxa"/>
            <w:vMerge/>
            <w:vAlign w:val="center"/>
          </w:tcPr>
          <w:p w14:paraId="2081385E" w14:textId="77777777" w:rsidR="009F1A2F" w:rsidRPr="00C00A2E" w:rsidRDefault="009F1A2F" w:rsidP="009F1A2F">
            <w:pPr>
              <w:jc w:val="center"/>
              <w:rPr>
                <w:rFonts w:cs="Arial"/>
              </w:rPr>
            </w:pPr>
          </w:p>
        </w:tc>
        <w:tc>
          <w:tcPr>
            <w:tcW w:w="5840" w:type="dxa"/>
            <w:vMerge/>
            <w:vAlign w:val="center"/>
          </w:tcPr>
          <w:p w14:paraId="185C2DC4" w14:textId="77777777" w:rsidR="009F1A2F" w:rsidRPr="00C00A2E" w:rsidRDefault="009F1A2F" w:rsidP="009F1A2F">
            <w:pPr>
              <w:jc w:val="center"/>
              <w:rPr>
                <w:rFonts w:cs="Arial"/>
              </w:rPr>
            </w:pPr>
          </w:p>
        </w:tc>
        <w:tc>
          <w:tcPr>
            <w:tcW w:w="612" w:type="dxa"/>
            <w:vMerge/>
            <w:vAlign w:val="center"/>
          </w:tcPr>
          <w:p w14:paraId="235473D9" w14:textId="77777777" w:rsidR="009F1A2F" w:rsidRPr="00C00A2E" w:rsidRDefault="009F1A2F" w:rsidP="009F1A2F">
            <w:pPr>
              <w:jc w:val="center"/>
              <w:rPr>
                <w:rFonts w:cs="Arial"/>
              </w:rPr>
            </w:pPr>
          </w:p>
        </w:tc>
        <w:tc>
          <w:tcPr>
            <w:tcW w:w="1435" w:type="dxa"/>
            <w:vMerge/>
            <w:vAlign w:val="center"/>
          </w:tcPr>
          <w:p w14:paraId="79ED15C8" w14:textId="77777777" w:rsidR="009F1A2F" w:rsidRPr="00C00A2E" w:rsidRDefault="009F1A2F" w:rsidP="009F1A2F">
            <w:pPr>
              <w:jc w:val="center"/>
              <w:rPr>
                <w:rFonts w:cs="Arial"/>
              </w:rPr>
            </w:pPr>
          </w:p>
        </w:tc>
        <w:tc>
          <w:tcPr>
            <w:tcW w:w="2652" w:type="dxa"/>
            <w:vMerge/>
            <w:vAlign w:val="center"/>
          </w:tcPr>
          <w:p w14:paraId="1769A493" w14:textId="77777777" w:rsidR="009F1A2F" w:rsidRPr="00C00A2E" w:rsidRDefault="009F1A2F" w:rsidP="009F1A2F">
            <w:pPr>
              <w:rPr>
                <w:rFonts w:cs="Arial"/>
              </w:rPr>
            </w:pPr>
          </w:p>
        </w:tc>
      </w:tr>
      <w:tr w:rsidR="009F1A2F" w:rsidRPr="00D749ED" w14:paraId="00058AE7" w14:textId="77777777" w:rsidTr="009F1A2F">
        <w:trPr>
          <w:trHeight w:val="88"/>
          <w:jc w:val="center"/>
        </w:trPr>
        <w:tc>
          <w:tcPr>
            <w:tcW w:w="1737" w:type="dxa"/>
            <w:vAlign w:val="center"/>
          </w:tcPr>
          <w:p w14:paraId="5ED4ACB6" w14:textId="77777777" w:rsidR="009F1A2F" w:rsidRPr="00C00A2E" w:rsidRDefault="009F1A2F" w:rsidP="009F1A2F">
            <w:pPr>
              <w:jc w:val="center"/>
              <w:rPr>
                <w:rFonts w:cs="Arial"/>
              </w:rPr>
            </w:pPr>
            <w:r w:rsidRPr="00C00A2E">
              <w:rPr>
                <w:rFonts w:cs="Arial"/>
              </w:rPr>
              <w:t>pH</w:t>
            </w:r>
          </w:p>
        </w:tc>
        <w:tc>
          <w:tcPr>
            <w:tcW w:w="1251" w:type="dxa"/>
            <w:vAlign w:val="center"/>
          </w:tcPr>
          <w:p w14:paraId="1FF2BDAD" w14:textId="77777777" w:rsidR="009F1A2F" w:rsidRPr="00C00A2E" w:rsidRDefault="009F1A2F" w:rsidP="009F1A2F">
            <w:pPr>
              <w:jc w:val="center"/>
              <w:rPr>
                <w:rFonts w:cs="Arial"/>
              </w:rPr>
            </w:pPr>
            <w:r w:rsidRPr="00C00A2E">
              <w:rPr>
                <w:rFonts w:cs="Arial"/>
              </w:rPr>
              <w:t>CIPAC MT 75.3</w:t>
            </w:r>
          </w:p>
        </w:tc>
        <w:tc>
          <w:tcPr>
            <w:tcW w:w="1391" w:type="dxa"/>
            <w:vAlign w:val="center"/>
          </w:tcPr>
          <w:p w14:paraId="3E635D7B" w14:textId="77777777" w:rsidR="009F1A2F" w:rsidRPr="00C00A2E" w:rsidRDefault="009F1A2F" w:rsidP="009F1A2F">
            <w:pPr>
              <w:jc w:val="center"/>
              <w:rPr>
                <w:rFonts w:cs="Arial"/>
              </w:rPr>
            </w:pPr>
            <w:r w:rsidRPr="00C00A2E">
              <w:rPr>
                <w:rFonts w:cs="Arial"/>
              </w:rPr>
              <w:t>ALGOFILM</w:t>
            </w:r>
          </w:p>
          <w:p w14:paraId="0506040A" w14:textId="77777777" w:rsidR="009F1A2F" w:rsidRPr="00C00A2E" w:rsidRDefault="009F1A2F" w:rsidP="009F1A2F">
            <w:pPr>
              <w:jc w:val="center"/>
              <w:rPr>
                <w:rFonts w:cs="Arial"/>
              </w:rPr>
            </w:pPr>
            <w:r w:rsidRPr="00C00A2E">
              <w:rPr>
                <w:rFonts w:cs="Arial"/>
              </w:rPr>
              <w:t>Batch 13001002</w:t>
            </w:r>
          </w:p>
        </w:tc>
        <w:tc>
          <w:tcPr>
            <w:tcW w:w="5840" w:type="dxa"/>
            <w:vAlign w:val="center"/>
          </w:tcPr>
          <w:p w14:paraId="52D5AAA1" w14:textId="77777777" w:rsidR="009F1A2F" w:rsidRPr="00C00A2E" w:rsidRDefault="009F1A2F" w:rsidP="009F1A2F">
            <w:pPr>
              <w:rPr>
                <w:rFonts w:cs="Arial"/>
              </w:rPr>
            </w:pPr>
            <w:r w:rsidRPr="00C00A2E">
              <w:rPr>
                <w:rFonts w:cs="Arial"/>
              </w:rPr>
              <w:t>pH of neat formulation at 25°C : 3.84</w:t>
            </w:r>
          </w:p>
        </w:tc>
        <w:tc>
          <w:tcPr>
            <w:tcW w:w="612" w:type="dxa"/>
            <w:vAlign w:val="center"/>
          </w:tcPr>
          <w:p w14:paraId="69FFC8C3" w14:textId="77777777" w:rsidR="009F1A2F" w:rsidRPr="00C00A2E" w:rsidRDefault="009F1A2F" w:rsidP="009F1A2F">
            <w:pPr>
              <w:jc w:val="center"/>
              <w:rPr>
                <w:rFonts w:cs="Arial"/>
              </w:rPr>
            </w:pPr>
            <w:r w:rsidRPr="00C00A2E">
              <w:rPr>
                <w:rFonts w:cs="Arial"/>
              </w:rPr>
              <w:t>N</w:t>
            </w:r>
          </w:p>
        </w:tc>
        <w:tc>
          <w:tcPr>
            <w:tcW w:w="1435" w:type="dxa"/>
            <w:vAlign w:val="center"/>
          </w:tcPr>
          <w:p w14:paraId="14C5DEB9" w14:textId="77777777" w:rsidR="009F1A2F" w:rsidRPr="00C00A2E" w:rsidRDefault="009F1A2F" w:rsidP="009F1A2F">
            <w:pPr>
              <w:rPr>
                <w:rFonts w:cs="Arial"/>
              </w:rPr>
            </w:pPr>
            <w:r w:rsidRPr="00C00A2E">
              <w:rPr>
                <w:rFonts w:cs="Arial"/>
              </w:rPr>
              <w:t>A. Morel, 2015 Report N° D041-39</w:t>
            </w:r>
          </w:p>
        </w:tc>
        <w:tc>
          <w:tcPr>
            <w:tcW w:w="2652" w:type="dxa"/>
            <w:vAlign w:val="center"/>
          </w:tcPr>
          <w:p w14:paraId="05FE18AE" w14:textId="63F19196" w:rsidR="009F1A2F" w:rsidRPr="00E951AF" w:rsidRDefault="009F1A2F" w:rsidP="009F1A2F">
            <w:pPr>
              <w:rPr>
                <w:rFonts w:cs="Arial"/>
              </w:rPr>
            </w:pPr>
            <w:r w:rsidRPr="00E951AF">
              <w:rPr>
                <w:rFonts w:cs="Arial"/>
              </w:rPr>
              <w:t>Acceptable</w:t>
            </w:r>
          </w:p>
        </w:tc>
      </w:tr>
      <w:tr w:rsidR="0025461D" w:rsidRPr="00D749ED" w14:paraId="0D0C9E93" w14:textId="77777777" w:rsidTr="009F1A2F">
        <w:trPr>
          <w:trHeight w:val="88"/>
          <w:jc w:val="center"/>
        </w:trPr>
        <w:tc>
          <w:tcPr>
            <w:tcW w:w="1737" w:type="dxa"/>
            <w:tcBorders>
              <w:top w:val="single" w:sz="4" w:space="0" w:color="auto"/>
              <w:left w:val="single" w:sz="4" w:space="0" w:color="auto"/>
              <w:bottom w:val="single" w:sz="4" w:space="0" w:color="auto"/>
              <w:right w:val="single" w:sz="4" w:space="0" w:color="auto"/>
            </w:tcBorders>
            <w:vAlign w:val="center"/>
          </w:tcPr>
          <w:p w14:paraId="6FAE8287" w14:textId="77777777" w:rsidR="0025461D" w:rsidRPr="00C00A2E" w:rsidRDefault="0025461D" w:rsidP="0025461D">
            <w:pPr>
              <w:jc w:val="center"/>
              <w:rPr>
                <w:rFonts w:cs="Arial"/>
              </w:rPr>
            </w:pPr>
            <w:r w:rsidRPr="00C00A2E">
              <w:rPr>
                <w:rFonts w:cs="Arial"/>
              </w:rPr>
              <w:t>Acidity / alkalinity</w:t>
            </w:r>
          </w:p>
        </w:tc>
        <w:tc>
          <w:tcPr>
            <w:tcW w:w="1251" w:type="dxa"/>
            <w:tcBorders>
              <w:top w:val="single" w:sz="4" w:space="0" w:color="auto"/>
              <w:left w:val="single" w:sz="4" w:space="0" w:color="auto"/>
              <w:bottom w:val="single" w:sz="4" w:space="0" w:color="auto"/>
              <w:right w:val="single" w:sz="4" w:space="0" w:color="auto"/>
            </w:tcBorders>
            <w:vAlign w:val="center"/>
          </w:tcPr>
          <w:p w14:paraId="14D2613E" w14:textId="507936BB" w:rsidR="0025461D" w:rsidRPr="00C00A2E" w:rsidRDefault="0025461D" w:rsidP="0025461D">
            <w:pPr>
              <w:jc w:val="center"/>
              <w:rPr>
                <w:rFonts w:cs="Arial"/>
              </w:rPr>
            </w:pPr>
            <w:r w:rsidRPr="007763D2">
              <w:rPr>
                <w:rFonts w:cs="Arial"/>
              </w:rPr>
              <w:t>CIPAC MT 191</w:t>
            </w:r>
          </w:p>
        </w:tc>
        <w:tc>
          <w:tcPr>
            <w:tcW w:w="1391" w:type="dxa"/>
            <w:tcBorders>
              <w:top w:val="single" w:sz="4" w:space="0" w:color="auto"/>
              <w:left w:val="single" w:sz="4" w:space="0" w:color="auto"/>
              <w:bottom w:val="single" w:sz="4" w:space="0" w:color="auto"/>
              <w:right w:val="single" w:sz="4" w:space="0" w:color="auto"/>
            </w:tcBorders>
            <w:vAlign w:val="center"/>
          </w:tcPr>
          <w:p w14:paraId="3132E8A5" w14:textId="77777777" w:rsidR="0025461D" w:rsidRPr="007763D2" w:rsidRDefault="0025461D" w:rsidP="0025461D">
            <w:pPr>
              <w:jc w:val="center"/>
              <w:rPr>
                <w:rFonts w:cs="Arial"/>
              </w:rPr>
            </w:pPr>
            <w:r w:rsidRPr="007763D2">
              <w:rPr>
                <w:rFonts w:cs="Arial"/>
              </w:rPr>
              <w:t xml:space="preserve">ALGOFILM </w:t>
            </w:r>
          </w:p>
          <w:p w14:paraId="65E95406" w14:textId="0913C0CF" w:rsidR="0025461D" w:rsidRPr="00C00A2E" w:rsidRDefault="0025461D" w:rsidP="0025461D">
            <w:pPr>
              <w:jc w:val="center"/>
              <w:rPr>
                <w:rFonts w:cs="Arial"/>
              </w:rPr>
            </w:pPr>
            <w:r w:rsidRPr="007763D2">
              <w:rPr>
                <w:rFonts w:cs="Arial"/>
              </w:rPr>
              <w:t>Batch 20001421</w:t>
            </w:r>
          </w:p>
        </w:tc>
        <w:tc>
          <w:tcPr>
            <w:tcW w:w="5840" w:type="dxa"/>
            <w:tcBorders>
              <w:top w:val="single" w:sz="4" w:space="0" w:color="auto"/>
              <w:left w:val="single" w:sz="4" w:space="0" w:color="auto"/>
              <w:bottom w:val="single" w:sz="4" w:space="0" w:color="auto"/>
              <w:right w:val="single" w:sz="4" w:space="0" w:color="auto"/>
            </w:tcBorders>
            <w:vAlign w:val="center"/>
          </w:tcPr>
          <w:p w14:paraId="4349557A" w14:textId="553591B4" w:rsidR="0025461D" w:rsidRPr="00C00A2E" w:rsidRDefault="0025461D" w:rsidP="0025461D">
            <w:pPr>
              <w:rPr>
                <w:rFonts w:cs="Arial"/>
              </w:rPr>
            </w:pPr>
            <w:r w:rsidRPr="007763D2">
              <w:rPr>
                <w:rFonts w:cs="Arial"/>
              </w:rPr>
              <w:t>0.004% w/w (as H2SO4)</w:t>
            </w:r>
          </w:p>
        </w:tc>
        <w:tc>
          <w:tcPr>
            <w:tcW w:w="612" w:type="dxa"/>
            <w:tcBorders>
              <w:top w:val="single" w:sz="4" w:space="0" w:color="auto"/>
              <w:left w:val="single" w:sz="4" w:space="0" w:color="auto"/>
              <w:bottom w:val="single" w:sz="4" w:space="0" w:color="auto"/>
              <w:right w:val="single" w:sz="4" w:space="0" w:color="auto"/>
            </w:tcBorders>
            <w:vAlign w:val="center"/>
          </w:tcPr>
          <w:p w14:paraId="6F61075A" w14:textId="77777777" w:rsidR="0025461D" w:rsidRPr="00C00A2E" w:rsidRDefault="0025461D" w:rsidP="0025461D">
            <w:pPr>
              <w:jc w:val="center"/>
              <w:rPr>
                <w:rFonts w:cs="Arial"/>
                <w:highlight w:val="yellow"/>
              </w:rPr>
            </w:pPr>
            <w:r w:rsidRPr="00C00A2E">
              <w:rPr>
                <w:rFonts w:cs="Arial"/>
              </w:rPr>
              <w:t>-</w:t>
            </w:r>
          </w:p>
        </w:tc>
        <w:tc>
          <w:tcPr>
            <w:tcW w:w="1435" w:type="dxa"/>
            <w:tcBorders>
              <w:top w:val="single" w:sz="4" w:space="0" w:color="auto"/>
              <w:left w:val="single" w:sz="4" w:space="0" w:color="auto"/>
              <w:bottom w:val="single" w:sz="4" w:space="0" w:color="auto"/>
              <w:right w:val="single" w:sz="4" w:space="0" w:color="auto"/>
            </w:tcBorders>
            <w:vAlign w:val="center"/>
          </w:tcPr>
          <w:p w14:paraId="11DF92F4" w14:textId="77777777" w:rsidR="0025461D" w:rsidRPr="007763D2" w:rsidRDefault="0025461D" w:rsidP="0025461D">
            <w:pPr>
              <w:rPr>
                <w:rFonts w:cs="Arial"/>
              </w:rPr>
            </w:pPr>
            <w:r w:rsidRPr="00375F9D">
              <w:rPr>
                <w:rFonts w:cs="Arial"/>
                <w:sz w:val="18"/>
                <w:szCs w:val="18"/>
              </w:rPr>
              <w:t>P</w:t>
            </w:r>
            <w:r w:rsidRPr="007763D2">
              <w:rPr>
                <w:rFonts w:cs="Arial"/>
              </w:rPr>
              <w:t>. Padilla, 2020</w:t>
            </w:r>
          </w:p>
          <w:p w14:paraId="78640652" w14:textId="03238434" w:rsidR="0025461D" w:rsidRPr="00C00A2E" w:rsidRDefault="0025461D" w:rsidP="0025461D">
            <w:pPr>
              <w:rPr>
                <w:rFonts w:cs="Arial"/>
              </w:rPr>
            </w:pPr>
            <w:r w:rsidRPr="007763D2">
              <w:rPr>
                <w:rFonts w:cs="Arial"/>
              </w:rPr>
              <w:t>Report N°20-912017-004</w:t>
            </w:r>
          </w:p>
        </w:tc>
        <w:tc>
          <w:tcPr>
            <w:tcW w:w="2652" w:type="dxa"/>
            <w:tcBorders>
              <w:top w:val="single" w:sz="4" w:space="0" w:color="auto"/>
              <w:left w:val="single" w:sz="4" w:space="0" w:color="auto"/>
              <w:bottom w:val="single" w:sz="4" w:space="0" w:color="auto"/>
              <w:right w:val="single" w:sz="4" w:space="0" w:color="auto"/>
            </w:tcBorders>
            <w:vAlign w:val="center"/>
          </w:tcPr>
          <w:p w14:paraId="30537718" w14:textId="457A867E" w:rsidR="0025461D" w:rsidRPr="00E951AF" w:rsidRDefault="0025461D" w:rsidP="0025461D">
            <w:pPr>
              <w:rPr>
                <w:rFonts w:cs="Arial"/>
              </w:rPr>
            </w:pPr>
            <w:r>
              <w:rPr>
                <w:rFonts w:cs="Arial"/>
              </w:rPr>
              <w:t>Acceptable</w:t>
            </w:r>
          </w:p>
        </w:tc>
      </w:tr>
      <w:tr w:rsidR="009F1A2F" w:rsidRPr="00D749ED" w14:paraId="764FA64E" w14:textId="77777777" w:rsidTr="009F1A2F">
        <w:trPr>
          <w:trHeight w:val="88"/>
          <w:jc w:val="center"/>
        </w:trPr>
        <w:tc>
          <w:tcPr>
            <w:tcW w:w="1737" w:type="dxa"/>
            <w:tcBorders>
              <w:top w:val="single" w:sz="4" w:space="0" w:color="auto"/>
              <w:left w:val="single" w:sz="4" w:space="0" w:color="auto"/>
              <w:bottom w:val="single" w:sz="4" w:space="0" w:color="auto"/>
              <w:right w:val="single" w:sz="4" w:space="0" w:color="auto"/>
            </w:tcBorders>
            <w:vAlign w:val="center"/>
          </w:tcPr>
          <w:p w14:paraId="382C327D" w14:textId="77777777" w:rsidR="009F1A2F" w:rsidRPr="00C00A2E" w:rsidRDefault="009F1A2F" w:rsidP="009F1A2F">
            <w:pPr>
              <w:jc w:val="center"/>
              <w:rPr>
                <w:rFonts w:cs="Arial"/>
              </w:rPr>
            </w:pPr>
            <w:r w:rsidRPr="00C00A2E">
              <w:rPr>
                <w:rFonts w:cs="Arial"/>
              </w:rPr>
              <w:t>Relative density / bulk density</w:t>
            </w:r>
          </w:p>
        </w:tc>
        <w:tc>
          <w:tcPr>
            <w:tcW w:w="1251" w:type="dxa"/>
            <w:tcBorders>
              <w:top w:val="single" w:sz="4" w:space="0" w:color="auto"/>
              <w:left w:val="single" w:sz="4" w:space="0" w:color="auto"/>
              <w:bottom w:val="single" w:sz="4" w:space="0" w:color="auto"/>
              <w:right w:val="single" w:sz="4" w:space="0" w:color="auto"/>
            </w:tcBorders>
            <w:vAlign w:val="center"/>
          </w:tcPr>
          <w:p w14:paraId="1299AB06" w14:textId="77777777" w:rsidR="009F1A2F" w:rsidRPr="00C00A2E" w:rsidRDefault="009F1A2F" w:rsidP="009F1A2F">
            <w:pPr>
              <w:jc w:val="center"/>
              <w:rPr>
                <w:rFonts w:cs="Arial"/>
              </w:rPr>
            </w:pPr>
            <w:r w:rsidRPr="00C00A2E">
              <w:rPr>
                <w:rFonts w:cs="Arial"/>
              </w:rPr>
              <w:t>OECD 109</w:t>
            </w:r>
          </w:p>
        </w:tc>
        <w:tc>
          <w:tcPr>
            <w:tcW w:w="1391" w:type="dxa"/>
            <w:tcBorders>
              <w:top w:val="single" w:sz="4" w:space="0" w:color="auto"/>
              <w:left w:val="single" w:sz="4" w:space="0" w:color="auto"/>
              <w:bottom w:val="single" w:sz="4" w:space="0" w:color="auto"/>
              <w:right w:val="single" w:sz="4" w:space="0" w:color="auto"/>
            </w:tcBorders>
            <w:vAlign w:val="center"/>
          </w:tcPr>
          <w:p w14:paraId="2C42AED7" w14:textId="77777777" w:rsidR="009F1A2F" w:rsidRPr="00C00A2E" w:rsidRDefault="009F1A2F" w:rsidP="009F1A2F">
            <w:pPr>
              <w:jc w:val="center"/>
              <w:rPr>
                <w:rFonts w:cs="Arial"/>
              </w:rPr>
            </w:pPr>
            <w:r w:rsidRPr="00C00A2E">
              <w:rPr>
                <w:rFonts w:cs="Arial"/>
              </w:rPr>
              <w:t>ALGOFILM</w:t>
            </w:r>
          </w:p>
          <w:p w14:paraId="153A47A6" w14:textId="77777777" w:rsidR="009F1A2F" w:rsidRPr="00C00A2E" w:rsidRDefault="009F1A2F" w:rsidP="009F1A2F">
            <w:pPr>
              <w:jc w:val="center"/>
              <w:rPr>
                <w:rFonts w:cs="Arial"/>
              </w:rPr>
            </w:pPr>
            <w:r w:rsidRPr="00C00A2E">
              <w:rPr>
                <w:rFonts w:cs="Arial"/>
              </w:rPr>
              <w:t>Batch 13001002</w:t>
            </w:r>
          </w:p>
        </w:tc>
        <w:tc>
          <w:tcPr>
            <w:tcW w:w="5840" w:type="dxa"/>
            <w:tcBorders>
              <w:top w:val="single" w:sz="4" w:space="0" w:color="auto"/>
              <w:left w:val="single" w:sz="4" w:space="0" w:color="auto"/>
              <w:bottom w:val="single" w:sz="4" w:space="0" w:color="auto"/>
              <w:right w:val="single" w:sz="4" w:space="0" w:color="auto"/>
            </w:tcBorders>
            <w:vAlign w:val="center"/>
          </w:tcPr>
          <w:p w14:paraId="77DB611A" w14:textId="77777777" w:rsidR="009F1A2F" w:rsidRPr="00C00A2E" w:rsidRDefault="009F1A2F" w:rsidP="009F1A2F">
            <w:pPr>
              <w:rPr>
                <w:rFonts w:cs="Arial"/>
              </w:rPr>
            </w:pPr>
            <w:r w:rsidRPr="00C00A2E">
              <w:rPr>
                <w:rFonts w:cs="Arial"/>
              </w:rPr>
              <w:t>Density: 1.013 g/mL</w:t>
            </w:r>
          </w:p>
        </w:tc>
        <w:tc>
          <w:tcPr>
            <w:tcW w:w="612" w:type="dxa"/>
            <w:tcBorders>
              <w:top w:val="single" w:sz="4" w:space="0" w:color="auto"/>
              <w:left w:val="single" w:sz="4" w:space="0" w:color="auto"/>
              <w:bottom w:val="single" w:sz="4" w:space="0" w:color="auto"/>
              <w:right w:val="single" w:sz="4" w:space="0" w:color="auto"/>
            </w:tcBorders>
            <w:vAlign w:val="center"/>
          </w:tcPr>
          <w:p w14:paraId="36290C52" w14:textId="77777777" w:rsidR="009F1A2F" w:rsidRPr="00C00A2E" w:rsidRDefault="009F1A2F" w:rsidP="009F1A2F">
            <w:pPr>
              <w:jc w:val="center"/>
              <w:rPr>
                <w:rFonts w:cs="Arial"/>
              </w:rPr>
            </w:pPr>
            <w:r w:rsidRPr="00C00A2E">
              <w:rPr>
                <w:rFonts w:cs="Arial"/>
              </w:rPr>
              <w:t>N</w:t>
            </w:r>
          </w:p>
        </w:tc>
        <w:tc>
          <w:tcPr>
            <w:tcW w:w="1435" w:type="dxa"/>
            <w:tcBorders>
              <w:top w:val="single" w:sz="4" w:space="0" w:color="auto"/>
              <w:left w:val="single" w:sz="4" w:space="0" w:color="auto"/>
              <w:bottom w:val="single" w:sz="4" w:space="0" w:color="auto"/>
              <w:right w:val="single" w:sz="4" w:space="0" w:color="auto"/>
            </w:tcBorders>
            <w:vAlign w:val="center"/>
          </w:tcPr>
          <w:p w14:paraId="5FCA7297" w14:textId="77777777" w:rsidR="009F1A2F" w:rsidRPr="00C00A2E" w:rsidRDefault="009F1A2F" w:rsidP="009F1A2F">
            <w:pPr>
              <w:rPr>
                <w:rFonts w:cs="Arial"/>
              </w:rPr>
            </w:pPr>
            <w:r w:rsidRPr="00C00A2E">
              <w:rPr>
                <w:rFonts w:cs="Arial"/>
              </w:rPr>
              <w:t>A. Morel, 2015 Report N° D041-39</w:t>
            </w:r>
          </w:p>
        </w:tc>
        <w:tc>
          <w:tcPr>
            <w:tcW w:w="2652" w:type="dxa"/>
            <w:tcBorders>
              <w:top w:val="single" w:sz="4" w:space="0" w:color="auto"/>
              <w:left w:val="single" w:sz="4" w:space="0" w:color="auto"/>
              <w:bottom w:val="single" w:sz="4" w:space="0" w:color="auto"/>
              <w:right w:val="single" w:sz="4" w:space="0" w:color="auto"/>
            </w:tcBorders>
            <w:vAlign w:val="center"/>
          </w:tcPr>
          <w:p w14:paraId="749AEBA9" w14:textId="3D294882" w:rsidR="009F1A2F" w:rsidRPr="00E951AF" w:rsidRDefault="009F1A2F" w:rsidP="009F1A2F">
            <w:pPr>
              <w:rPr>
                <w:rFonts w:cs="Arial"/>
              </w:rPr>
            </w:pPr>
            <w:r w:rsidRPr="00E951AF">
              <w:rPr>
                <w:rFonts w:cs="Arial"/>
              </w:rPr>
              <w:t>Acceptable</w:t>
            </w:r>
          </w:p>
        </w:tc>
      </w:tr>
      <w:tr w:rsidR="0025461D" w:rsidRPr="00D749ED" w14:paraId="5DAD64E1" w14:textId="77777777" w:rsidTr="009F1A2F">
        <w:trPr>
          <w:trHeight w:val="88"/>
          <w:jc w:val="center"/>
        </w:trPr>
        <w:tc>
          <w:tcPr>
            <w:tcW w:w="1737" w:type="dxa"/>
            <w:vAlign w:val="center"/>
          </w:tcPr>
          <w:p w14:paraId="68ABFE89" w14:textId="77777777" w:rsidR="0025461D" w:rsidRPr="00C00A2E" w:rsidRDefault="0025461D" w:rsidP="0025461D">
            <w:pPr>
              <w:jc w:val="center"/>
              <w:rPr>
                <w:rFonts w:cs="Arial"/>
              </w:rPr>
            </w:pPr>
            <w:r w:rsidRPr="00C00A2E">
              <w:rPr>
                <w:rFonts w:cs="Arial"/>
              </w:rPr>
              <w:t xml:space="preserve">Storage stability test – </w:t>
            </w:r>
            <w:r w:rsidRPr="00C00A2E">
              <w:rPr>
                <w:rFonts w:cs="Arial"/>
                <w:b/>
              </w:rPr>
              <w:t>accelerated storage</w:t>
            </w:r>
          </w:p>
        </w:tc>
        <w:tc>
          <w:tcPr>
            <w:tcW w:w="1251" w:type="dxa"/>
            <w:vAlign w:val="center"/>
          </w:tcPr>
          <w:p w14:paraId="2950C5E2" w14:textId="08866EC0" w:rsidR="0025461D" w:rsidRPr="007763D2" w:rsidRDefault="0025461D" w:rsidP="0025461D">
            <w:pPr>
              <w:jc w:val="center"/>
              <w:rPr>
                <w:rFonts w:cs="Arial"/>
              </w:rPr>
            </w:pPr>
            <w:r w:rsidRPr="007763D2">
              <w:rPr>
                <w:rFonts w:cs="Arial"/>
              </w:rPr>
              <w:t>Method validated in section 2.2.4</w:t>
            </w:r>
          </w:p>
        </w:tc>
        <w:tc>
          <w:tcPr>
            <w:tcW w:w="1391" w:type="dxa"/>
            <w:vAlign w:val="center"/>
          </w:tcPr>
          <w:p w14:paraId="4C6ECF10" w14:textId="77777777" w:rsidR="0025461D" w:rsidRPr="007763D2" w:rsidRDefault="0025461D" w:rsidP="0025461D">
            <w:pPr>
              <w:jc w:val="center"/>
              <w:rPr>
                <w:rFonts w:cs="Arial"/>
              </w:rPr>
            </w:pPr>
            <w:r w:rsidRPr="007763D2">
              <w:rPr>
                <w:rFonts w:cs="Arial"/>
              </w:rPr>
              <w:t xml:space="preserve">ALGOFILM </w:t>
            </w:r>
          </w:p>
          <w:p w14:paraId="1AC42919" w14:textId="285364D0" w:rsidR="0025461D" w:rsidRPr="00C00A2E" w:rsidRDefault="0025461D" w:rsidP="0025461D">
            <w:pPr>
              <w:jc w:val="center"/>
              <w:rPr>
                <w:rFonts w:cs="Arial"/>
              </w:rPr>
            </w:pPr>
            <w:r w:rsidRPr="007763D2">
              <w:rPr>
                <w:rFonts w:cs="Arial"/>
              </w:rPr>
              <w:t>Batch 20001421</w:t>
            </w:r>
          </w:p>
        </w:tc>
        <w:tc>
          <w:tcPr>
            <w:tcW w:w="5840" w:type="dxa"/>
            <w:vAlign w:val="center"/>
          </w:tcPr>
          <w:p w14:paraId="14716F8A" w14:textId="77777777" w:rsidR="0025461D" w:rsidRPr="007763D2" w:rsidRDefault="0025461D" w:rsidP="0025461D">
            <w:pPr>
              <w:rPr>
                <w:rFonts w:cs="Arial"/>
              </w:rPr>
            </w:pPr>
            <w:r w:rsidRPr="007763D2">
              <w:rPr>
                <w:rFonts w:cs="Arial"/>
              </w:rPr>
              <w:t>Accelerated storage procedure at 40°C for 8 weeks.</w:t>
            </w:r>
          </w:p>
          <w:p w14:paraId="5ED0CEFB" w14:textId="77777777" w:rsidR="0025461D" w:rsidRPr="007763D2" w:rsidRDefault="0025461D" w:rsidP="0025461D">
            <w:pPr>
              <w:rPr>
                <w:rFonts w:cs="Arial"/>
              </w:rPr>
            </w:pPr>
          </w:p>
          <w:tbl>
            <w:tblPr>
              <w:tblStyle w:val="Grilledutableau"/>
              <w:tblW w:w="5698" w:type="dxa"/>
              <w:tblLayout w:type="fixed"/>
              <w:tblLook w:val="04A0" w:firstRow="1" w:lastRow="0" w:firstColumn="1" w:lastColumn="0" w:noHBand="0" w:noVBand="1"/>
            </w:tblPr>
            <w:tblGrid>
              <w:gridCol w:w="1899"/>
              <w:gridCol w:w="1899"/>
              <w:gridCol w:w="1900"/>
            </w:tblGrid>
            <w:tr w:rsidR="0025461D" w:rsidRPr="0093414A" w14:paraId="200AA7F2" w14:textId="77777777" w:rsidTr="007763D2">
              <w:trPr>
                <w:trHeight w:val="172"/>
              </w:trPr>
              <w:tc>
                <w:tcPr>
                  <w:tcW w:w="1899" w:type="dxa"/>
                </w:tcPr>
                <w:p w14:paraId="0BA168D3" w14:textId="77777777" w:rsidR="0025461D" w:rsidRPr="007763D2" w:rsidRDefault="0025461D" w:rsidP="0025461D">
                  <w:pPr>
                    <w:rPr>
                      <w:rFonts w:cs="Arial"/>
                    </w:rPr>
                  </w:pPr>
                </w:p>
              </w:tc>
              <w:tc>
                <w:tcPr>
                  <w:tcW w:w="1899" w:type="dxa"/>
                </w:tcPr>
                <w:p w14:paraId="4A3F20DF" w14:textId="77777777" w:rsidR="0025461D" w:rsidRPr="007763D2" w:rsidRDefault="0025461D" w:rsidP="0025461D">
                  <w:pPr>
                    <w:rPr>
                      <w:rFonts w:cs="Arial"/>
                    </w:rPr>
                  </w:pPr>
                  <w:r w:rsidRPr="007763D2">
                    <w:rPr>
                      <w:rFonts w:cs="Arial"/>
                    </w:rPr>
                    <w:t>Before storage</w:t>
                  </w:r>
                </w:p>
              </w:tc>
              <w:tc>
                <w:tcPr>
                  <w:tcW w:w="1900" w:type="dxa"/>
                </w:tcPr>
                <w:p w14:paraId="72DCEA05" w14:textId="77777777" w:rsidR="0025461D" w:rsidRPr="007763D2" w:rsidRDefault="0025461D" w:rsidP="0025461D">
                  <w:pPr>
                    <w:rPr>
                      <w:rFonts w:cs="Arial"/>
                    </w:rPr>
                  </w:pPr>
                  <w:r w:rsidRPr="007763D2">
                    <w:rPr>
                      <w:rFonts w:cs="Arial"/>
                    </w:rPr>
                    <w:t>After storage</w:t>
                  </w:r>
                </w:p>
              </w:tc>
            </w:tr>
            <w:tr w:rsidR="0025461D" w:rsidRPr="0093414A" w14:paraId="58F44392" w14:textId="77777777" w:rsidTr="007763D2">
              <w:trPr>
                <w:trHeight w:val="860"/>
              </w:trPr>
              <w:tc>
                <w:tcPr>
                  <w:tcW w:w="1899" w:type="dxa"/>
                </w:tcPr>
                <w:p w14:paraId="53D9B891" w14:textId="77777777" w:rsidR="0025461D" w:rsidRPr="007763D2" w:rsidRDefault="0025461D" w:rsidP="0025461D">
                  <w:pPr>
                    <w:rPr>
                      <w:rFonts w:cs="Arial"/>
                    </w:rPr>
                  </w:pPr>
                  <w:r w:rsidRPr="007763D2">
                    <w:rPr>
                      <w:rFonts w:cs="Arial"/>
                    </w:rPr>
                    <w:t>Appearance</w:t>
                  </w:r>
                </w:p>
              </w:tc>
              <w:tc>
                <w:tcPr>
                  <w:tcW w:w="1899" w:type="dxa"/>
                </w:tcPr>
                <w:p w14:paraId="628A81B8" w14:textId="77777777" w:rsidR="0025461D" w:rsidRPr="007763D2" w:rsidRDefault="0025461D" w:rsidP="0025461D">
                  <w:pPr>
                    <w:rPr>
                      <w:rFonts w:cs="Arial"/>
                    </w:rPr>
                  </w:pPr>
                  <w:r w:rsidRPr="007763D2">
                    <w:rPr>
                      <w:rFonts w:cs="Arial"/>
                    </w:rPr>
                    <w:t>Homogeneous dark brown opaque liquid with a characteristic odour</w:t>
                  </w:r>
                </w:p>
              </w:tc>
              <w:tc>
                <w:tcPr>
                  <w:tcW w:w="1900" w:type="dxa"/>
                </w:tcPr>
                <w:p w14:paraId="769F5106" w14:textId="77777777" w:rsidR="0025461D" w:rsidRPr="007763D2" w:rsidRDefault="0025461D" w:rsidP="0025461D">
                  <w:pPr>
                    <w:rPr>
                      <w:rFonts w:cs="Arial"/>
                    </w:rPr>
                  </w:pPr>
                  <w:r w:rsidRPr="007763D2">
                    <w:rPr>
                      <w:rFonts w:cs="Arial"/>
                    </w:rPr>
                    <w:t>Homogeneous red brown opaque liquid with a characteristic odour</w:t>
                  </w:r>
                </w:p>
              </w:tc>
            </w:tr>
            <w:tr w:rsidR="0025461D" w:rsidRPr="0093414A" w14:paraId="64074CD8" w14:textId="77777777" w:rsidTr="007763D2">
              <w:trPr>
                <w:trHeight w:val="331"/>
              </w:trPr>
              <w:tc>
                <w:tcPr>
                  <w:tcW w:w="1899" w:type="dxa"/>
                </w:tcPr>
                <w:p w14:paraId="2DD12390" w14:textId="77777777" w:rsidR="0025461D" w:rsidRPr="007763D2" w:rsidRDefault="0025461D" w:rsidP="0025461D">
                  <w:pPr>
                    <w:rPr>
                      <w:rFonts w:cs="Arial"/>
                    </w:rPr>
                  </w:pPr>
                  <w:r w:rsidRPr="007763D2">
                    <w:rPr>
                      <w:rFonts w:cs="Arial"/>
                    </w:rPr>
                    <w:t>Packaging</w:t>
                  </w:r>
                </w:p>
              </w:tc>
              <w:tc>
                <w:tcPr>
                  <w:tcW w:w="1899" w:type="dxa"/>
                </w:tcPr>
                <w:p w14:paraId="4B4E17E4" w14:textId="77777777" w:rsidR="0025461D" w:rsidRPr="007763D2" w:rsidRDefault="0025461D" w:rsidP="0025461D">
                  <w:pPr>
                    <w:rPr>
                      <w:rFonts w:cs="Arial"/>
                    </w:rPr>
                  </w:pPr>
                  <w:r w:rsidRPr="007763D2">
                    <w:rPr>
                      <w:rFonts w:cs="Arial"/>
                    </w:rPr>
                    <w:t>Black opaque HDPE can</w:t>
                  </w:r>
                </w:p>
              </w:tc>
              <w:tc>
                <w:tcPr>
                  <w:tcW w:w="1900" w:type="dxa"/>
                </w:tcPr>
                <w:p w14:paraId="0DF751BC" w14:textId="77777777" w:rsidR="0025461D" w:rsidRPr="007763D2" w:rsidRDefault="0025461D" w:rsidP="0025461D">
                  <w:pPr>
                    <w:rPr>
                      <w:rFonts w:cs="Arial"/>
                    </w:rPr>
                  </w:pPr>
                  <w:r w:rsidRPr="007763D2">
                    <w:rPr>
                      <w:rFonts w:cs="Arial"/>
                    </w:rPr>
                    <w:t>Black opaque HDPE can*</w:t>
                  </w:r>
                </w:p>
              </w:tc>
            </w:tr>
            <w:tr w:rsidR="0025461D" w:rsidRPr="0093414A" w14:paraId="4C8E7DB7" w14:textId="77777777" w:rsidTr="007763D2">
              <w:trPr>
                <w:trHeight w:val="344"/>
              </w:trPr>
              <w:tc>
                <w:tcPr>
                  <w:tcW w:w="1899" w:type="dxa"/>
                </w:tcPr>
                <w:p w14:paraId="071BF97A" w14:textId="77777777" w:rsidR="0025461D" w:rsidRPr="007763D2" w:rsidRDefault="0025461D" w:rsidP="0025461D">
                  <w:pPr>
                    <w:rPr>
                      <w:rFonts w:cs="Arial"/>
                    </w:rPr>
                  </w:pPr>
                  <w:r w:rsidRPr="007763D2">
                    <w:rPr>
                      <w:rFonts w:cs="Arial"/>
                    </w:rPr>
                    <w:lastRenderedPageBreak/>
                    <w:t>L-(+)-lactic acid (% w/w)</w:t>
                  </w:r>
                </w:p>
              </w:tc>
              <w:tc>
                <w:tcPr>
                  <w:tcW w:w="1899" w:type="dxa"/>
                </w:tcPr>
                <w:p w14:paraId="573E6C39" w14:textId="77777777" w:rsidR="0025461D" w:rsidRPr="007763D2" w:rsidRDefault="0025461D" w:rsidP="0025461D">
                  <w:pPr>
                    <w:rPr>
                      <w:rFonts w:cs="Arial"/>
                    </w:rPr>
                  </w:pPr>
                  <w:r w:rsidRPr="007763D2">
                    <w:rPr>
                      <w:rFonts w:cs="Arial"/>
                    </w:rPr>
                    <w:t>0.0689</w:t>
                  </w:r>
                </w:p>
              </w:tc>
              <w:tc>
                <w:tcPr>
                  <w:tcW w:w="1900" w:type="dxa"/>
                </w:tcPr>
                <w:p w14:paraId="10CABBAC" w14:textId="77777777" w:rsidR="0025461D" w:rsidRPr="007763D2" w:rsidRDefault="0025461D" w:rsidP="0025461D">
                  <w:pPr>
                    <w:rPr>
                      <w:rFonts w:cs="Arial"/>
                    </w:rPr>
                  </w:pPr>
                  <w:r w:rsidRPr="007763D2">
                    <w:rPr>
                      <w:rFonts w:cs="Arial"/>
                    </w:rPr>
                    <w:t>0.0736</w:t>
                  </w:r>
                </w:p>
              </w:tc>
            </w:tr>
            <w:tr w:rsidR="0025461D" w:rsidRPr="0093414A" w14:paraId="429C02BF" w14:textId="77777777" w:rsidTr="007763D2">
              <w:trPr>
                <w:trHeight w:val="159"/>
              </w:trPr>
              <w:tc>
                <w:tcPr>
                  <w:tcW w:w="1899" w:type="dxa"/>
                </w:tcPr>
                <w:p w14:paraId="1179B338" w14:textId="77777777" w:rsidR="0025461D" w:rsidRPr="007763D2" w:rsidRDefault="0025461D" w:rsidP="0025461D">
                  <w:pPr>
                    <w:rPr>
                      <w:rFonts w:cs="Arial"/>
                    </w:rPr>
                  </w:pPr>
                  <w:r w:rsidRPr="007763D2">
                    <w:rPr>
                      <w:rFonts w:cs="Arial"/>
                    </w:rPr>
                    <w:t>Iodine (% w/w)</w:t>
                  </w:r>
                </w:p>
              </w:tc>
              <w:tc>
                <w:tcPr>
                  <w:tcW w:w="1899" w:type="dxa"/>
                </w:tcPr>
                <w:p w14:paraId="04DD27BD" w14:textId="77777777" w:rsidR="0025461D" w:rsidRPr="007763D2" w:rsidRDefault="0025461D" w:rsidP="0025461D">
                  <w:pPr>
                    <w:rPr>
                      <w:rFonts w:cs="Arial"/>
                    </w:rPr>
                  </w:pPr>
                  <w:r w:rsidRPr="007763D2">
                    <w:rPr>
                      <w:rFonts w:cs="Arial"/>
                    </w:rPr>
                    <w:t>0.0911</w:t>
                  </w:r>
                </w:p>
              </w:tc>
              <w:tc>
                <w:tcPr>
                  <w:tcW w:w="1900" w:type="dxa"/>
                </w:tcPr>
                <w:p w14:paraId="334A4092" w14:textId="0FB40F93" w:rsidR="0025461D" w:rsidRPr="007763D2" w:rsidRDefault="0025461D" w:rsidP="0025461D">
                  <w:pPr>
                    <w:rPr>
                      <w:rFonts w:cs="Arial"/>
                    </w:rPr>
                  </w:pPr>
                  <w:r w:rsidRPr="007763D2">
                    <w:rPr>
                      <w:rFonts w:cs="Arial"/>
                    </w:rPr>
                    <w:t>0.0125 (-86%)</w:t>
                  </w:r>
                </w:p>
              </w:tc>
            </w:tr>
            <w:tr w:rsidR="0025461D" w:rsidRPr="0093414A" w14:paraId="603ABCE0" w14:textId="77777777" w:rsidTr="007763D2">
              <w:trPr>
                <w:trHeight w:val="172"/>
              </w:trPr>
              <w:tc>
                <w:tcPr>
                  <w:tcW w:w="1899" w:type="dxa"/>
                </w:tcPr>
                <w:p w14:paraId="76222DD4" w14:textId="77777777" w:rsidR="0025461D" w:rsidRPr="007763D2" w:rsidRDefault="0025461D" w:rsidP="0025461D">
                  <w:pPr>
                    <w:rPr>
                      <w:rFonts w:cs="Arial"/>
                    </w:rPr>
                  </w:pPr>
                  <w:r w:rsidRPr="007763D2">
                    <w:rPr>
                      <w:rFonts w:cs="Arial"/>
                    </w:rPr>
                    <w:t>Iodide (% w/w)</w:t>
                  </w:r>
                </w:p>
              </w:tc>
              <w:tc>
                <w:tcPr>
                  <w:tcW w:w="1899" w:type="dxa"/>
                </w:tcPr>
                <w:p w14:paraId="1845130E" w14:textId="77777777" w:rsidR="0025461D" w:rsidRPr="007763D2" w:rsidRDefault="0025461D" w:rsidP="0025461D">
                  <w:pPr>
                    <w:rPr>
                      <w:rFonts w:cs="Arial"/>
                    </w:rPr>
                  </w:pPr>
                  <w:r w:rsidRPr="007763D2">
                    <w:rPr>
                      <w:rFonts w:cs="Arial"/>
                    </w:rPr>
                    <w:t>0.144</w:t>
                  </w:r>
                </w:p>
              </w:tc>
              <w:tc>
                <w:tcPr>
                  <w:tcW w:w="1900" w:type="dxa"/>
                </w:tcPr>
                <w:p w14:paraId="2CF8CF70" w14:textId="77777777" w:rsidR="0025461D" w:rsidRPr="007763D2" w:rsidRDefault="0025461D" w:rsidP="0025461D">
                  <w:pPr>
                    <w:rPr>
                      <w:rFonts w:cs="Arial"/>
                    </w:rPr>
                  </w:pPr>
                  <w:r w:rsidRPr="007763D2">
                    <w:rPr>
                      <w:rFonts w:cs="Arial"/>
                    </w:rPr>
                    <w:t>0.215</w:t>
                  </w:r>
                </w:p>
              </w:tc>
            </w:tr>
            <w:tr w:rsidR="0025461D" w:rsidRPr="0093414A" w14:paraId="73F12A83" w14:textId="77777777" w:rsidTr="007763D2">
              <w:trPr>
                <w:trHeight w:val="159"/>
              </w:trPr>
              <w:tc>
                <w:tcPr>
                  <w:tcW w:w="1899" w:type="dxa"/>
                </w:tcPr>
                <w:p w14:paraId="486CB843" w14:textId="77777777" w:rsidR="0025461D" w:rsidRPr="007763D2" w:rsidRDefault="0025461D" w:rsidP="0025461D">
                  <w:pPr>
                    <w:rPr>
                      <w:rFonts w:cs="Arial"/>
                    </w:rPr>
                  </w:pPr>
                  <w:r w:rsidRPr="007763D2">
                    <w:rPr>
                      <w:rFonts w:cs="Arial"/>
                    </w:rPr>
                    <w:t>Iodate (% w/w)</w:t>
                  </w:r>
                </w:p>
              </w:tc>
              <w:tc>
                <w:tcPr>
                  <w:tcW w:w="1899" w:type="dxa"/>
                </w:tcPr>
                <w:p w14:paraId="0DE5C8D8" w14:textId="77777777" w:rsidR="0025461D" w:rsidRPr="007763D2" w:rsidRDefault="0025461D" w:rsidP="0025461D">
                  <w:pPr>
                    <w:rPr>
                      <w:rFonts w:cs="Arial"/>
                    </w:rPr>
                  </w:pPr>
                  <w:r w:rsidRPr="007763D2">
                    <w:rPr>
                      <w:rFonts w:cs="Arial"/>
                    </w:rPr>
                    <w:t>&lt; 0.00079 (LOQ)</w:t>
                  </w:r>
                </w:p>
              </w:tc>
              <w:tc>
                <w:tcPr>
                  <w:tcW w:w="1900" w:type="dxa"/>
                </w:tcPr>
                <w:p w14:paraId="4356CC87" w14:textId="77777777" w:rsidR="0025461D" w:rsidRPr="007763D2" w:rsidRDefault="0025461D" w:rsidP="0025461D">
                  <w:pPr>
                    <w:rPr>
                      <w:rFonts w:cs="Arial"/>
                    </w:rPr>
                  </w:pPr>
                  <w:r w:rsidRPr="007763D2">
                    <w:rPr>
                      <w:rFonts w:cs="Arial"/>
                    </w:rPr>
                    <w:t>&lt; 0.00079 (LOQ)</w:t>
                  </w:r>
                </w:p>
              </w:tc>
            </w:tr>
            <w:tr w:rsidR="0025461D" w:rsidRPr="0093414A" w14:paraId="4B070CBB" w14:textId="77777777" w:rsidTr="007763D2">
              <w:trPr>
                <w:trHeight w:val="344"/>
              </w:trPr>
              <w:tc>
                <w:tcPr>
                  <w:tcW w:w="1899" w:type="dxa"/>
                </w:tcPr>
                <w:p w14:paraId="05F8CAC5" w14:textId="77777777" w:rsidR="0025461D" w:rsidRPr="007763D2" w:rsidRDefault="0025461D" w:rsidP="0025461D">
                  <w:pPr>
                    <w:rPr>
                      <w:rFonts w:cs="Arial"/>
                    </w:rPr>
                  </w:pPr>
                  <w:r w:rsidRPr="007763D2">
                    <w:rPr>
                      <w:rFonts w:cs="Arial"/>
                    </w:rPr>
                    <w:t>Acidity (% w/w as H2SO4)</w:t>
                  </w:r>
                </w:p>
              </w:tc>
              <w:tc>
                <w:tcPr>
                  <w:tcW w:w="1899" w:type="dxa"/>
                </w:tcPr>
                <w:p w14:paraId="34879FB0" w14:textId="77777777" w:rsidR="0025461D" w:rsidRPr="007763D2" w:rsidRDefault="0025461D" w:rsidP="0025461D">
                  <w:pPr>
                    <w:rPr>
                      <w:rFonts w:cs="Arial"/>
                    </w:rPr>
                  </w:pPr>
                  <w:r w:rsidRPr="007763D2">
                    <w:rPr>
                      <w:rFonts w:cs="Arial"/>
                    </w:rPr>
                    <w:t>0.004</w:t>
                  </w:r>
                </w:p>
              </w:tc>
              <w:tc>
                <w:tcPr>
                  <w:tcW w:w="1900" w:type="dxa"/>
                </w:tcPr>
                <w:p w14:paraId="5205FEA6" w14:textId="77777777" w:rsidR="0025461D" w:rsidRPr="007763D2" w:rsidRDefault="0025461D" w:rsidP="0025461D">
                  <w:pPr>
                    <w:rPr>
                      <w:rFonts w:cs="Arial"/>
                    </w:rPr>
                  </w:pPr>
                  <w:r w:rsidRPr="007763D2">
                    <w:rPr>
                      <w:rFonts w:cs="Arial"/>
                    </w:rPr>
                    <w:t>0.088</w:t>
                  </w:r>
                </w:p>
              </w:tc>
            </w:tr>
          </w:tbl>
          <w:p w14:paraId="68804762" w14:textId="77777777" w:rsidR="0025461D" w:rsidRPr="007763D2" w:rsidRDefault="0025461D" w:rsidP="0025461D">
            <w:pPr>
              <w:rPr>
                <w:rFonts w:cs="Arial"/>
              </w:rPr>
            </w:pPr>
            <w:r w:rsidRPr="007763D2">
              <w:rPr>
                <w:rFonts w:cs="Arial"/>
              </w:rPr>
              <w:t>*: no sign of degradation or leak was observed.</w:t>
            </w:r>
          </w:p>
          <w:p w14:paraId="1C3F788F" w14:textId="77777777" w:rsidR="0025461D" w:rsidRPr="007763D2" w:rsidRDefault="0025461D" w:rsidP="0025461D">
            <w:pPr>
              <w:rPr>
                <w:rFonts w:cs="Arial"/>
              </w:rPr>
            </w:pPr>
          </w:p>
          <w:p w14:paraId="4A00C663" w14:textId="77777777" w:rsidR="0025461D" w:rsidRPr="007763D2" w:rsidRDefault="0025461D" w:rsidP="007763D2">
            <w:pPr>
              <w:jc w:val="both"/>
              <w:rPr>
                <w:rFonts w:cs="Arial"/>
              </w:rPr>
            </w:pPr>
            <w:r w:rsidRPr="007763D2">
              <w:rPr>
                <w:rFonts w:cs="Arial"/>
              </w:rPr>
              <w:t>A slight change of colouration of the product was noted. This is due to the degradation of iodine, responsible for the dark brown colour.</w:t>
            </w:r>
          </w:p>
          <w:p w14:paraId="1AC7A5E6" w14:textId="77777777" w:rsidR="0025461D" w:rsidRPr="007763D2" w:rsidRDefault="0025461D" w:rsidP="007763D2">
            <w:pPr>
              <w:jc w:val="both"/>
              <w:rPr>
                <w:rFonts w:cs="Arial"/>
              </w:rPr>
            </w:pPr>
          </w:p>
          <w:p w14:paraId="78342B8A" w14:textId="66629439" w:rsidR="0025461D" w:rsidRPr="007763D2" w:rsidRDefault="0025461D" w:rsidP="007763D2">
            <w:pPr>
              <w:jc w:val="both"/>
              <w:rPr>
                <w:rFonts w:cs="Arial"/>
              </w:rPr>
            </w:pPr>
            <w:r w:rsidRPr="007763D2">
              <w:rPr>
                <w:rFonts w:cs="Arial"/>
              </w:rPr>
              <w:t>An increase in the product’s acidity was observed. This is also due to the degradation of iodine, as iodine transformation into iodide implies the formation of H+.</w:t>
            </w:r>
          </w:p>
          <w:p w14:paraId="047735D0" w14:textId="77777777" w:rsidR="0025461D" w:rsidRPr="007763D2" w:rsidRDefault="0025461D" w:rsidP="007763D2">
            <w:pPr>
              <w:jc w:val="both"/>
              <w:rPr>
                <w:rFonts w:cs="Arial"/>
              </w:rPr>
            </w:pPr>
          </w:p>
          <w:p w14:paraId="6C581698" w14:textId="77777777" w:rsidR="0025461D" w:rsidRPr="007763D2" w:rsidRDefault="0025461D" w:rsidP="007763D2">
            <w:pPr>
              <w:jc w:val="both"/>
              <w:rPr>
                <w:rFonts w:cs="Arial"/>
              </w:rPr>
            </w:pPr>
            <w:r w:rsidRPr="007763D2">
              <w:rPr>
                <w:rFonts w:cs="Arial"/>
              </w:rPr>
              <w:t>L-(+)-lactic acid was found to be stable after the accelerated storage procedure, indicating that its will be stable for an ambient storage of two years as well.</w:t>
            </w:r>
          </w:p>
          <w:p w14:paraId="0A67C19A" w14:textId="77777777" w:rsidR="0025461D" w:rsidRPr="007763D2" w:rsidRDefault="0025461D" w:rsidP="007763D2">
            <w:pPr>
              <w:jc w:val="both"/>
              <w:rPr>
                <w:rFonts w:cs="Arial"/>
              </w:rPr>
            </w:pPr>
          </w:p>
          <w:p w14:paraId="497AF880" w14:textId="77777777" w:rsidR="0025461D" w:rsidRPr="007763D2" w:rsidRDefault="0025461D" w:rsidP="007763D2">
            <w:pPr>
              <w:jc w:val="both"/>
              <w:rPr>
                <w:rFonts w:cs="Arial"/>
              </w:rPr>
            </w:pPr>
            <w:r w:rsidRPr="007763D2">
              <w:rPr>
                <w:rFonts w:cs="Arial"/>
              </w:rPr>
              <w:t>Unsurprisingly, the iodine content decreased significantly, because iodine is sensitive to high temperatures. Its decrease (86.3%) was greater than in the available ambient storage results (55%).</w:t>
            </w:r>
          </w:p>
          <w:p w14:paraId="0D9C3240" w14:textId="77777777" w:rsidR="0025461D" w:rsidRPr="007763D2" w:rsidRDefault="0025461D" w:rsidP="007763D2">
            <w:pPr>
              <w:jc w:val="both"/>
              <w:rPr>
                <w:rFonts w:cs="Arial"/>
              </w:rPr>
            </w:pPr>
          </w:p>
          <w:p w14:paraId="3C407C5E" w14:textId="77777777" w:rsidR="0025461D" w:rsidRPr="007763D2" w:rsidRDefault="0025461D" w:rsidP="007763D2">
            <w:pPr>
              <w:jc w:val="both"/>
              <w:rPr>
                <w:rFonts w:cs="Arial"/>
              </w:rPr>
            </w:pPr>
            <w:r w:rsidRPr="007763D2">
              <w:rPr>
                <w:rFonts w:cs="Arial"/>
              </w:rPr>
              <w:t>The iodide content increased, since it is the degradation product of iodine. There is a good correspondence between the lost iodine content and the increase in iodide.</w:t>
            </w:r>
          </w:p>
          <w:p w14:paraId="10F0080E" w14:textId="77777777" w:rsidR="0025461D" w:rsidRPr="007763D2" w:rsidRDefault="0025461D" w:rsidP="007763D2">
            <w:pPr>
              <w:jc w:val="both"/>
              <w:rPr>
                <w:rFonts w:cs="Arial"/>
              </w:rPr>
            </w:pPr>
          </w:p>
          <w:p w14:paraId="6371B5C2" w14:textId="77777777" w:rsidR="0025461D" w:rsidRPr="007763D2" w:rsidRDefault="0025461D" w:rsidP="007763D2">
            <w:pPr>
              <w:jc w:val="both"/>
              <w:rPr>
                <w:rFonts w:cs="Arial"/>
              </w:rPr>
            </w:pPr>
            <w:r w:rsidRPr="007763D2">
              <w:rPr>
                <w:rFonts w:cs="Arial"/>
              </w:rPr>
              <w:lastRenderedPageBreak/>
              <w:t>The iodate content remained very low throughout the storage, below its validated LOQ of 0.00079% w/w.</w:t>
            </w:r>
          </w:p>
          <w:p w14:paraId="1C56C7EB" w14:textId="77777777" w:rsidR="0025461D" w:rsidRPr="007763D2" w:rsidRDefault="0025461D" w:rsidP="007763D2">
            <w:pPr>
              <w:jc w:val="both"/>
              <w:rPr>
                <w:rFonts w:cs="Arial"/>
              </w:rPr>
            </w:pPr>
          </w:p>
          <w:p w14:paraId="48404030" w14:textId="77777777" w:rsidR="0025461D" w:rsidRPr="007763D2" w:rsidRDefault="0025461D" w:rsidP="007763D2">
            <w:pPr>
              <w:jc w:val="both"/>
              <w:rPr>
                <w:rFonts w:cs="Arial"/>
              </w:rPr>
            </w:pPr>
            <w:r w:rsidRPr="007763D2">
              <w:rPr>
                <w:rFonts w:cs="Arial"/>
              </w:rPr>
              <w:t>Those results allow to show that the active substance L-(+)-lactic acid is expected to be stable for a period of two years of storage at ambient temperature and that the acidity (only relevant parameter not assessed in the currently available long term study) increases in accordance with the degradation pattern or iodine to reach values that remain low.</w:t>
            </w:r>
          </w:p>
          <w:p w14:paraId="63EB45A8" w14:textId="77777777" w:rsidR="0025461D" w:rsidRPr="007763D2" w:rsidRDefault="0025461D" w:rsidP="007763D2">
            <w:pPr>
              <w:jc w:val="both"/>
              <w:rPr>
                <w:rFonts w:cs="Arial"/>
              </w:rPr>
            </w:pPr>
            <w:r w:rsidRPr="007763D2">
              <w:rPr>
                <w:rFonts w:cs="Arial"/>
              </w:rPr>
              <w:t>Also, iodine degrades in the most part (&gt; 90%) into iodide. Since, in the risk assessments, both iodine and iodide have been taken into account and the total content of the two cannot increase during storage, the increasing presence of iodide in the product during storage does not cause additional unacceptable risks for human health or the environment.</w:t>
            </w:r>
          </w:p>
          <w:p w14:paraId="53DC1E2A" w14:textId="77777777" w:rsidR="0025461D" w:rsidRPr="007763D2" w:rsidRDefault="0025461D" w:rsidP="007763D2">
            <w:pPr>
              <w:jc w:val="both"/>
              <w:rPr>
                <w:rFonts w:cs="Arial"/>
              </w:rPr>
            </w:pPr>
          </w:p>
          <w:p w14:paraId="72696E2F" w14:textId="224F47B8" w:rsidR="0025461D" w:rsidRPr="00C00A2E" w:rsidRDefault="0025461D" w:rsidP="007763D2">
            <w:pPr>
              <w:jc w:val="both"/>
              <w:rPr>
                <w:rFonts w:cs="Arial"/>
              </w:rPr>
            </w:pPr>
            <w:r w:rsidRPr="007763D2">
              <w:rPr>
                <w:rFonts w:cs="Arial"/>
              </w:rPr>
              <w:t>Therefore, the defining factor for the shelf-life of the product will be the losses of iodine during storage, and their impact on the efficacy of the product (see long term storage below).</w:t>
            </w:r>
          </w:p>
        </w:tc>
        <w:tc>
          <w:tcPr>
            <w:tcW w:w="612" w:type="dxa"/>
            <w:vAlign w:val="center"/>
          </w:tcPr>
          <w:p w14:paraId="51B4F390" w14:textId="77777777" w:rsidR="0025461D" w:rsidRPr="00C00A2E" w:rsidRDefault="0025461D" w:rsidP="0025461D">
            <w:pPr>
              <w:jc w:val="center"/>
              <w:rPr>
                <w:rFonts w:cs="Arial"/>
              </w:rPr>
            </w:pPr>
            <w:r w:rsidRPr="00C00A2E">
              <w:rPr>
                <w:rFonts w:cs="Arial"/>
              </w:rPr>
              <w:lastRenderedPageBreak/>
              <w:t>-</w:t>
            </w:r>
          </w:p>
        </w:tc>
        <w:tc>
          <w:tcPr>
            <w:tcW w:w="1435" w:type="dxa"/>
            <w:vAlign w:val="center"/>
          </w:tcPr>
          <w:p w14:paraId="0C82FE6F" w14:textId="77777777" w:rsidR="0025461D" w:rsidRPr="00634F50" w:rsidRDefault="0025461D" w:rsidP="0025461D">
            <w:pPr>
              <w:rPr>
                <w:rFonts w:cs="Arial"/>
              </w:rPr>
            </w:pPr>
            <w:r w:rsidRPr="007763D2">
              <w:rPr>
                <w:rFonts w:cs="Arial"/>
              </w:rPr>
              <w:t>P</w:t>
            </w:r>
            <w:r w:rsidRPr="00634F50">
              <w:rPr>
                <w:rFonts w:cs="Arial"/>
              </w:rPr>
              <w:t>. Padilla, 2020</w:t>
            </w:r>
          </w:p>
          <w:p w14:paraId="25F0CA22" w14:textId="567F349C" w:rsidR="0025461D" w:rsidRPr="00C00A2E" w:rsidRDefault="0025461D" w:rsidP="0025461D">
            <w:pPr>
              <w:rPr>
                <w:rFonts w:cs="Arial"/>
              </w:rPr>
            </w:pPr>
            <w:r w:rsidRPr="00634F50">
              <w:rPr>
                <w:rFonts w:cs="Arial"/>
              </w:rPr>
              <w:t>Report N°20-912017-004</w:t>
            </w:r>
          </w:p>
        </w:tc>
        <w:tc>
          <w:tcPr>
            <w:tcW w:w="2652" w:type="dxa"/>
            <w:vAlign w:val="center"/>
          </w:tcPr>
          <w:p w14:paraId="6DE6BA61" w14:textId="7C2E31B4" w:rsidR="0025461D" w:rsidRDefault="0025461D" w:rsidP="0025461D">
            <w:pPr>
              <w:rPr>
                <w:rFonts w:cs="Arial"/>
              </w:rPr>
            </w:pPr>
            <w:r>
              <w:rPr>
                <w:rFonts w:cs="Arial"/>
              </w:rPr>
              <w:t>Content of iodine decrease of 86% after accelerated storage.</w:t>
            </w:r>
          </w:p>
          <w:p w14:paraId="218746A1" w14:textId="2AB7E058" w:rsidR="0025461D" w:rsidRPr="00E951AF" w:rsidRDefault="0025461D" w:rsidP="00767B3D">
            <w:pPr>
              <w:rPr>
                <w:rFonts w:cs="Arial"/>
              </w:rPr>
            </w:pPr>
            <w:r>
              <w:rPr>
                <w:rFonts w:cs="Arial"/>
              </w:rPr>
              <w:t xml:space="preserve">The product </w:t>
            </w:r>
            <w:r w:rsidR="00540758">
              <w:rPr>
                <w:rFonts w:cs="Arial"/>
              </w:rPr>
              <w:t>should be</w:t>
            </w:r>
            <w:r w:rsidRPr="003535FE">
              <w:rPr>
                <w:rFonts w:cs="Arial"/>
              </w:rPr>
              <w:t xml:space="preserve"> store</w:t>
            </w:r>
            <w:r w:rsidR="00540758">
              <w:rPr>
                <w:rFonts w:cs="Arial"/>
              </w:rPr>
              <w:t>d</w:t>
            </w:r>
            <w:r w:rsidRPr="003535FE">
              <w:rPr>
                <w:rFonts w:cs="Arial"/>
              </w:rPr>
              <w:t xml:space="preserve"> at a temperature </w:t>
            </w:r>
            <w:r w:rsidR="00767B3D">
              <w:rPr>
                <w:rFonts w:cs="Arial"/>
              </w:rPr>
              <w:t>below</w:t>
            </w:r>
            <w:r w:rsidR="00767B3D" w:rsidRPr="003535FE">
              <w:rPr>
                <w:rFonts w:cs="Arial"/>
              </w:rPr>
              <w:t xml:space="preserve"> </w:t>
            </w:r>
            <w:r w:rsidR="000F37D8">
              <w:rPr>
                <w:rFonts w:cs="Arial"/>
              </w:rPr>
              <w:t>25</w:t>
            </w:r>
            <w:r w:rsidRPr="003535FE">
              <w:rPr>
                <w:rFonts w:cs="Arial"/>
              </w:rPr>
              <w:t>°C.</w:t>
            </w:r>
          </w:p>
        </w:tc>
      </w:tr>
      <w:tr w:rsidR="009F1A2F" w:rsidRPr="00D749ED" w14:paraId="41BACCAE" w14:textId="77777777" w:rsidTr="009F1A2F">
        <w:trPr>
          <w:trHeight w:val="88"/>
          <w:jc w:val="center"/>
        </w:trPr>
        <w:tc>
          <w:tcPr>
            <w:tcW w:w="1737" w:type="dxa"/>
            <w:vAlign w:val="center"/>
          </w:tcPr>
          <w:p w14:paraId="6003F623" w14:textId="77777777" w:rsidR="009F1A2F" w:rsidRPr="00C00A2E" w:rsidRDefault="009F1A2F" w:rsidP="009F1A2F">
            <w:pPr>
              <w:jc w:val="center"/>
              <w:rPr>
                <w:rFonts w:cs="Arial"/>
              </w:rPr>
            </w:pPr>
            <w:r w:rsidRPr="00C00A2E">
              <w:rPr>
                <w:rFonts w:cs="Arial"/>
              </w:rPr>
              <w:lastRenderedPageBreak/>
              <w:t xml:space="preserve">Storage stability test – </w:t>
            </w:r>
            <w:r w:rsidRPr="00C00A2E">
              <w:rPr>
                <w:rFonts w:cs="Arial"/>
                <w:b/>
              </w:rPr>
              <w:t>long term storage at ambient temperature</w:t>
            </w:r>
          </w:p>
        </w:tc>
        <w:tc>
          <w:tcPr>
            <w:tcW w:w="1251" w:type="dxa"/>
            <w:vAlign w:val="center"/>
          </w:tcPr>
          <w:p w14:paraId="130673DC" w14:textId="77777777" w:rsidR="009F1A2F" w:rsidRPr="00EC6CB5" w:rsidRDefault="009F1A2F" w:rsidP="009F1A2F">
            <w:pPr>
              <w:jc w:val="center"/>
              <w:rPr>
                <w:rFonts w:cs="Arial"/>
                <w:lang w:val="fr-FR"/>
              </w:rPr>
            </w:pPr>
            <w:r w:rsidRPr="00EC6CB5">
              <w:rPr>
                <w:rFonts w:cs="Arial"/>
                <w:lang w:val="fr-FR"/>
              </w:rPr>
              <w:t>OECD 109 CIPAC MT 75.3</w:t>
            </w:r>
          </w:p>
          <w:p w14:paraId="79977BE9" w14:textId="77777777" w:rsidR="009F1A2F" w:rsidRPr="00EC6CB5" w:rsidRDefault="009F1A2F" w:rsidP="009F1A2F">
            <w:pPr>
              <w:jc w:val="center"/>
              <w:rPr>
                <w:rFonts w:cs="Arial"/>
                <w:lang w:val="fr-FR"/>
              </w:rPr>
            </w:pPr>
            <w:r w:rsidRPr="00EC6CB5">
              <w:rPr>
                <w:rFonts w:cs="Arial"/>
                <w:lang w:val="fr-FR"/>
              </w:rPr>
              <w:t>OECD 114</w:t>
            </w:r>
          </w:p>
          <w:p w14:paraId="4379944D" w14:textId="77777777" w:rsidR="009F1A2F" w:rsidRPr="00EC6CB5" w:rsidRDefault="009F1A2F" w:rsidP="009F1A2F">
            <w:pPr>
              <w:jc w:val="center"/>
              <w:rPr>
                <w:rFonts w:cs="Arial"/>
                <w:lang w:val="fr-FR"/>
              </w:rPr>
            </w:pPr>
          </w:p>
          <w:p w14:paraId="2A3B3527" w14:textId="77777777" w:rsidR="009F1A2F" w:rsidRPr="00EC6CB5" w:rsidRDefault="009F1A2F" w:rsidP="009F1A2F">
            <w:pPr>
              <w:jc w:val="center"/>
              <w:rPr>
                <w:rFonts w:cs="Arial"/>
                <w:lang w:val="fr-FR"/>
              </w:rPr>
            </w:pPr>
          </w:p>
          <w:p w14:paraId="3C72D137" w14:textId="77777777" w:rsidR="009F1A2F" w:rsidRPr="00C00A2E" w:rsidRDefault="009F1A2F" w:rsidP="009F1A2F">
            <w:pPr>
              <w:jc w:val="center"/>
              <w:rPr>
                <w:rFonts w:cs="Arial"/>
                <w:lang w:val="fr-FR"/>
              </w:rPr>
            </w:pPr>
            <w:r w:rsidRPr="00EC6CB5">
              <w:rPr>
                <w:rFonts w:cs="Arial"/>
                <w:lang w:val="fr-FR"/>
              </w:rPr>
              <w:t>Titrimetric quantificatio</w:t>
            </w:r>
            <w:r w:rsidRPr="00C00A2E">
              <w:rPr>
                <w:rFonts w:cs="Arial"/>
                <w:lang w:val="fr-FR"/>
              </w:rPr>
              <w:t xml:space="preserve">n of total iodine: « dosage </w:t>
            </w:r>
            <w:r w:rsidRPr="00C00A2E">
              <w:rPr>
                <w:rFonts w:cs="Arial"/>
                <w:lang w:val="fr-FR"/>
              </w:rPr>
              <w:lastRenderedPageBreak/>
              <w:t>de l’iode actif”</w:t>
            </w:r>
          </w:p>
        </w:tc>
        <w:tc>
          <w:tcPr>
            <w:tcW w:w="1391" w:type="dxa"/>
            <w:vAlign w:val="center"/>
          </w:tcPr>
          <w:p w14:paraId="1BD0FFBA" w14:textId="77777777" w:rsidR="009F1A2F" w:rsidRPr="00C00A2E" w:rsidRDefault="009F1A2F" w:rsidP="009F1A2F">
            <w:pPr>
              <w:jc w:val="center"/>
              <w:rPr>
                <w:rFonts w:cs="Arial"/>
              </w:rPr>
            </w:pPr>
            <w:r w:rsidRPr="00C00A2E">
              <w:rPr>
                <w:rFonts w:cs="Arial"/>
              </w:rPr>
              <w:lastRenderedPageBreak/>
              <w:t>ALGOFILM</w:t>
            </w:r>
          </w:p>
          <w:p w14:paraId="3BEF46C1" w14:textId="77777777" w:rsidR="009F1A2F" w:rsidRPr="00C00A2E" w:rsidRDefault="009F1A2F" w:rsidP="009F1A2F">
            <w:pPr>
              <w:jc w:val="center"/>
              <w:rPr>
                <w:rFonts w:cs="Arial"/>
                <w:lang w:val="fr-FR"/>
              </w:rPr>
            </w:pPr>
            <w:r w:rsidRPr="00C00A2E">
              <w:rPr>
                <w:rFonts w:cs="Arial"/>
              </w:rPr>
              <w:t>Batch 13001002</w:t>
            </w:r>
          </w:p>
        </w:tc>
        <w:tc>
          <w:tcPr>
            <w:tcW w:w="5840" w:type="dxa"/>
            <w:vAlign w:val="center"/>
          </w:tcPr>
          <w:p w14:paraId="657A3F31" w14:textId="7352F932" w:rsidR="009F1A2F" w:rsidRPr="00C00A2E" w:rsidRDefault="009F1A2F" w:rsidP="007763D2">
            <w:pPr>
              <w:jc w:val="both"/>
              <w:rPr>
                <w:rFonts w:cs="Arial"/>
                <w:lang w:val="en-US"/>
              </w:rPr>
            </w:pPr>
            <w:r w:rsidRPr="00C00A2E">
              <w:rPr>
                <w:rFonts w:cs="Arial"/>
                <w:lang w:val="en-US"/>
              </w:rPr>
              <w:t xml:space="preserve">The storage stability study was conducted during 24 months at ambient temperature (within the range </w:t>
            </w:r>
            <w:r w:rsidRPr="00C00A2E">
              <w:rPr>
                <w:rFonts w:ascii="Arial" w:hAnsi="Arial" w:cs="Arial"/>
              </w:rPr>
              <w:t>15 - 25 °</w:t>
            </w:r>
            <w:r>
              <w:rPr>
                <w:rFonts w:ascii="Arial" w:hAnsi="Arial" w:cs="Arial"/>
              </w:rPr>
              <w:t xml:space="preserve">C) </w:t>
            </w:r>
            <w:r w:rsidRPr="002B76E1">
              <w:rPr>
                <w:rFonts w:cs="Arial"/>
              </w:rPr>
              <w:t>in 20kg black, opaque, HDPE can</w:t>
            </w:r>
          </w:p>
          <w:p w14:paraId="1DD715EA" w14:textId="77777777" w:rsidR="009F1A2F" w:rsidRPr="00C5280C" w:rsidRDefault="009F1A2F" w:rsidP="009F1A2F">
            <w:pPr>
              <w:jc w:val="center"/>
              <w:rPr>
                <w:rFonts w:cs="Arial"/>
                <w:sz w:val="18"/>
                <w:szCs w:val="18"/>
                <w:lang w:val="en-US"/>
              </w:rPr>
            </w:pPr>
          </w:p>
          <w:tbl>
            <w:tblPr>
              <w:tblStyle w:val="Grilledutableau"/>
              <w:tblW w:w="5774" w:type="dxa"/>
              <w:jc w:val="center"/>
              <w:tblLayout w:type="fixed"/>
              <w:tblLook w:val="04A0" w:firstRow="1" w:lastRow="0" w:firstColumn="1" w:lastColumn="0" w:noHBand="0" w:noVBand="1"/>
            </w:tblPr>
            <w:tblGrid>
              <w:gridCol w:w="1204"/>
              <w:gridCol w:w="1033"/>
              <w:gridCol w:w="1178"/>
              <w:gridCol w:w="1180"/>
              <w:gridCol w:w="1179"/>
            </w:tblGrid>
            <w:tr w:rsidR="009F1A2F" w:rsidRPr="00D749ED" w14:paraId="5A7478C7" w14:textId="77777777" w:rsidTr="009F1A2F">
              <w:trPr>
                <w:trHeight w:val="143"/>
                <w:jc w:val="center"/>
              </w:trPr>
              <w:tc>
                <w:tcPr>
                  <w:tcW w:w="1204" w:type="dxa"/>
                  <w:vAlign w:val="center"/>
                </w:tcPr>
                <w:p w14:paraId="5F70870D" w14:textId="77777777" w:rsidR="009F1A2F" w:rsidRPr="00C5280C" w:rsidRDefault="009F1A2F" w:rsidP="009F1A2F">
                  <w:pPr>
                    <w:jc w:val="center"/>
                    <w:rPr>
                      <w:rFonts w:cs="Arial"/>
                      <w:sz w:val="16"/>
                      <w:szCs w:val="16"/>
                      <w:lang w:val="en-US"/>
                    </w:rPr>
                  </w:pPr>
                </w:p>
              </w:tc>
              <w:tc>
                <w:tcPr>
                  <w:tcW w:w="1033" w:type="dxa"/>
                  <w:vAlign w:val="center"/>
                </w:tcPr>
                <w:p w14:paraId="7AF9DDC7" w14:textId="77777777" w:rsidR="009F1A2F" w:rsidRPr="00D749ED" w:rsidRDefault="009F1A2F" w:rsidP="009F1A2F">
                  <w:pPr>
                    <w:jc w:val="center"/>
                    <w:rPr>
                      <w:rFonts w:cs="Arial"/>
                      <w:b/>
                      <w:sz w:val="16"/>
                      <w:szCs w:val="16"/>
                    </w:rPr>
                  </w:pPr>
                  <w:r w:rsidRPr="00D749ED">
                    <w:rPr>
                      <w:rFonts w:cs="Arial"/>
                      <w:b/>
                      <w:sz w:val="16"/>
                      <w:szCs w:val="16"/>
                    </w:rPr>
                    <w:t>Initial</w:t>
                  </w:r>
                </w:p>
              </w:tc>
              <w:tc>
                <w:tcPr>
                  <w:tcW w:w="1178" w:type="dxa"/>
                  <w:vAlign w:val="center"/>
                </w:tcPr>
                <w:p w14:paraId="5EBE1640" w14:textId="77777777" w:rsidR="009F1A2F" w:rsidRPr="00D749ED" w:rsidRDefault="009F1A2F" w:rsidP="009F1A2F">
                  <w:pPr>
                    <w:jc w:val="center"/>
                    <w:rPr>
                      <w:rFonts w:cs="Arial"/>
                      <w:b/>
                      <w:sz w:val="16"/>
                      <w:szCs w:val="16"/>
                    </w:rPr>
                  </w:pPr>
                  <w:r>
                    <w:rPr>
                      <w:rFonts w:cs="Arial"/>
                      <w:b/>
                      <w:sz w:val="16"/>
                      <w:szCs w:val="16"/>
                    </w:rPr>
                    <w:t>After 6 months</w:t>
                  </w:r>
                </w:p>
              </w:tc>
              <w:tc>
                <w:tcPr>
                  <w:tcW w:w="1180" w:type="dxa"/>
                  <w:vAlign w:val="center"/>
                </w:tcPr>
                <w:p w14:paraId="3D6871F0" w14:textId="77777777" w:rsidR="009F1A2F" w:rsidRPr="00CB657A" w:rsidRDefault="009F1A2F" w:rsidP="009F1A2F">
                  <w:pPr>
                    <w:jc w:val="center"/>
                    <w:rPr>
                      <w:rFonts w:cs="Arial"/>
                      <w:b/>
                      <w:sz w:val="16"/>
                      <w:szCs w:val="16"/>
                      <w:lang w:val="en-US"/>
                    </w:rPr>
                  </w:pPr>
                  <w:r w:rsidRPr="00CB657A">
                    <w:rPr>
                      <w:rFonts w:cs="Arial"/>
                      <w:b/>
                      <w:sz w:val="16"/>
                      <w:szCs w:val="16"/>
                      <w:lang w:val="en-US"/>
                    </w:rPr>
                    <w:t>After 1 year in opaque HDPE</w:t>
                  </w:r>
                </w:p>
              </w:tc>
              <w:tc>
                <w:tcPr>
                  <w:tcW w:w="1179" w:type="dxa"/>
                </w:tcPr>
                <w:p w14:paraId="6AE7D21C" w14:textId="77777777" w:rsidR="009F1A2F" w:rsidRPr="00CB657A" w:rsidRDefault="009F1A2F" w:rsidP="009F1A2F">
                  <w:pPr>
                    <w:jc w:val="center"/>
                    <w:rPr>
                      <w:rFonts w:cs="Arial"/>
                      <w:b/>
                      <w:sz w:val="16"/>
                      <w:szCs w:val="16"/>
                      <w:lang w:val="en-US"/>
                    </w:rPr>
                  </w:pPr>
                  <w:r w:rsidRPr="00CB657A">
                    <w:rPr>
                      <w:rFonts w:cs="Arial"/>
                      <w:b/>
                      <w:sz w:val="16"/>
                      <w:szCs w:val="16"/>
                      <w:lang w:val="en-US"/>
                    </w:rPr>
                    <w:t xml:space="preserve">After </w:t>
                  </w:r>
                  <w:r>
                    <w:rPr>
                      <w:rFonts w:cs="Arial"/>
                      <w:b/>
                      <w:sz w:val="16"/>
                      <w:szCs w:val="16"/>
                      <w:lang w:val="en-US"/>
                    </w:rPr>
                    <w:t>2</w:t>
                  </w:r>
                  <w:r w:rsidRPr="00CB657A">
                    <w:rPr>
                      <w:rFonts w:cs="Arial"/>
                      <w:b/>
                      <w:sz w:val="16"/>
                      <w:szCs w:val="16"/>
                      <w:lang w:val="en-US"/>
                    </w:rPr>
                    <w:t xml:space="preserve"> year</w:t>
                  </w:r>
                  <w:r>
                    <w:rPr>
                      <w:rFonts w:cs="Arial"/>
                      <w:b/>
                      <w:sz w:val="16"/>
                      <w:szCs w:val="16"/>
                      <w:lang w:val="en-US"/>
                    </w:rPr>
                    <w:t>s</w:t>
                  </w:r>
                  <w:r w:rsidRPr="00CB657A">
                    <w:rPr>
                      <w:rFonts w:cs="Arial"/>
                      <w:b/>
                      <w:sz w:val="16"/>
                      <w:szCs w:val="16"/>
                      <w:lang w:val="en-US"/>
                    </w:rPr>
                    <w:t xml:space="preserve"> in opaque HDPE</w:t>
                  </w:r>
                </w:p>
              </w:tc>
            </w:tr>
            <w:tr w:rsidR="009F1A2F" w:rsidRPr="00D749ED" w14:paraId="659116D3" w14:textId="77777777" w:rsidTr="009F1A2F">
              <w:trPr>
                <w:trHeight w:val="143"/>
                <w:jc w:val="center"/>
              </w:trPr>
              <w:tc>
                <w:tcPr>
                  <w:tcW w:w="1204" w:type="dxa"/>
                  <w:vAlign w:val="center"/>
                </w:tcPr>
                <w:p w14:paraId="414A46D4" w14:textId="77777777" w:rsidR="009F1A2F" w:rsidRPr="00D749ED" w:rsidRDefault="009F1A2F" w:rsidP="009F1A2F">
                  <w:pPr>
                    <w:jc w:val="center"/>
                    <w:rPr>
                      <w:rFonts w:cs="Arial"/>
                      <w:sz w:val="16"/>
                      <w:szCs w:val="16"/>
                    </w:rPr>
                  </w:pPr>
                  <w:r w:rsidRPr="00D749ED">
                    <w:rPr>
                      <w:rFonts w:cs="Arial"/>
                      <w:b/>
                      <w:sz w:val="16"/>
                      <w:szCs w:val="16"/>
                    </w:rPr>
                    <w:t>Active ingredient content</w:t>
                  </w:r>
                  <w:r w:rsidRPr="00D749ED">
                    <w:rPr>
                      <w:rFonts w:cs="Arial"/>
                      <w:sz w:val="16"/>
                      <w:szCs w:val="16"/>
                    </w:rPr>
                    <w:t xml:space="preserve"> (total active iodine)</w:t>
                  </w:r>
                </w:p>
              </w:tc>
              <w:tc>
                <w:tcPr>
                  <w:tcW w:w="1033" w:type="dxa"/>
                  <w:vAlign w:val="center"/>
                </w:tcPr>
                <w:p w14:paraId="598C195E" w14:textId="77777777" w:rsidR="009F1A2F" w:rsidRPr="00FE4C53" w:rsidRDefault="009F1A2F" w:rsidP="009F1A2F">
                  <w:pPr>
                    <w:jc w:val="center"/>
                    <w:rPr>
                      <w:rFonts w:cs="Arial"/>
                      <w:sz w:val="16"/>
                      <w:szCs w:val="16"/>
                      <w:lang w:val="en-US"/>
                    </w:rPr>
                  </w:pPr>
                  <w:r w:rsidRPr="00FE4C53">
                    <w:rPr>
                      <w:rFonts w:cs="Arial"/>
                      <w:sz w:val="16"/>
                      <w:szCs w:val="16"/>
                      <w:lang w:val="en-US"/>
                    </w:rPr>
                    <w:t>0.</w:t>
                  </w:r>
                  <w:r>
                    <w:rPr>
                      <w:rFonts w:cs="Arial"/>
                      <w:sz w:val="16"/>
                      <w:szCs w:val="16"/>
                      <w:lang w:val="en-US"/>
                    </w:rPr>
                    <w:t>1030</w:t>
                  </w:r>
                  <w:r w:rsidRPr="00FE4C53">
                    <w:rPr>
                      <w:rFonts w:cs="Arial"/>
                      <w:sz w:val="16"/>
                      <w:szCs w:val="16"/>
                      <w:lang w:val="en-US"/>
                    </w:rPr>
                    <w:t>% w/w</w:t>
                  </w:r>
                </w:p>
              </w:tc>
              <w:tc>
                <w:tcPr>
                  <w:tcW w:w="1178" w:type="dxa"/>
                  <w:vAlign w:val="center"/>
                </w:tcPr>
                <w:p w14:paraId="6EB609A1" w14:textId="77777777" w:rsidR="009F1A2F" w:rsidRDefault="009F1A2F" w:rsidP="009F1A2F">
                  <w:pPr>
                    <w:jc w:val="center"/>
                    <w:rPr>
                      <w:rFonts w:cs="Arial"/>
                      <w:sz w:val="16"/>
                      <w:szCs w:val="16"/>
                      <w:lang w:val="en-US"/>
                    </w:rPr>
                  </w:pPr>
                  <w:r w:rsidRPr="00FE4C53">
                    <w:rPr>
                      <w:rFonts w:cs="Arial"/>
                      <w:sz w:val="16"/>
                      <w:szCs w:val="16"/>
                      <w:lang w:val="en-US"/>
                    </w:rPr>
                    <w:t>0.</w:t>
                  </w:r>
                  <w:r>
                    <w:rPr>
                      <w:rFonts w:cs="Arial"/>
                      <w:sz w:val="16"/>
                      <w:szCs w:val="16"/>
                      <w:lang w:val="en-US"/>
                    </w:rPr>
                    <w:t>0915</w:t>
                  </w:r>
                  <w:r w:rsidRPr="00FE4C53">
                    <w:rPr>
                      <w:rFonts w:cs="Arial"/>
                      <w:sz w:val="16"/>
                      <w:szCs w:val="16"/>
                      <w:lang w:val="en-US"/>
                    </w:rPr>
                    <w:t>% w/w</w:t>
                  </w:r>
                </w:p>
                <w:p w14:paraId="589C6790" w14:textId="77777777" w:rsidR="009F1A2F" w:rsidRPr="00FE4C53" w:rsidRDefault="009F1A2F" w:rsidP="009F1A2F">
                  <w:pPr>
                    <w:jc w:val="center"/>
                    <w:rPr>
                      <w:rFonts w:cs="Arial"/>
                      <w:sz w:val="16"/>
                      <w:szCs w:val="16"/>
                      <w:lang w:val="en-US"/>
                    </w:rPr>
                  </w:pPr>
                  <w:r w:rsidRPr="00FE4C53">
                    <w:rPr>
                      <w:rFonts w:cs="Arial"/>
                      <w:sz w:val="16"/>
                      <w:szCs w:val="16"/>
                      <w:lang w:val="en-US"/>
                    </w:rPr>
                    <w:t>(-</w:t>
                  </w:r>
                  <w:r>
                    <w:rPr>
                      <w:rFonts w:cs="Arial"/>
                      <w:sz w:val="16"/>
                      <w:szCs w:val="16"/>
                      <w:lang w:val="en-US"/>
                    </w:rPr>
                    <w:t>11</w:t>
                  </w:r>
                  <w:r w:rsidRPr="00FE4C53">
                    <w:rPr>
                      <w:rFonts w:cs="Arial"/>
                      <w:sz w:val="16"/>
                      <w:szCs w:val="16"/>
                      <w:lang w:val="en-US"/>
                    </w:rPr>
                    <w:t>%)</w:t>
                  </w:r>
                </w:p>
              </w:tc>
              <w:tc>
                <w:tcPr>
                  <w:tcW w:w="1180" w:type="dxa"/>
                  <w:vAlign w:val="center"/>
                </w:tcPr>
                <w:p w14:paraId="033DE5BE" w14:textId="77777777" w:rsidR="009F1A2F" w:rsidRPr="00FE4C53" w:rsidRDefault="009F1A2F" w:rsidP="009F1A2F">
                  <w:pPr>
                    <w:jc w:val="center"/>
                    <w:rPr>
                      <w:rFonts w:cs="Arial"/>
                      <w:sz w:val="16"/>
                      <w:szCs w:val="16"/>
                      <w:lang w:val="en-US"/>
                    </w:rPr>
                  </w:pPr>
                  <w:r w:rsidRPr="00FE4C53">
                    <w:rPr>
                      <w:rFonts w:cs="Arial"/>
                      <w:sz w:val="16"/>
                      <w:szCs w:val="16"/>
                      <w:lang w:val="en-US"/>
                    </w:rPr>
                    <w:t>0.0</w:t>
                  </w:r>
                  <w:r>
                    <w:rPr>
                      <w:rFonts w:cs="Arial"/>
                      <w:sz w:val="16"/>
                      <w:szCs w:val="16"/>
                      <w:lang w:val="en-US"/>
                    </w:rPr>
                    <w:t>723</w:t>
                  </w:r>
                  <w:r w:rsidRPr="00FE4C53">
                    <w:rPr>
                      <w:rFonts w:cs="Arial"/>
                      <w:sz w:val="16"/>
                      <w:szCs w:val="16"/>
                      <w:lang w:val="en-US"/>
                    </w:rPr>
                    <w:t>% w/w</w:t>
                  </w:r>
                </w:p>
                <w:p w14:paraId="78A3691C" w14:textId="77777777" w:rsidR="009F1A2F" w:rsidRPr="00FE4C53" w:rsidRDefault="009F1A2F" w:rsidP="009F1A2F">
                  <w:pPr>
                    <w:jc w:val="center"/>
                    <w:rPr>
                      <w:rFonts w:cs="Arial"/>
                      <w:sz w:val="16"/>
                      <w:szCs w:val="16"/>
                      <w:lang w:val="en-US"/>
                    </w:rPr>
                  </w:pPr>
                  <w:r>
                    <w:rPr>
                      <w:rFonts w:cs="Arial"/>
                      <w:sz w:val="16"/>
                      <w:szCs w:val="16"/>
                      <w:lang w:val="en-US"/>
                    </w:rPr>
                    <w:t>(-30</w:t>
                  </w:r>
                  <w:r w:rsidRPr="00FE4C53">
                    <w:rPr>
                      <w:rFonts w:cs="Arial"/>
                      <w:sz w:val="16"/>
                      <w:szCs w:val="16"/>
                      <w:lang w:val="en-US"/>
                    </w:rPr>
                    <w:t>%)</w:t>
                  </w:r>
                </w:p>
              </w:tc>
              <w:tc>
                <w:tcPr>
                  <w:tcW w:w="1179" w:type="dxa"/>
                  <w:vAlign w:val="center"/>
                </w:tcPr>
                <w:p w14:paraId="30045521" w14:textId="77777777" w:rsidR="009F1A2F" w:rsidRPr="00FE4C53" w:rsidRDefault="009F1A2F" w:rsidP="009F1A2F">
                  <w:pPr>
                    <w:jc w:val="center"/>
                    <w:rPr>
                      <w:rFonts w:cs="Arial"/>
                      <w:sz w:val="16"/>
                      <w:szCs w:val="16"/>
                      <w:lang w:val="en-US"/>
                    </w:rPr>
                  </w:pPr>
                  <w:r w:rsidRPr="00FE4C53">
                    <w:rPr>
                      <w:rFonts w:cs="Arial"/>
                      <w:sz w:val="16"/>
                      <w:szCs w:val="16"/>
                      <w:lang w:val="en-US"/>
                    </w:rPr>
                    <w:t>0.0</w:t>
                  </w:r>
                  <w:r>
                    <w:rPr>
                      <w:rFonts w:cs="Arial"/>
                      <w:sz w:val="16"/>
                      <w:szCs w:val="16"/>
                      <w:lang w:val="en-US"/>
                    </w:rPr>
                    <w:t>463</w:t>
                  </w:r>
                  <w:r w:rsidRPr="00FE4C53">
                    <w:rPr>
                      <w:rFonts w:cs="Arial"/>
                      <w:sz w:val="16"/>
                      <w:szCs w:val="16"/>
                      <w:lang w:val="en-US"/>
                    </w:rPr>
                    <w:t>% w/w</w:t>
                  </w:r>
                </w:p>
                <w:p w14:paraId="3142AA6E" w14:textId="77777777" w:rsidR="009F1A2F" w:rsidRPr="00FE4C53" w:rsidRDefault="009F1A2F" w:rsidP="009F1A2F">
                  <w:pPr>
                    <w:jc w:val="center"/>
                    <w:rPr>
                      <w:rFonts w:cs="Arial"/>
                      <w:sz w:val="16"/>
                      <w:szCs w:val="16"/>
                      <w:lang w:val="en-US"/>
                    </w:rPr>
                  </w:pPr>
                  <w:r>
                    <w:rPr>
                      <w:rFonts w:cs="Arial"/>
                      <w:sz w:val="16"/>
                      <w:szCs w:val="16"/>
                      <w:lang w:val="en-US"/>
                    </w:rPr>
                    <w:t>(-55</w:t>
                  </w:r>
                  <w:r w:rsidRPr="00FE4C53">
                    <w:rPr>
                      <w:rFonts w:cs="Arial"/>
                      <w:sz w:val="16"/>
                      <w:szCs w:val="16"/>
                      <w:lang w:val="en-US"/>
                    </w:rPr>
                    <w:t>%)</w:t>
                  </w:r>
                </w:p>
              </w:tc>
            </w:tr>
            <w:tr w:rsidR="009F1A2F" w:rsidRPr="00D749ED" w14:paraId="60E39C38" w14:textId="77777777" w:rsidTr="009F1A2F">
              <w:trPr>
                <w:trHeight w:val="143"/>
                <w:jc w:val="center"/>
              </w:trPr>
              <w:tc>
                <w:tcPr>
                  <w:tcW w:w="1204" w:type="dxa"/>
                  <w:vAlign w:val="center"/>
                </w:tcPr>
                <w:p w14:paraId="0A2586D4" w14:textId="77777777" w:rsidR="009F1A2F" w:rsidRDefault="009F1A2F" w:rsidP="009F1A2F">
                  <w:pPr>
                    <w:jc w:val="center"/>
                    <w:rPr>
                      <w:rFonts w:cs="Arial"/>
                      <w:sz w:val="16"/>
                      <w:szCs w:val="16"/>
                    </w:rPr>
                  </w:pPr>
                  <w:r w:rsidRPr="00D749ED">
                    <w:rPr>
                      <w:rFonts w:cs="Arial"/>
                      <w:b/>
                      <w:sz w:val="16"/>
                      <w:szCs w:val="16"/>
                    </w:rPr>
                    <w:lastRenderedPageBreak/>
                    <w:t>Active ingredient content</w:t>
                  </w:r>
                  <w:r w:rsidRPr="00D749ED">
                    <w:rPr>
                      <w:rFonts w:cs="Arial"/>
                      <w:sz w:val="16"/>
                      <w:szCs w:val="16"/>
                    </w:rPr>
                    <w:t xml:space="preserve"> </w:t>
                  </w:r>
                </w:p>
                <w:p w14:paraId="5CB23540" w14:textId="77777777" w:rsidR="009F1A2F" w:rsidRPr="00D749ED" w:rsidRDefault="009F1A2F" w:rsidP="009F1A2F">
                  <w:pPr>
                    <w:jc w:val="center"/>
                    <w:rPr>
                      <w:rFonts w:cs="Arial"/>
                      <w:b/>
                      <w:sz w:val="16"/>
                      <w:szCs w:val="16"/>
                    </w:rPr>
                  </w:pPr>
                  <w:r w:rsidRPr="00D749ED">
                    <w:rPr>
                      <w:rFonts w:cs="Arial"/>
                      <w:sz w:val="16"/>
                      <w:szCs w:val="16"/>
                    </w:rPr>
                    <w:t>(</w:t>
                  </w:r>
                  <w:r>
                    <w:rPr>
                      <w:rFonts w:cs="Arial"/>
                      <w:sz w:val="16"/>
                      <w:szCs w:val="16"/>
                    </w:rPr>
                    <w:t>L(+)-lactic acid</w:t>
                  </w:r>
                  <w:r w:rsidRPr="00D749ED">
                    <w:rPr>
                      <w:rFonts w:cs="Arial"/>
                      <w:sz w:val="16"/>
                      <w:szCs w:val="16"/>
                    </w:rPr>
                    <w:t>)</w:t>
                  </w:r>
                </w:p>
              </w:tc>
              <w:tc>
                <w:tcPr>
                  <w:tcW w:w="1033" w:type="dxa"/>
                  <w:vAlign w:val="center"/>
                </w:tcPr>
                <w:p w14:paraId="3BB1C7F8" w14:textId="77777777" w:rsidR="009F1A2F" w:rsidRPr="00FE4C53" w:rsidRDefault="009F1A2F" w:rsidP="009F1A2F">
                  <w:pPr>
                    <w:jc w:val="center"/>
                    <w:rPr>
                      <w:rFonts w:cs="Arial"/>
                      <w:sz w:val="16"/>
                      <w:szCs w:val="16"/>
                      <w:lang w:val="en-US"/>
                    </w:rPr>
                  </w:pPr>
                  <w:r>
                    <w:rPr>
                      <w:rFonts w:cs="Arial"/>
                      <w:sz w:val="16"/>
                      <w:szCs w:val="16"/>
                      <w:lang w:val="en-US"/>
                    </w:rPr>
                    <w:t xml:space="preserve">On going </w:t>
                  </w:r>
                </w:p>
              </w:tc>
              <w:tc>
                <w:tcPr>
                  <w:tcW w:w="1178" w:type="dxa"/>
                  <w:vAlign w:val="center"/>
                </w:tcPr>
                <w:p w14:paraId="2E514844" w14:textId="77777777" w:rsidR="009F1A2F" w:rsidRPr="00FE4C53" w:rsidRDefault="009F1A2F" w:rsidP="009F1A2F">
                  <w:pPr>
                    <w:jc w:val="center"/>
                    <w:rPr>
                      <w:rFonts w:cs="Arial"/>
                      <w:sz w:val="16"/>
                      <w:szCs w:val="16"/>
                      <w:lang w:val="en-US"/>
                    </w:rPr>
                  </w:pPr>
                  <w:r>
                    <w:rPr>
                      <w:rFonts w:cs="Arial"/>
                      <w:sz w:val="16"/>
                      <w:szCs w:val="16"/>
                      <w:lang w:val="en-US"/>
                    </w:rPr>
                    <w:t>On going</w:t>
                  </w:r>
                </w:p>
              </w:tc>
              <w:tc>
                <w:tcPr>
                  <w:tcW w:w="1180" w:type="dxa"/>
                  <w:vAlign w:val="center"/>
                </w:tcPr>
                <w:p w14:paraId="7F4E2401" w14:textId="77777777" w:rsidR="009F1A2F" w:rsidRPr="00FE4C53" w:rsidRDefault="009F1A2F" w:rsidP="009F1A2F">
                  <w:pPr>
                    <w:jc w:val="center"/>
                    <w:rPr>
                      <w:rFonts w:cs="Arial"/>
                      <w:sz w:val="16"/>
                      <w:szCs w:val="16"/>
                      <w:lang w:val="en-US"/>
                    </w:rPr>
                  </w:pPr>
                  <w:r>
                    <w:rPr>
                      <w:rFonts w:cs="Arial"/>
                      <w:sz w:val="16"/>
                      <w:szCs w:val="16"/>
                      <w:lang w:val="en-US"/>
                    </w:rPr>
                    <w:t>On going</w:t>
                  </w:r>
                </w:p>
              </w:tc>
              <w:tc>
                <w:tcPr>
                  <w:tcW w:w="1179" w:type="dxa"/>
                  <w:vAlign w:val="center"/>
                </w:tcPr>
                <w:p w14:paraId="73C82941" w14:textId="77777777" w:rsidR="009F1A2F" w:rsidRPr="00FE4C53" w:rsidRDefault="009F1A2F" w:rsidP="009F1A2F">
                  <w:pPr>
                    <w:jc w:val="center"/>
                    <w:rPr>
                      <w:rFonts w:cs="Arial"/>
                      <w:sz w:val="16"/>
                      <w:szCs w:val="16"/>
                      <w:lang w:val="en-US"/>
                    </w:rPr>
                  </w:pPr>
                  <w:r>
                    <w:rPr>
                      <w:rFonts w:cs="Arial"/>
                      <w:sz w:val="16"/>
                      <w:szCs w:val="16"/>
                      <w:lang w:val="en-US"/>
                    </w:rPr>
                    <w:t>On going</w:t>
                  </w:r>
                </w:p>
              </w:tc>
            </w:tr>
            <w:tr w:rsidR="009F1A2F" w:rsidRPr="00D749ED" w14:paraId="1A330419" w14:textId="77777777" w:rsidTr="009F1A2F">
              <w:trPr>
                <w:trHeight w:val="143"/>
                <w:jc w:val="center"/>
              </w:trPr>
              <w:tc>
                <w:tcPr>
                  <w:tcW w:w="1204" w:type="dxa"/>
                  <w:vAlign w:val="center"/>
                </w:tcPr>
                <w:p w14:paraId="16ED090E" w14:textId="77777777" w:rsidR="009F1A2F" w:rsidRPr="00FE4C53" w:rsidRDefault="009F1A2F" w:rsidP="009F1A2F">
                  <w:pPr>
                    <w:ind w:left="-57"/>
                    <w:jc w:val="center"/>
                    <w:rPr>
                      <w:rFonts w:cs="Arial"/>
                      <w:b/>
                      <w:sz w:val="16"/>
                      <w:szCs w:val="16"/>
                      <w:lang w:val="en-US"/>
                    </w:rPr>
                  </w:pPr>
                  <w:r w:rsidRPr="00FE4C53">
                    <w:rPr>
                      <w:rFonts w:cs="Arial"/>
                      <w:b/>
                      <w:sz w:val="16"/>
                      <w:szCs w:val="16"/>
                      <w:lang w:val="en-US"/>
                    </w:rPr>
                    <w:t>Appearance</w:t>
                  </w:r>
                </w:p>
              </w:tc>
              <w:tc>
                <w:tcPr>
                  <w:tcW w:w="4570" w:type="dxa"/>
                  <w:gridSpan w:val="4"/>
                  <w:vAlign w:val="center"/>
                </w:tcPr>
                <w:p w14:paraId="1E812977" w14:textId="77777777" w:rsidR="009F1A2F" w:rsidRDefault="009F1A2F" w:rsidP="009F1A2F">
                  <w:pPr>
                    <w:pStyle w:val="Default"/>
                    <w:jc w:val="center"/>
                    <w:rPr>
                      <w:rFonts w:ascii="Verdana" w:hAnsi="Verdana"/>
                      <w:sz w:val="16"/>
                      <w:szCs w:val="16"/>
                      <w:lang w:val="en-US"/>
                    </w:rPr>
                  </w:pPr>
                  <w:r>
                    <w:rPr>
                      <w:rFonts w:ascii="Verdana" w:hAnsi="Verdana"/>
                      <w:sz w:val="16"/>
                      <w:szCs w:val="16"/>
                      <w:lang w:val="en-US"/>
                    </w:rPr>
                    <w:t xml:space="preserve">Formulation: </w:t>
                  </w:r>
                  <w:r w:rsidRPr="002A0DFD">
                    <w:rPr>
                      <w:rFonts w:ascii="Verdana" w:hAnsi="Verdana"/>
                      <w:sz w:val="16"/>
                      <w:szCs w:val="16"/>
                      <w:lang w:val="en-US"/>
                    </w:rPr>
                    <w:t>Viscous brown liquid</w:t>
                  </w:r>
                  <w:r w:rsidRPr="00D749ED">
                    <w:rPr>
                      <w:rFonts w:ascii="Verdana" w:hAnsi="Verdana"/>
                      <w:sz w:val="16"/>
                      <w:szCs w:val="16"/>
                      <w:lang w:val="en-US"/>
                    </w:rPr>
                    <w:t>.</w:t>
                  </w:r>
                </w:p>
                <w:p w14:paraId="5C2089BA" w14:textId="77777777" w:rsidR="009F1A2F" w:rsidRDefault="009F1A2F" w:rsidP="009F1A2F">
                  <w:pPr>
                    <w:pStyle w:val="Default"/>
                    <w:jc w:val="center"/>
                    <w:rPr>
                      <w:rFonts w:ascii="Verdana" w:hAnsi="Verdana"/>
                      <w:sz w:val="16"/>
                      <w:szCs w:val="16"/>
                      <w:lang w:val="en-US"/>
                    </w:rPr>
                  </w:pPr>
                </w:p>
                <w:p w14:paraId="67509A0E" w14:textId="77777777" w:rsidR="009F1A2F" w:rsidRPr="00D749ED" w:rsidRDefault="009F1A2F" w:rsidP="009F1A2F">
                  <w:pPr>
                    <w:pStyle w:val="Default"/>
                    <w:jc w:val="center"/>
                    <w:rPr>
                      <w:rFonts w:ascii="Verdana" w:hAnsi="Verdana"/>
                      <w:sz w:val="16"/>
                      <w:szCs w:val="16"/>
                      <w:lang w:val="en-US"/>
                    </w:rPr>
                  </w:pPr>
                  <w:r>
                    <w:rPr>
                      <w:rFonts w:ascii="Verdana" w:hAnsi="Verdana"/>
                      <w:sz w:val="16"/>
                      <w:szCs w:val="16"/>
                      <w:lang w:val="en-US"/>
                    </w:rPr>
                    <w:t xml:space="preserve">Packaging: no signs of corrosion, </w:t>
                  </w:r>
                  <w:r w:rsidRPr="002A0DFD">
                    <w:rPr>
                      <w:rFonts w:ascii="Verdana" w:hAnsi="Verdana"/>
                      <w:sz w:val="16"/>
                      <w:szCs w:val="16"/>
                      <w:lang w:val="en-US"/>
                    </w:rPr>
                    <w:t xml:space="preserve">degradation or seepage, </w:t>
                  </w:r>
                  <w:r>
                    <w:rPr>
                      <w:rFonts w:ascii="Verdana" w:hAnsi="Verdana"/>
                      <w:sz w:val="16"/>
                      <w:szCs w:val="16"/>
                      <w:lang w:val="en-US"/>
                    </w:rPr>
                    <w:t xml:space="preserve">no </w:t>
                  </w:r>
                  <w:r w:rsidRPr="002A0DFD">
                    <w:rPr>
                      <w:rFonts w:ascii="Verdana" w:hAnsi="Verdana"/>
                      <w:sz w:val="16"/>
                      <w:szCs w:val="16"/>
                      <w:lang w:val="en-US"/>
                    </w:rPr>
                    <w:t>weight change</w:t>
                  </w:r>
                  <w:r>
                    <w:rPr>
                      <w:rFonts w:ascii="Verdana" w:hAnsi="Verdana"/>
                      <w:sz w:val="16"/>
                      <w:szCs w:val="16"/>
                      <w:lang w:val="en-US"/>
                    </w:rPr>
                    <w:t>.</w:t>
                  </w:r>
                </w:p>
              </w:tc>
            </w:tr>
            <w:tr w:rsidR="009F1A2F" w:rsidRPr="00D749ED" w14:paraId="61A533A4" w14:textId="77777777" w:rsidTr="009F1A2F">
              <w:trPr>
                <w:trHeight w:val="143"/>
                <w:jc w:val="center"/>
              </w:trPr>
              <w:tc>
                <w:tcPr>
                  <w:tcW w:w="1204" w:type="dxa"/>
                  <w:vAlign w:val="center"/>
                </w:tcPr>
                <w:p w14:paraId="3230F3F9" w14:textId="77777777" w:rsidR="009F1A2F" w:rsidRPr="00D749ED" w:rsidRDefault="009F1A2F" w:rsidP="009F1A2F">
                  <w:pPr>
                    <w:jc w:val="center"/>
                    <w:rPr>
                      <w:rFonts w:cs="Arial"/>
                      <w:b/>
                      <w:sz w:val="16"/>
                      <w:szCs w:val="16"/>
                    </w:rPr>
                  </w:pPr>
                  <w:r>
                    <w:rPr>
                      <w:rFonts w:cs="Arial"/>
                      <w:b/>
                      <w:sz w:val="16"/>
                      <w:szCs w:val="16"/>
                    </w:rPr>
                    <w:t>Density (g/mL)</w:t>
                  </w:r>
                </w:p>
              </w:tc>
              <w:tc>
                <w:tcPr>
                  <w:tcW w:w="1033" w:type="dxa"/>
                  <w:vAlign w:val="center"/>
                </w:tcPr>
                <w:p w14:paraId="1B0C5679" w14:textId="77777777" w:rsidR="009F1A2F" w:rsidRPr="00D749ED" w:rsidRDefault="009F1A2F" w:rsidP="009F1A2F">
                  <w:pPr>
                    <w:jc w:val="center"/>
                    <w:rPr>
                      <w:rFonts w:cs="Arial"/>
                      <w:sz w:val="16"/>
                      <w:szCs w:val="16"/>
                    </w:rPr>
                  </w:pPr>
                  <w:r w:rsidRPr="00D749ED">
                    <w:rPr>
                      <w:rFonts w:cs="Arial"/>
                      <w:sz w:val="16"/>
                      <w:szCs w:val="16"/>
                    </w:rPr>
                    <w:t>1.0</w:t>
                  </w:r>
                  <w:r>
                    <w:rPr>
                      <w:rFonts w:cs="Arial"/>
                      <w:sz w:val="16"/>
                      <w:szCs w:val="16"/>
                    </w:rPr>
                    <w:t>13</w:t>
                  </w:r>
                </w:p>
              </w:tc>
              <w:tc>
                <w:tcPr>
                  <w:tcW w:w="1178" w:type="dxa"/>
                  <w:vAlign w:val="center"/>
                </w:tcPr>
                <w:p w14:paraId="435E3094" w14:textId="77777777" w:rsidR="009F1A2F" w:rsidRPr="00D749ED" w:rsidRDefault="009F1A2F" w:rsidP="009F1A2F">
                  <w:pPr>
                    <w:jc w:val="center"/>
                    <w:rPr>
                      <w:rFonts w:cs="Arial"/>
                      <w:sz w:val="16"/>
                      <w:szCs w:val="16"/>
                    </w:rPr>
                  </w:pPr>
                  <w:r>
                    <w:rPr>
                      <w:rFonts w:cs="Arial"/>
                      <w:sz w:val="16"/>
                      <w:szCs w:val="16"/>
                    </w:rPr>
                    <w:t>1.016</w:t>
                  </w:r>
                </w:p>
              </w:tc>
              <w:tc>
                <w:tcPr>
                  <w:tcW w:w="1180" w:type="dxa"/>
                  <w:vAlign w:val="center"/>
                </w:tcPr>
                <w:p w14:paraId="0F7A88B1" w14:textId="77777777" w:rsidR="009F1A2F" w:rsidRPr="00D749ED" w:rsidRDefault="009F1A2F" w:rsidP="009F1A2F">
                  <w:pPr>
                    <w:jc w:val="center"/>
                    <w:rPr>
                      <w:rFonts w:cs="Arial"/>
                      <w:sz w:val="16"/>
                      <w:szCs w:val="16"/>
                    </w:rPr>
                  </w:pPr>
                  <w:r>
                    <w:rPr>
                      <w:rFonts w:cs="Arial"/>
                      <w:sz w:val="16"/>
                      <w:szCs w:val="16"/>
                    </w:rPr>
                    <w:t>1.016</w:t>
                  </w:r>
                </w:p>
              </w:tc>
              <w:tc>
                <w:tcPr>
                  <w:tcW w:w="1179" w:type="dxa"/>
                  <w:vAlign w:val="center"/>
                </w:tcPr>
                <w:p w14:paraId="6ADAA97E" w14:textId="77777777" w:rsidR="009F1A2F" w:rsidRDefault="009F1A2F" w:rsidP="009F1A2F">
                  <w:pPr>
                    <w:jc w:val="center"/>
                    <w:rPr>
                      <w:rFonts w:cs="Arial"/>
                      <w:sz w:val="16"/>
                      <w:szCs w:val="16"/>
                    </w:rPr>
                  </w:pPr>
                  <w:r>
                    <w:rPr>
                      <w:rFonts w:cs="Arial"/>
                      <w:sz w:val="16"/>
                      <w:szCs w:val="16"/>
                    </w:rPr>
                    <w:t>1.016</w:t>
                  </w:r>
                </w:p>
              </w:tc>
            </w:tr>
            <w:tr w:rsidR="009F1A2F" w:rsidRPr="00D749ED" w14:paraId="39B17FDB" w14:textId="77777777" w:rsidTr="009F1A2F">
              <w:trPr>
                <w:trHeight w:val="143"/>
                <w:jc w:val="center"/>
              </w:trPr>
              <w:tc>
                <w:tcPr>
                  <w:tcW w:w="1204" w:type="dxa"/>
                  <w:vAlign w:val="center"/>
                </w:tcPr>
                <w:p w14:paraId="19BB17F0" w14:textId="77777777" w:rsidR="009F1A2F" w:rsidRPr="00CB657A" w:rsidRDefault="009F1A2F" w:rsidP="009F1A2F">
                  <w:pPr>
                    <w:jc w:val="center"/>
                    <w:rPr>
                      <w:rFonts w:cs="Arial"/>
                      <w:b/>
                      <w:sz w:val="16"/>
                      <w:szCs w:val="16"/>
                      <w:lang w:val="en-US"/>
                    </w:rPr>
                  </w:pPr>
                  <w:r w:rsidRPr="00CB657A">
                    <w:rPr>
                      <w:rFonts w:cs="Arial"/>
                      <w:b/>
                      <w:sz w:val="16"/>
                      <w:szCs w:val="16"/>
                      <w:lang w:val="en-US"/>
                    </w:rPr>
                    <w:t>pH at 25°C</w:t>
                  </w:r>
                </w:p>
                <w:p w14:paraId="3992013E" w14:textId="77777777" w:rsidR="009F1A2F" w:rsidRPr="00CB657A" w:rsidRDefault="009F1A2F" w:rsidP="009F1A2F">
                  <w:pPr>
                    <w:jc w:val="center"/>
                    <w:rPr>
                      <w:rFonts w:cs="Arial"/>
                      <w:sz w:val="16"/>
                      <w:szCs w:val="16"/>
                      <w:lang w:val="en-US"/>
                    </w:rPr>
                  </w:pPr>
                  <w:r w:rsidRPr="00CB657A">
                    <w:rPr>
                      <w:rFonts w:cs="Arial"/>
                      <w:sz w:val="16"/>
                      <w:szCs w:val="16"/>
                      <w:lang w:val="en-US"/>
                    </w:rPr>
                    <w:t>Neat</w:t>
                  </w:r>
                </w:p>
              </w:tc>
              <w:tc>
                <w:tcPr>
                  <w:tcW w:w="1033" w:type="dxa"/>
                  <w:vAlign w:val="center"/>
                </w:tcPr>
                <w:p w14:paraId="31468410" w14:textId="77777777" w:rsidR="009F1A2F" w:rsidRPr="00D749ED" w:rsidRDefault="009F1A2F" w:rsidP="009F1A2F">
                  <w:pPr>
                    <w:jc w:val="center"/>
                    <w:rPr>
                      <w:rFonts w:cs="Arial"/>
                      <w:sz w:val="16"/>
                      <w:szCs w:val="16"/>
                    </w:rPr>
                  </w:pPr>
                  <w:r>
                    <w:rPr>
                      <w:rFonts w:cs="Arial"/>
                      <w:sz w:val="16"/>
                      <w:szCs w:val="16"/>
                    </w:rPr>
                    <w:t>3.84</w:t>
                  </w:r>
                </w:p>
              </w:tc>
              <w:tc>
                <w:tcPr>
                  <w:tcW w:w="1178" w:type="dxa"/>
                  <w:vAlign w:val="center"/>
                </w:tcPr>
                <w:p w14:paraId="794519CC" w14:textId="77777777" w:rsidR="009F1A2F" w:rsidRPr="00D749ED" w:rsidRDefault="009F1A2F" w:rsidP="009F1A2F">
                  <w:pPr>
                    <w:jc w:val="center"/>
                    <w:rPr>
                      <w:rFonts w:cs="Arial"/>
                      <w:sz w:val="16"/>
                      <w:szCs w:val="16"/>
                    </w:rPr>
                  </w:pPr>
                  <w:r>
                    <w:rPr>
                      <w:rFonts w:cs="Arial"/>
                      <w:sz w:val="16"/>
                      <w:szCs w:val="16"/>
                    </w:rPr>
                    <w:t>3.77</w:t>
                  </w:r>
                </w:p>
              </w:tc>
              <w:tc>
                <w:tcPr>
                  <w:tcW w:w="1180" w:type="dxa"/>
                  <w:vAlign w:val="center"/>
                </w:tcPr>
                <w:p w14:paraId="6AFBABF4" w14:textId="77777777" w:rsidR="009F1A2F" w:rsidRPr="00D749ED" w:rsidRDefault="009F1A2F" w:rsidP="009F1A2F">
                  <w:pPr>
                    <w:jc w:val="center"/>
                    <w:rPr>
                      <w:rFonts w:cs="Arial"/>
                      <w:sz w:val="16"/>
                      <w:szCs w:val="16"/>
                    </w:rPr>
                  </w:pPr>
                  <w:r>
                    <w:rPr>
                      <w:rFonts w:cs="Arial"/>
                      <w:sz w:val="16"/>
                      <w:szCs w:val="16"/>
                    </w:rPr>
                    <w:t>3.67</w:t>
                  </w:r>
                </w:p>
              </w:tc>
              <w:tc>
                <w:tcPr>
                  <w:tcW w:w="1179" w:type="dxa"/>
                  <w:vAlign w:val="center"/>
                </w:tcPr>
                <w:p w14:paraId="5400B1CA" w14:textId="77777777" w:rsidR="009F1A2F" w:rsidRDefault="009F1A2F" w:rsidP="009F1A2F">
                  <w:pPr>
                    <w:jc w:val="center"/>
                    <w:rPr>
                      <w:rFonts w:cs="Arial"/>
                      <w:sz w:val="16"/>
                      <w:szCs w:val="16"/>
                    </w:rPr>
                  </w:pPr>
                  <w:r>
                    <w:rPr>
                      <w:rFonts w:cs="Arial"/>
                      <w:sz w:val="16"/>
                      <w:szCs w:val="16"/>
                    </w:rPr>
                    <w:t>3.65</w:t>
                  </w:r>
                </w:p>
              </w:tc>
            </w:tr>
            <w:tr w:rsidR="009F1A2F" w:rsidRPr="00D749ED" w14:paraId="656E9EEF" w14:textId="77777777" w:rsidTr="009F1A2F">
              <w:trPr>
                <w:trHeight w:val="143"/>
                <w:jc w:val="center"/>
              </w:trPr>
              <w:tc>
                <w:tcPr>
                  <w:tcW w:w="1204" w:type="dxa"/>
                  <w:vAlign w:val="center"/>
                </w:tcPr>
                <w:p w14:paraId="6982B67E" w14:textId="77777777" w:rsidR="009F1A2F" w:rsidRDefault="009F1A2F" w:rsidP="009F1A2F">
                  <w:pPr>
                    <w:jc w:val="center"/>
                    <w:rPr>
                      <w:rFonts w:cs="Arial"/>
                      <w:b/>
                      <w:sz w:val="16"/>
                      <w:szCs w:val="16"/>
                      <w:lang w:val="en-US"/>
                    </w:rPr>
                  </w:pPr>
                  <w:r>
                    <w:rPr>
                      <w:rFonts w:cs="Arial"/>
                      <w:b/>
                      <w:sz w:val="16"/>
                      <w:szCs w:val="16"/>
                      <w:lang w:val="en-US"/>
                    </w:rPr>
                    <w:t>Viscosity at 20°C</w:t>
                  </w:r>
                </w:p>
                <w:p w14:paraId="569FF9FB" w14:textId="77777777" w:rsidR="009F1A2F" w:rsidRPr="00CB657A" w:rsidRDefault="009F1A2F" w:rsidP="009F1A2F">
                  <w:pPr>
                    <w:jc w:val="center"/>
                    <w:rPr>
                      <w:rFonts w:cs="Arial"/>
                      <w:b/>
                      <w:sz w:val="16"/>
                      <w:szCs w:val="16"/>
                      <w:lang w:val="en-US"/>
                    </w:rPr>
                  </w:pPr>
                  <w:r>
                    <w:rPr>
                      <w:rFonts w:cs="Arial"/>
                      <w:b/>
                      <w:sz w:val="16"/>
                      <w:szCs w:val="16"/>
                      <w:lang w:val="en-US"/>
                    </w:rPr>
                    <w:t>(mPa.s)</w:t>
                  </w:r>
                </w:p>
              </w:tc>
              <w:tc>
                <w:tcPr>
                  <w:tcW w:w="1033" w:type="dxa"/>
                  <w:vAlign w:val="center"/>
                </w:tcPr>
                <w:p w14:paraId="5245F5D6" w14:textId="77777777" w:rsidR="009F1A2F" w:rsidRDefault="009F1A2F" w:rsidP="009F1A2F">
                  <w:pPr>
                    <w:jc w:val="center"/>
                    <w:rPr>
                      <w:rFonts w:cs="Arial"/>
                      <w:sz w:val="16"/>
                      <w:szCs w:val="16"/>
                    </w:rPr>
                  </w:pPr>
                  <w:r>
                    <w:rPr>
                      <w:rFonts w:cs="Arial"/>
                      <w:sz w:val="16"/>
                      <w:szCs w:val="16"/>
                    </w:rPr>
                    <w:t>590</w:t>
                  </w:r>
                </w:p>
              </w:tc>
              <w:tc>
                <w:tcPr>
                  <w:tcW w:w="1178" w:type="dxa"/>
                  <w:vAlign w:val="center"/>
                </w:tcPr>
                <w:p w14:paraId="60F502E8" w14:textId="77777777" w:rsidR="009F1A2F" w:rsidRDefault="009F1A2F" w:rsidP="009F1A2F">
                  <w:pPr>
                    <w:jc w:val="center"/>
                    <w:rPr>
                      <w:rFonts w:cs="Arial"/>
                      <w:sz w:val="16"/>
                      <w:szCs w:val="16"/>
                    </w:rPr>
                  </w:pPr>
                  <w:r>
                    <w:rPr>
                      <w:rFonts w:cs="Arial"/>
                      <w:sz w:val="16"/>
                      <w:szCs w:val="16"/>
                    </w:rPr>
                    <w:t>546</w:t>
                  </w:r>
                </w:p>
              </w:tc>
              <w:tc>
                <w:tcPr>
                  <w:tcW w:w="1180" w:type="dxa"/>
                  <w:vAlign w:val="center"/>
                </w:tcPr>
                <w:p w14:paraId="327D7B43" w14:textId="77777777" w:rsidR="009F1A2F" w:rsidRDefault="009F1A2F" w:rsidP="009F1A2F">
                  <w:pPr>
                    <w:jc w:val="center"/>
                    <w:rPr>
                      <w:rFonts w:cs="Arial"/>
                      <w:sz w:val="16"/>
                      <w:szCs w:val="16"/>
                    </w:rPr>
                  </w:pPr>
                  <w:r>
                    <w:rPr>
                      <w:rFonts w:cs="Arial"/>
                      <w:sz w:val="16"/>
                      <w:szCs w:val="16"/>
                    </w:rPr>
                    <w:t>486</w:t>
                  </w:r>
                </w:p>
              </w:tc>
              <w:tc>
                <w:tcPr>
                  <w:tcW w:w="1179" w:type="dxa"/>
                  <w:vAlign w:val="center"/>
                </w:tcPr>
                <w:p w14:paraId="12EE9248" w14:textId="77777777" w:rsidR="009F1A2F" w:rsidRDefault="009F1A2F" w:rsidP="009F1A2F">
                  <w:pPr>
                    <w:jc w:val="center"/>
                    <w:rPr>
                      <w:rFonts w:cs="Arial"/>
                      <w:sz w:val="16"/>
                      <w:szCs w:val="16"/>
                    </w:rPr>
                  </w:pPr>
                  <w:r>
                    <w:rPr>
                      <w:rFonts w:cs="Arial"/>
                      <w:sz w:val="16"/>
                      <w:szCs w:val="16"/>
                    </w:rPr>
                    <w:t>420</w:t>
                  </w:r>
                </w:p>
              </w:tc>
            </w:tr>
          </w:tbl>
          <w:p w14:paraId="5FD41B4D" w14:textId="77777777" w:rsidR="009F1A2F" w:rsidRPr="007763D2" w:rsidRDefault="009F1A2F" w:rsidP="009F1A2F">
            <w:pPr>
              <w:jc w:val="center"/>
              <w:rPr>
                <w:rFonts w:cs="Arial"/>
                <w:sz w:val="18"/>
                <w:szCs w:val="18"/>
                <w:lang w:val="en-US"/>
              </w:rPr>
            </w:pPr>
          </w:p>
          <w:p w14:paraId="6117EA55" w14:textId="77777777" w:rsidR="007A772F" w:rsidRPr="007763D2" w:rsidRDefault="007A772F" w:rsidP="007763D2">
            <w:pPr>
              <w:jc w:val="both"/>
              <w:rPr>
                <w:rFonts w:cs="Arial"/>
              </w:rPr>
            </w:pPr>
            <w:r w:rsidRPr="007763D2">
              <w:rPr>
                <w:rFonts w:cs="Arial"/>
              </w:rPr>
              <w:t>A decrease of iodine over 10% has been observed in the study. The physicochemical parameters remained acceptable throughout the storage period. Therefore, the shelf-life should be set by considering further elements attesting of the sufficient stability of the product:</w:t>
            </w:r>
          </w:p>
          <w:p w14:paraId="6D85A574" w14:textId="3C977D82" w:rsidR="007A772F" w:rsidRPr="007763D2" w:rsidRDefault="007A772F" w:rsidP="007763D2">
            <w:pPr>
              <w:pStyle w:val="Paragraphedeliste"/>
              <w:numPr>
                <w:ilvl w:val="0"/>
                <w:numId w:val="8"/>
              </w:numPr>
              <w:jc w:val="both"/>
              <w:rPr>
                <w:rFonts w:cs="Arial"/>
              </w:rPr>
            </w:pPr>
            <w:r w:rsidRPr="007763D2">
              <w:rPr>
                <w:rFonts w:cs="Arial"/>
              </w:rPr>
              <w:t>The absence of risk from the degradation products of the active substance.</w:t>
            </w:r>
          </w:p>
          <w:p w14:paraId="3B294688" w14:textId="10A5A00D" w:rsidR="007A772F" w:rsidRPr="007763D2" w:rsidRDefault="007A772F" w:rsidP="007763D2">
            <w:pPr>
              <w:pStyle w:val="Paragraphedeliste"/>
              <w:numPr>
                <w:ilvl w:val="0"/>
                <w:numId w:val="8"/>
              </w:numPr>
              <w:jc w:val="both"/>
              <w:rPr>
                <w:rFonts w:cs="Arial"/>
              </w:rPr>
            </w:pPr>
            <w:r w:rsidRPr="007763D2">
              <w:rPr>
                <w:rFonts w:cs="Arial"/>
              </w:rPr>
              <w:t>The remaining of the efficacy of the product despite the loss of active substance.</w:t>
            </w:r>
          </w:p>
          <w:p w14:paraId="39839EC2" w14:textId="77777777" w:rsidR="007A772F" w:rsidRPr="007763D2" w:rsidRDefault="007A772F" w:rsidP="007763D2">
            <w:pPr>
              <w:jc w:val="both"/>
              <w:rPr>
                <w:rFonts w:cs="Arial"/>
              </w:rPr>
            </w:pPr>
          </w:p>
          <w:p w14:paraId="096E39AB" w14:textId="4AB3DF2B" w:rsidR="007A772F" w:rsidRPr="007763D2" w:rsidRDefault="007A772F" w:rsidP="007763D2">
            <w:pPr>
              <w:jc w:val="both"/>
              <w:rPr>
                <w:rFonts w:cs="Arial"/>
              </w:rPr>
            </w:pPr>
            <w:r w:rsidRPr="007763D2">
              <w:rPr>
                <w:rFonts w:cs="Arial"/>
              </w:rPr>
              <w:t xml:space="preserve">As explained by the accelerated storage results summarised above, iodine degrades into iodide. Since the risk assessments already consider the sum of the iodide and iodine contents, the transformation of iodine into </w:t>
            </w:r>
            <w:r w:rsidR="0066333F" w:rsidRPr="007763D2">
              <w:rPr>
                <w:rFonts w:cs="Arial"/>
              </w:rPr>
              <w:t>i</w:t>
            </w:r>
            <w:r w:rsidR="0066333F">
              <w:rPr>
                <w:rFonts w:cs="Arial"/>
              </w:rPr>
              <w:t>odid</w:t>
            </w:r>
            <w:r w:rsidR="0066333F" w:rsidRPr="007763D2">
              <w:rPr>
                <w:rFonts w:cs="Arial"/>
              </w:rPr>
              <w:t xml:space="preserve">e </w:t>
            </w:r>
            <w:r w:rsidRPr="007763D2">
              <w:rPr>
                <w:rFonts w:cs="Arial"/>
              </w:rPr>
              <w:t>is covered and no additional risk for human health of the environment occurs during the storage of the product.</w:t>
            </w:r>
          </w:p>
          <w:p w14:paraId="64A709A5" w14:textId="77777777" w:rsidR="007A772F" w:rsidRPr="007763D2" w:rsidRDefault="007A772F" w:rsidP="007763D2">
            <w:pPr>
              <w:jc w:val="both"/>
              <w:rPr>
                <w:rFonts w:cs="Arial"/>
              </w:rPr>
            </w:pPr>
          </w:p>
          <w:p w14:paraId="67284910" w14:textId="2FD3C8FE" w:rsidR="009F1A2F" w:rsidRPr="007763D2" w:rsidRDefault="007A772F" w:rsidP="000F7B12">
            <w:pPr>
              <w:jc w:val="both"/>
              <w:rPr>
                <w:rFonts w:cs="Arial"/>
                <w:sz w:val="18"/>
                <w:szCs w:val="18"/>
              </w:rPr>
            </w:pPr>
            <w:r w:rsidRPr="007763D2">
              <w:rPr>
                <w:rFonts w:cs="Arial"/>
              </w:rPr>
              <w:t xml:space="preserve">As regards the efficacy, a test on an aged sample of </w:t>
            </w:r>
            <w:r w:rsidR="000F7B12">
              <w:rPr>
                <w:rFonts w:cs="Arial"/>
              </w:rPr>
              <w:t>12</w:t>
            </w:r>
            <w:r w:rsidRPr="007763D2">
              <w:rPr>
                <w:rFonts w:cs="Arial"/>
              </w:rPr>
              <w:t xml:space="preserve"> months was performed. This test is summarised in </w:t>
            </w:r>
            <w:r w:rsidRPr="007763D2">
              <w:rPr>
                <w:rFonts w:cs="Arial"/>
              </w:rPr>
              <w:lastRenderedPageBreak/>
              <w:t>section 2.2.5 of this PAR. From this, it can be considered that the product is still efficacious after one year of storage.</w:t>
            </w:r>
          </w:p>
        </w:tc>
        <w:tc>
          <w:tcPr>
            <w:tcW w:w="612" w:type="dxa"/>
            <w:vAlign w:val="center"/>
          </w:tcPr>
          <w:p w14:paraId="0F87E0D4" w14:textId="77777777" w:rsidR="009F1A2F" w:rsidRPr="00C00A2E" w:rsidRDefault="009F1A2F" w:rsidP="009F1A2F">
            <w:pPr>
              <w:jc w:val="center"/>
              <w:rPr>
                <w:rFonts w:cs="Arial"/>
              </w:rPr>
            </w:pPr>
            <w:r w:rsidRPr="00C00A2E">
              <w:rPr>
                <w:rFonts w:cs="Arial"/>
              </w:rPr>
              <w:lastRenderedPageBreak/>
              <w:t>N</w:t>
            </w:r>
          </w:p>
        </w:tc>
        <w:tc>
          <w:tcPr>
            <w:tcW w:w="1435" w:type="dxa"/>
            <w:vAlign w:val="center"/>
          </w:tcPr>
          <w:p w14:paraId="6AC8DBB6" w14:textId="77777777" w:rsidR="009F1A2F" w:rsidRPr="00C00A2E" w:rsidRDefault="009F1A2F" w:rsidP="009F1A2F">
            <w:pPr>
              <w:rPr>
                <w:rFonts w:cs="Arial"/>
              </w:rPr>
            </w:pPr>
            <w:r w:rsidRPr="00C00A2E">
              <w:rPr>
                <w:rFonts w:cs="Arial"/>
              </w:rPr>
              <w:t>A. Morel, 2015 Report N° D041-39</w:t>
            </w:r>
          </w:p>
        </w:tc>
        <w:tc>
          <w:tcPr>
            <w:tcW w:w="2652" w:type="dxa"/>
            <w:vAlign w:val="center"/>
          </w:tcPr>
          <w:p w14:paraId="36A1C5E3" w14:textId="60C9DF58" w:rsidR="009F1A2F" w:rsidRPr="00C00A2E" w:rsidRDefault="009F1A2F" w:rsidP="009F1A2F">
            <w:pPr>
              <w:jc w:val="both"/>
              <w:rPr>
                <w:rFonts w:cs="Arial"/>
              </w:rPr>
            </w:pPr>
            <w:r w:rsidRPr="00C00A2E">
              <w:rPr>
                <w:rFonts w:cs="Arial"/>
              </w:rPr>
              <w:t xml:space="preserve">A shelf life study of </w:t>
            </w:r>
            <w:r w:rsidR="00F1484A">
              <w:rPr>
                <w:rFonts w:cs="Arial"/>
              </w:rPr>
              <w:t xml:space="preserve">12 months </w:t>
            </w:r>
            <w:r w:rsidRPr="00C00A2E">
              <w:rPr>
                <w:rFonts w:cs="Arial"/>
              </w:rPr>
              <w:t xml:space="preserve">is proposed by the applicant. </w:t>
            </w:r>
          </w:p>
          <w:p w14:paraId="7731572D" w14:textId="77777777" w:rsidR="009F1A2F" w:rsidRPr="00C00A2E" w:rsidRDefault="009F1A2F" w:rsidP="009F1A2F">
            <w:pPr>
              <w:jc w:val="both"/>
              <w:rPr>
                <w:rFonts w:cs="Arial"/>
              </w:rPr>
            </w:pPr>
          </w:p>
          <w:p w14:paraId="3AEA3EA7" w14:textId="77777777" w:rsidR="009F1A2F" w:rsidRDefault="009F1A2F" w:rsidP="009F1A2F">
            <w:pPr>
              <w:jc w:val="both"/>
              <w:rPr>
                <w:rFonts w:cs="Arial"/>
              </w:rPr>
            </w:pPr>
            <w:r>
              <w:rPr>
                <w:rFonts w:cs="Arial"/>
              </w:rPr>
              <w:t xml:space="preserve">There is no significant change in the physical and chemical properties of the formulation ALGOFILM after 2-year storage at ambient temperature.  </w:t>
            </w:r>
          </w:p>
          <w:p w14:paraId="47725653" w14:textId="3C00A6E9" w:rsidR="009F1A2F" w:rsidRDefault="009F1A2F" w:rsidP="009F1A2F">
            <w:pPr>
              <w:jc w:val="both"/>
              <w:rPr>
                <w:rFonts w:cs="Arial"/>
              </w:rPr>
            </w:pPr>
            <w:r w:rsidRPr="00C00A2E">
              <w:rPr>
                <w:rFonts w:cs="Arial"/>
              </w:rPr>
              <w:lastRenderedPageBreak/>
              <w:t>The total iodine content decreased significantly after 2 year</w:t>
            </w:r>
            <w:r>
              <w:rPr>
                <w:rFonts w:cs="Arial"/>
              </w:rPr>
              <w:t>s</w:t>
            </w:r>
            <w:r w:rsidRPr="00C00A2E">
              <w:rPr>
                <w:rFonts w:cs="Arial"/>
              </w:rPr>
              <w:t xml:space="preserve"> (-55%). </w:t>
            </w:r>
            <w:r w:rsidRPr="007763D2">
              <w:rPr>
                <w:rFonts w:cs="Arial"/>
              </w:rPr>
              <w:t xml:space="preserve">Monitoring </w:t>
            </w:r>
            <w:r w:rsidR="0006732F" w:rsidRPr="007763D2">
              <w:rPr>
                <w:rFonts w:cs="Arial"/>
              </w:rPr>
              <w:t xml:space="preserve">method </w:t>
            </w:r>
            <w:r w:rsidRPr="007763D2">
              <w:rPr>
                <w:rFonts w:cs="Arial"/>
              </w:rPr>
              <w:t>of L-(+)-lactic acid content during storage is on going, the final report will be provided when it is available.</w:t>
            </w:r>
            <w:r>
              <w:rPr>
                <w:rFonts w:cs="Arial"/>
              </w:rPr>
              <w:t xml:space="preserve"> </w:t>
            </w:r>
            <w:r w:rsidR="0093414A">
              <w:rPr>
                <w:rFonts w:cs="Arial"/>
              </w:rPr>
              <w:t>Based on accelerated storage (see above), the content</w:t>
            </w:r>
            <w:r w:rsidR="00767B3D">
              <w:rPr>
                <w:rFonts w:cs="Arial"/>
              </w:rPr>
              <w:t xml:space="preserve"> of L-(+)-lactic acid</w:t>
            </w:r>
            <w:r w:rsidR="0093414A">
              <w:rPr>
                <w:rFonts w:cs="Arial"/>
              </w:rPr>
              <w:t xml:space="preserve"> is not expected to decrease higher than acceptable limits.</w:t>
            </w:r>
          </w:p>
          <w:p w14:paraId="086676D6" w14:textId="0D9B2ECD" w:rsidR="009F1A2F" w:rsidRPr="00C00A2E" w:rsidRDefault="0093414A" w:rsidP="007763D2">
            <w:pPr>
              <w:jc w:val="both"/>
              <w:rPr>
                <w:rFonts w:cs="Arial"/>
              </w:rPr>
            </w:pPr>
            <w:r>
              <w:rPr>
                <w:rFonts w:cs="Arial"/>
              </w:rPr>
              <w:t>A new long term storage study is on-going and should be provided in post-authorization.</w:t>
            </w:r>
          </w:p>
          <w:p w14:paraId="5DE9AA8F" w14:textId="77777777" w:rsidR="009F1A2F" w:rsidRPr="00C00A2E" w:rsidRDefault="009F1A2F" w:rsidP="007763D2">
            <w:pPr>
              <w:jc w:val="both"/>
              <w:rPr>
                <w:rFonts w:cs="Arial"/>
              </w:rPr>
            </w:pPr>
          </w:p>
          <w:p w14:paraId="68412057" w14:textId="5AEBCB58" w:rsidR="009F1A2F" w:rsidRPr="002762FF" w:rsidRDefault="009F1A2F" w:rsidP="007763D2">
            <w:pPr>
              <w:jc w:val="both"/>
              <w:rPr>
                <w:rFonts w:cs="Arial"/>
              </w:rPr>
            </w:pPr>
            <w:r w:rsidRPr="00C00A2E">
              <w:rPr>
                <w:rFonts w:cs="Arial"/>
              </w:rPr>
              <w:t>Efficacy is</w:t>
            </w:r>
            <w:r w:rsidRPr="00C00A2E">
              <w:rPr>
                <w:rFonts w:cs="Arial"/>
                <w:b/>
              </w:rPr>
              <w:t xml:space="preserve"> </w:t>
            </w:r>
            <w:r w:rsidRPr="00C00A2E">
              <w:rPr>
                <w:rFonts w:cs="Arial"/>
              </w:rPr>
              <w:t xml:space="preserve">demonstrated </w:t>
            </w:r>
            <w:r w:rsidR="007A772F">
              <w:rPr>
                <w:rFonts w:cs="Arial"/>
              </w:rPr>
              <w:t xml:space="preserve">on the product </w:t>
            </w:r>
            <w:r w:rsidRPr="00C00A2E">
              <w:rPr>
                <w:rFonts w:cs="Arial"/>
              </w:rPr>
              <w:t xml:space="preserve">after </w:t>
            </w:r>
            <w:r w:rsidR="007A772F">
              <w:rPr>
                <w:rFonts w:cs="Arial"/>
              </w:rPr>
              <w:t>6 months</w:t>
            </w:r>
            <w:r w:rsidRPr="00C00A2E">
              <w:rPr>
                <w:rFonts w:cs="Arial"/>
              </w:rPr>
              <w:t xml:space="preserve"> storage </w:t>
            </w:r>
            <w:r w:rsidR="007A772F">
              <w:rPr>
                <w:rFonts w:cs="Arial"/>
              </w:rPr>
              <w:t>with a</w:t>
            </w:r>
            <w:r w:rsidR="00DE22C7">
              <w:rPr>
                <w:rFonts w:cs="Arial"/>
              </w:rPr>
              <w:t xml:space="preserve"> dilution of </w:t>
            </w:r>
            <w:r w:rsidR="007A772F">
              <w:rPr>
                <w:rFonts w:cs="Arial"/>
              </w:rPr>
              <w:t>80%, which correspond to 0.</w:t>
            </w:r>
            <w:r w:rsidR="00DE22C7">
              <w:rPr>
                <w:rFonts w:cs="Arial"/>
              </w:rPr>
              <w:t>0</w:t>
            </w:r>
            <w:r w:rsidR="007A772F">
              <w:rPr>
                <w:rFonts w:cs="Arial"/>
              </w:rPr>
              <w:t xml:space="preserve">73% of active substance </w:t>
            </w:r>
            <w:r w:rsidRPr="00C00A2E">
              <w:rPr>
                <w:rFonts w:cs="Arial"/>
              </w:rPr>
              <w:t xml:space="preserve">(equivalent to </w:t>
            </w:r>
            <w:r w:rsidR="007A772F">
              <w:rPr>
                <w:rFonts w:cs="Arial"/>
              </w:rPr>
              <w:t>as the degradation of 12 months storage</w:t>
            </w:r>
            <w:r w:rsidR="00DE22C7">
              <w:rPr>
                <w:rFonts w:cs="Arial"/>
              </w:rPr>
              <w:t xml:space="preserve"> product</w:t>
            </w:r>
            <w:r w:rsidRPr="00C00A2E">
              <w:rPr>
                <w:rFonts w:cs="Arial"/>
              </w:rPr>
              <w:t>)</w:t>
            </w:r>
            <w:r>
              <w:rPr>
                <w:rFonts w:cs="Arial"/>
              </w:rPr>
              <w:t>. T</w:t>
            </w:r>
            <w:r w:rsidRPr="002762FF">
              <w:rPr>
                <w:rFonts w:cs="Arial"/>
              </w:rPr>
              <w:t xml:space="preserve">he fate of iodine over time in the biocidal product </w:t>
            </w:r>
            <w:r>
              <w:rPr>
                <w:rFonts w:cs="Arial"/>
              </w:rPr>
              <w:t xml:space="preserve">could be explain in the following way:  </w:t>
            </w:r>
            <w:r w:rsidRPr="002762FF">
              <w:rPr>
                <w:rFonts w:cs="Arial"/>
              </w:rPr>
              <w:t xml:space="preserve"> </w:t>
            </w:r>
          </w:p>
          <w:p w14:paraId="027CF43D" w14:textId="77777777" w:rsidR="00E503E0" w:rsidRDefault="009F1A2F" w:rsidP="003D41CE">
            <w:pPr>
              <w:jc w:val="both"/>
              <w:rPr>
                <w:rFonts w:cs="Arial"/>
              </w:rPr>
            </w:pPr>
            <w:r w:rsidRPr="002762FF">
              <w:rPr>
                <w:rFonts w:cs="Arial"/>
              </w:rPr>
              <w:lastRenderedPageBreak/>
              <w:t>The biocidal products is formulated with Iodine (I2) an</w:t>
            </w:r>
            <w:r>
              <w:rPr>
                <w:rFonts w:cs="Arial"/>
              </w:rPr>
              <w:t xml:space="preserve">d Iodide (I-). </w:t>
            </w:r>
            <w:r w:rsidRPr="002762FF">
              <w:rPr>
                <w:rFonts w:cs="Arial"/>
              </w:rPr>
              <w:t xml:space="preserve">Iodate (IO3-) is not present. Iodine reduces over time to Iodide. In </w:t>
            </w:r>
            <w:r>
              <w:rPr>
                <w:rFonts w:cs="Arial"/>
              </w:rPr>
              <w:t>conclusion, Iodine, Iodide and T</w:t>
            </w:r>
            <w:r w:rsidRPr="002762FF">
              <w:rPr>
                <w:rFonts w:cs="Arial"/>
              </w:rPr>
              <w:t xml:space="preserve">riiodide are expected to be the predominant species in the formulation ALGOFILM after </w:t>
            </w:r>
            <w:r w:rsidR="00DE22C7">
              <w:rPr>
                <w:rFonts w:cs="Arial"/>
              </w:rPr>
              <w:t xml:space="preserve">1 and </w:t>
            </w:r>
            <w:r w:rsidRPr="002762FF">
              <w:rPr>
                <w:rFonts w:cs="Arial"/>
              </w:rPr>
              <w:t xml:space="preserve">2-year storage at ambient temperature. A study is currently ongoing to quantify these three iodine forms in the formulation after storage, the </w:t>
            </w:r>
            <w:r w:rsidRPr="00161BF0">
              <w:rPr>
                <w:rFonts w:cs="Arial"/>
              </w:rPr>
              <w:t>report will be provided when it is available.</w:t>
            </w:r>
            <w:r w:rsidR="007A772F">
              <w:rPr>
                <w:rFonts w:cs="Arial"/>
              </w:rPr>
              <w:t xml:space="preserve"> </w:t>
            </w:r>
          </w:p>
          <w:p w14:paraId="35D3C3FC" w14:textId="77777777" w:rsidR="000F7B12" w:rsidRPr="00E503E0" w:rsidRDefault="000F7B12" w:rsidP="000F7B12">
            <w:pPr>
              <w:jc w:val="both"/>
              <w:rPr>
                <w:rFonts w:cs="Arial"/>
              </w:rPr>
            </w:pPr>
            <w:r>
              <w:rPr>
                <w:rFonts w:cs="Arial"/>
              </w:rPr>
              <w:t>Efficacy is demonstrated on a product after 12months storage</w:t>
            </w:r>
            <w:r w:rsidRPr="00E503E0">
              <w:rPr>
                <w:rFonts w:cs="Arial"/>
              </w:rPr>
              <w:t xml:space="preserve"> (see efficacy section 2.2.5).</w:t>
            </w:r>
          </w:p>
          <w:p w14:paraId="1D9FDF91" w14:textId="6FF8D625" w:rsidR="009F1A2F" w:rsidRPr="00C00A2E" w:rsidRDefault="000F7B12" w:rsidP="007763D2">
            <w:pPr>
              <w:jc w:val="both"/>
              <w:rPr>
                <w:rFonts w:cs="Arial"/>
              </w:rPr>
            </w:pPr>
            <w:r w:rsidRPr="00E503E0">
              <w:rPr>
                <w:rFonts w:cs="Arial"/>
              </w:rPr>
              <w:t xml:space="preserve">Therefore, a </w:t>
            </w:r>
            <w:r>
              <w:rPr>
                <w:rFonts w:cs="Arial"/>
              </w:rPr>
              <w:t>12</w:t>
            </w:r>
            <w:r w:rsidRPr="00E503E0">
              <w:rPr>
                <w:rFonts w:cs="Arial"/>
              </w:rPr>
              <w:t xml:space="preserve"> months shelf life can be </w:t>
            </w:r>
            <w:r>
              <w:rPr>
                <w:rFonts w:cs="Arial"/>
              </w:rPr>
              <w:t>gran</w:t>
            </w:r>
            <w:r w:rsidRPr="00E503E0">
              <w:rPr>
                <w:rFonts w:cs="Arial"/>
              </w:rPr>
              <w:t>ted at this step</w:t>
            </w:r>
            <w:r w:rsidDel="000F7B12">
              <w:rPr>
                <w:rFonts w:cs="Arial"/>
              </w:rPr>
              <w:t xml:space="preserve"> </w:t>
            </w:r>
          </w:p>
          <w:p w14:paraId="19508995" w14:textId="22E4C7E9" w:rsidR="009F1A2F" w:rsidRPr="00C00A2E" w:rsidRDefault="007A772F" w:rsidP="007763D2">
            <w:pPr>
              <w:jc w:val="both"/>
              <w:rPr>
                <w:rFonts w:cs="Arial"/>
              </w:rPr>
            </w:pPr>
            <w:r>
              <w:rPr>
                <w:rFonts w:cs="Arial"/>
              </w:rPr>
              <w:t>V</w:t>
            </w:r>
            <w:r w:rsidR="0093414A">
              <w:rPr>
                <w:rFonts w:cs="Arial"/>
              </w:rPr>
              <w:t xml:space="preserve">iewing the results of accelerated storage, the content of iodine decrease while content of iodide increase, as the </w:t>
            </w:r>
            <w:r w:rsidR="0093414A">
              <w:rPr>
                <w:rFonts w:cs="Arial"/>
              </w:rPr>
              <w:lastRenderedPageBreak/>
              <w:t>acidity (see justification above)</w:t>
            </w:r>
            <w:r w:rsidR="009F1A2F" w:rsidRPr="00C00A2E">
              <w:rPr>
                <w:rFonts w:cs="Arial"/>
              </w:rPr>
              <w:t>.</w:t>
            </w:r>
          </w:p>
        </w:tc>
      </w:tr>
      <w:tr w:rsidR="00DE22C7" w:rsidRPr="00D749ED" w14:paraId="15E48EC6" w14:textId="77777777" w:rsidTr="009F1A2F">
        <w:trPr>
          <w:trHeight w:val="88"/>
          <w:jc w:val="center"/>
        </w:trPr>
        <w:tc>
          <w:tcPr>
            <w:tcW w:w="1737" w:type="dxa"/>
            <w:vAlign w:val="center"/>
          </w:tcPr>
          <w:p w14:paraId="42F62743" w14:textId="41585291" w:rsidR="00DE22C7" w:rsidRPr="00C00A2E" w:rsidRDefault="00DE22C7" w:rsidP="00DE22C7">
            <w:pPr>
              <w:jc w:val="center"/>
              <w:rPr>
                <w:rFonts w:cs="Arial"/>
              </w:rPr>
            </w:pPr>
          </w:p>
        </w:tc>
        <w:tc>
          <w:tcPr>
            <w:tcW w:w="1251" w:type="dxa"/>
            <w:vAlign w:val="center"/>
          </w:tcPr>
          <w:p w14:paraId="784D0D61" w14:textId="461D57BD" w:rsidR="00DE22C7" w:rsidRPr="00C00A2E" w:rsidRDefault="00DE22C7" w:rsidP="007763D2">
            <w:pPr>
              <w:jc w:val="both"/>
              <w:rPr>
                <w:rFonts w:cs="Arial"/>
              </w:rPr>
            </w:pPr>
            <w:r w:rsidRPr="007763D2">
              <w:rPr>
                <w:rFonts w:cs="Arial"/>
              </w:rPr>
              <w:t>Gifap monograph no.17</w:t>
            </w:r>
          </w:p>
        </w:tc>
        <w:tc>
          <w:tcPr>
            <w:tcW w:w="1391" w:type="dxa"/>
            <w:vAlign w:val="center"/>
          </w:tcPr>
          <w:p w14:paraId="3F072C7D" w14:textId="6EBBDA27" w:rsidR="00DE22C7" w:rsidRPr="00C00A2E" w:rsidRDefault="00DE22C7" w:rsidP="007763D2">
            <w:pPr>
              <w:jc w:val="both"/>
              <w:rPr>
                <w:rFonts w:cs="Arial"/>
              </w:rPr>
            </w:pPr>
            <w:r w:rsidRPr="007763D2">
              <w:rPr>
                <w:rFonts w:cs="Arial"/>
              </w:rPr>
              <w:t>ALGOFILM</w:t>
            </w:r>
          </w:p>
        </w:tc>
        <w:tc>
          <w:tcPr>
            <w:tcW w:w="5840" w:type="dxa"/>
            <w:vAlign w:val="center"/>
          </w:tcPr>
          <w:p w14:paraId="37AD0AF8" w14:textId="77777777" w:rsidR="00DE22C7" w:rsidRPr="007763D2" w:rsidRDefault="00DE22C7" w:rsidP="007763D2">
            <w:pPr>
              <w:jc w:val="both"/>
              <w:rPr>
                <w:rFonts w:cs="Arial"/>
              </w:rPr>
            </w:pPr>
            <w:r w:rsidRPr="007763D2">
              <w:rPr>
                <w:rFonts w:cs="Arial"/>
              </w:rPr>
              <w:t>A second study, which is ongoing, aims at assessing the stability of the missing parameters from the first study. The following elements will be determined before and after storage:</w:t>
            </w:r>
          </w:p>
          <w:p w14:paraId="048AAF3A" w14:textId="77777777" w:rsidR="00DE22C7" w:rsidRPr="007763D2" w:rsidRDefault="00DE22C7" w:rsidP="00DE22C7">
            <w:pPr>
              <w:pStyle w:val="Paragraphedeliste"/>
              <w:numPr>
                <w:ilvl w:val="0"/>
                <w:numId w:val="10"/>
              </w:numPr>
              <w:suppressAutoHyphens w:val="0"/>
              <w:jc w:val="both"/>
              <w:rPr>
                <w:rFonts w:cs="Arial"/>
              </w:rPr>
            </w:pPr>
            <w:r w:rsidRPr="007763D2">
              <w:rPr>
                <w:rFonts w:cs="Arial"/>
              </w:rPr>
              <w:t>L-(+)-lactic acid content.</w:t>
            </w:r>
          </w:p>
          <w:p w14:paraId="57710375" w14:textId="77777777" w:rsidR="00DE22C7" w:rsidRPr="007763D2" w:rsidRDefault="00DE22C7" w:rsidP="00DE22C7">
            <w:pPr>
              <w:pStyle w:val="Paragraphedeliste"/>
              <w:numPr>
                <w:ilvl w:val="0"/>
                <w:numId w:val="10"/>
              </w:numPr>
              <w:suppressAutoHyphens w:val="0"/>
              <w:jc w:val="both"/>
              <w:rPr>
                <w:rFonts w:cs="Arial"/>
              </w:rPr>
            </w:pPr>
            <w:r w:rsidRPr="007763D2">
              <w:rPr>
                <w:rFonts w:cs="Arial"/>
              </w:rPr>
              <w:t>Iodine content.</w:t>
            </w:r>
          </w:p>
          <w:p w14:paraId="259E92F8" w14:textId="77777777" w:rsidR="00DE22C7" w:rsidRPr="007763D2" w:rsidRDefault="00DE22C7" w:rsidP="00DE22C7">
            <w:pPr>
              <w:pStyle w:val="Paragraphedeliste"/>
              <w:numPr>
                <w:ilvl w:val="0"/>
                <w:numId w:val="10"/>
              </w:numPr>
              <w:suppressAutoHyphens w:val="0"/>
              <w:jc w:val="both"/>
              <w:rPr>
                <w:rFonts w:cs="Arial"/>
              </w:rPr>
            </w:pPr>
            <w:r w:rsidRPr="007763D2">
              <w:rPr>
                <w:rFonts w:cs="Arial"/>
              </w:rPr>
              <w:t>Iodide content.</w:t>
            </w:r>
          </w:p>
          <w:p w14:paraId="4F790A69" w14:textId="77777777" w:rsidR="00DE22C7" w:rsidRPr="007763D2" w:rsidRDefault="00DE22C7" w:rsidP="00FD1859">
            <w:pPr>
              <w:pStyle w:val="Paragraphedeliste"/>
              <w:numPr>
                <w:ilvl w:val="0"/>
                <w:numId w:val="10"/>
              </w:numPr>
              <w:suppressAutoHyphens w:val="0"/>
              <w:jc w:val="both"/>
              <w:rPr>
                <w:rFonts w:cs="Arial"/>
              </w:rPr>
            </w:pPr>
            <w:r w:rsidRPr="007763D2">
              <w:rPr>
                <w:rFonts w:cs="Arial"/>
              </w:rPr>
              <w:t>Iodate content.</w:t>
            </w:r>
          </w:p>
          <w:p w14:paraId="71914192" w14:textId="77777777" w:rsidR="00DE22C7" w:rsidRPr="007763D2" w:rsidRDefault="00DE22C7" w:rsidP="00FD1859">
            <w:pPr>
              <w:pStyle w:val="Paragraphedeliste"/>
              <w:numPr>
                <w:ilvl w:val="0"/>
                <w:numId w:val="10"/>
              </w:numPr>
              <w:suppressAutoHyphens w:val="0"/>
              <w:jc w:val="both"/>
              <w:rPr>
                <w:rFonts w:cs="Arial"/>
              </w:rPr>
            </w:pPr>
            <w:r w:rsidRPr="007763D2">
              <w:rPr>
                <w:rFonts w:cs="Arial"/>
              </w:rPr>
              <w:t>Acidity.</w:t>
            </w:r>
          </w:p>
          <w:p w14:paraId="6C8D7FAA" w14:textId="77777777" w:rsidR="00DE22C7" w:rsidRPr="007763D2" w:rsidRDefault="00DE22C7" w:rsidP="007763D2">
            <w:pPr>
              <w:jc w:val="both"/>
              <w:rPr>
                <w:rFonts w:cs="Arial"/>
              </w:rPr>
            </w:pPr>
          </w:p>
          <w:p w14:paraId="114280C5" w14:textId="0B677FE4" w:rsidR="00DE22C7" w:rsidRPr="007763D2" w:rsidRDefault="00DE22C7" w:rsidP="007763D2">
            <w:pPr>
              <w:jc w:val="both"/>
              <w:rPr>
                <w:rFonts w:cs="Arial"/>
              </w:rPr>
            </w:pPr>
            <w:r w:rsidRPr="007763D2">
              <w:rPr>
                <w:rFonts w:cs="Arial"/>
              </w:rPr>
              <w:t>An accelerated storage study which assesses the stability of these parameters is already available, as is a long term study measuring the iodine content over time. Hence, this new long term study’s main purpose is to confirm the results of the aforementioned studies.</w:t>
            </w:r>
          </w:p>
        </w:tc>
        <w:tc>
          <w:tcPr>
            <w:tcW w:w="612" w:type="dxa"/>
            <w:vAlign w:val="center"/>
          </w:tcPr>
          <w:p w14:paraId="3F52B260" w14:textId="77777777" w:rsidR="00DE22C7" w:rsidRPr="00C00A2E" w:rsidRDefault="00DE22C7" w:rsidP="00DE22C7">
            <w:pPr>
              <w:jc w:val="center"/>
              <w:rPr>
                <w:rFonts w:cs="Arial"/>
              </w:rPr>
            </w:pPr>
          </w:p>
        </w:tc>
        <w:tc>
          <w:tcPr>
            <w:tcW w:w="1435" w:type="dxa"/>
            <w:vAlign w:val="center"/>
          </w:tcPr>
          <w:p w14:paraId="6291D82D" w14:textId="77777777" w:rsidR="00DE22C7" w:rsidRPr="00C00A2E" w:rsidRDefault="00DE22C7" w:rsidP="00DE22C7">
            <w:pPr>
              <w:jc w:val="center"/>
              <w:rPr>
                <w:rFonts w:cs="Arial"/>
              </w:rPr>
            </w:pPr>
          </w:p>
        </w:tc>
        <w:tc>
          <w:tcPr>
            <w:tcW w:w="2652" w:type="dxa"/>
            <w:vAlign w:val="center"/>
          </w:tcPr>
          <w:p w14:paraId="101F253F" w14:textId="394308C2" w:rsidR="00DE22C7" w:rsidRPr="00C00A2E" w:rsidRDefault="00DE22C7" w:rsidP="00DE22C7">
            <w:pPr>
              <w:jc w:val="both"/>
              <w:rPr>
                <w:rFonts w:cs="Arial"/>
              </w:rPr>
            </w:pPr>
            <w:r>
              <w:rPr>
                <w:rFonts w:cs="Arial"/>
              </w:rPr>
              <w:t>On going</w:t>
            </w:r>
          </w:p>
        </w:tc>
      </w:tr>
      <w:tr w:rsidR="009F1A2F" w:rsidRPr="00D749ED" w14:paraId="6A554746" w14:textId="77777777" w:rsidTr="009F1A2F">
        <w:trPr>
          <w:trHeight w:val="88"/>
          <w:jc w:val="center"/>
        </w:trPr>
        <w:tc>
          <w:tcPr>
            <w:tcW w:w="1737" w:type="dxa"/>
            <w:vAlign w:val="center"/>
          </w:tcPr>
          <w:p w14:paraId="364B07DA" w14:textId="77777777" w:rsidR="009F1A2F" w:rsidRPr="00C00A2E" w:rsidRDefault="009F1A2F" w:rsidP="009F1A2F">
            <w:pPr>
              <w:jc w:val="center"/>
              <w:rPr>
                <w:rFonts w:cs="Arial"/>
              </w:rPr>
            </w:pPr>
            <w:r w:rsidRPr="00C00A2E">
              <w:rPr>
                <w:rFonts w:cs="Arial"/>
              </w:rPr>
              <w:t xml:space="preserve">Storage stability test – </w:t>
            </w:r>
            <w:r w:rsidRPr="00C00A2E">
              <w:rPr>
                <w:rFonts w:cs="Arial"/>
                <w:b/>
              </w:rPr>
              <w:t>low temperature stability test for liquids</w:t>
            </w:r>
          </w:p>
        </w:tc>
        <w:tc>
          <w:tcPr>
            <w:tcW w:w="1251" w:type="dxa"/>
            <w:vAlign w:val="center"/>
          </w:tcPr>
          <w:p w14:paraId="77790B76" w14:textId="77777777" w:rsidR="009F1A2F" w:rsidRPr="00C00A2E" w:rsidRDefault="009F1A2F" w:rsidP="009F1A2F">
            <w:pPr>
              <w:jc w:val="center"/>
              <w:rPr>
                <w:rFonts w:cs="Arial"/>
              </w:rPr>
            </w:pPr>
          </w:p>
        </w:tc>
        <w:tc>
          <w:tcPr>
            <w:tcW w:w="1391" w:type="dxa"/>
            <w:vAlign w:val="center"/>
          </w:tcPr>
          <w:p w14:paraId="79B9A2D4" w14:textId="77777777" w:rsidR="009F1A2F" w:rsidRPr="00C00A2E" w:rsidRDefault="009F1A2F" w:rsidP="009F1A2F">
            <w:pPr>
              <w:jc w:val="center"/>
              <w:rPr>
                <w:rFonts w:cs="Arial"/>
              </w:rPr>
            </w:pPr>
          </w:p>
        </w:tc>
        <w:tc>
          <w:tcPr>
            <w:tcW w:w="5840" w:type="dxa"/>
            <w:vAlign w:val="center"/>
          </w:tcPr>
          <w:p w14:paraId="61A88DAF" w14:textId="77777777" w:rsidR="009F1A2F" w:rsidRPr="00D749ED" w:rsidRDefault="009F1A2F" w:rsidP="009F1A2F">
            <w:pPr>
              <w:jc w:val="center"/>
              <w:rPr>
                <w:rFonts w:cs="Arial"/>
                <w:sz w:val="18"/>
                <w:szCs w:val="18"/>
              </w:rPr>
            </w:pPr>
          </w:p>
        </w:tc>
        <w:tc>
          <w:tcPr>
            <w:tcW w:w="612" w:type="dxa"/>
            <w:vAlign w:val="center"/>
          </w:tcPr>
          <w:p w14:paraId="1A50575B" w14:textId="77777777" w:rsidR="009F1A2F" w:rsidRPr="00C00A2E" w:rsidRDefault="009F1A2F" w:rsidP="009F1A2F">
            <w:pPr>
              <w:jc w:val="center"/>
              <w:rPr>
                <w:rFonts w:cs="Arial"/>
              </w:rPr>
            </w:pPr>
          </w:p>
        </w:tc>
        <w:tc>
          <w:tcPr>
            <w:tcW w:w="1435" w:type="dxa"/>
            <w:vAlign w:val="center"/>
          </w:tcPr>
          <w:p w14:paraId="1733FD4D" w14:textId="77777777" w:rsidR="009F1A2F" w:rsidRPr="00C00A2E" w:rsidRDefault="009F1A2F" w:rsidP="009F1A2F">
            <w:pPr>
              <w:jc w:val="center"/>
              <w:rPr>
                <w:rFonts w:cs="Arial"/>
              </w:rPr>
            </w:pPr>
          </w:p>
        </w:tc>
        <w:tc>
          <w:tcPr>
            <w:tcW w:w="2652" w:type="dxa"/>
            <w:vAlign w:val="center"/>
          </w:tcPr>
          <w:p w14:paraId="0CBECCEF" w14:textId="333F8B71" w:rsidR="009F1A2F" w:rsidRDefault="009F1A2F" w:rsidP="007763D2">
            <w:pPr>
              <w:jc w:val="both"/>
              <w:rPr>
                <w:rFonts w:cs="Arial"/>
              </w:rPr>
            </w:pPr>
            <w:r w:rsidRPr="00C00A2E">
              <w:rPr>
                <w:rFonts w:cs="Arial"/>
              </w:rPr>
              <w:t xml:space="preserve">This study is not </w:t>
            </w:r>
            <w:r w:rsidR="00E353FD">
              <w:rPr>
                <w:rFonts w:cs="Arial"/>
              </w:rPr>
              <w:t>provided.</w:t>
            </w:r>
          </w:p>
          <w:p w14:paraId="40893223" w14:textId="3970233E" w:rsidR="00910FD6" w:rsidRPr="00C00A2E" w:rsidRDefault="00910FD6" w:rsidP="007763D2">
            <w:pPr>
              <w:jc w:val="both"/>
              <w:rPr>
                <w:rFonts w:cs="Arial"/>
              </w:rPr>
            </w:pPr>
            <w:r>
              <w:rPr>
                <w:rFonts w:cs="Arial"/>
              </w:rPr>
              <w:t>Therefore, the product should be protect</w:t>
            </w:r>
            <w:r w:rsidR="004F00B2">
              <w:rPr>
                <w:rFonts w:cs="Arial"/>
              </w:rPr>
              <w:t>ed</w:t>
            </w:r>
            <w:r>
              <w:rPr>
                <w:rFonts w:cs="Arial"/>
              </w:rPr>
              <w:t xml:space="preserve"> from frost.</w:t>
            </w:r>
          </w:p>
        </w:tc>
      </w:tr>
      <w:tr w:rsidR="009F1A2F" w:rsidRPr="00D749ED" w14:paraId="120BFCFF" w14:textId="77777777" w:rsidTr="009F1A2F">
        <w:trPr>
          <w:trHeight w:val="88"/>
          <w:jc w:val="center"/>
        </w:trPr>
        <w:tc>
          <w:tcPr>
            <w:tcW w:w="1737" w:type="dxa"/>
            <w:vAlign w:val="center"/>
          </w:tcPr>
          <w:p w14:paraId="649C2B1C" w14:textId="77777777" w:rsidR="009F1A2F" w:rsidRPr="00C00A2E" w:rsidRDefault="009F1A2F" w:rsidP="009F1A2F">
            <w:pPr>
              <w:jc w:val="center"/>
              <w:rPr>
                <w:rFonts w:cs="Arial"/>
                <w:lang w:eastAsia="en-US"/>
              </w:rPr>
            </w:pPr>
            <w:r w:rsidRPr="00C00A2E">
              <w:rPr>
                <w:rFonts w:cs="Arial"/>
                <w:lang w:eastAsia="en-US"/>
              </w:rPr>
              <w:t xml:space="preserve">Effects on content of the active substance and technical characteristics of the biocidal product - </w:t>
            </w:r>
            <w:r w:rsidRPr="00C00A2E">
              <w:rPr>
                <w:rFonts w:cs="Arial"/>
                <w:b/>
                <w:lang w:eastAsia="en-US"/>
              </w:rPr>
              <w:t>light</w:t>
            </w:r>
          </w:p>
        </w:tc>
        <w:tc>
          <w:tcPr>
            <w:tcW w:w="1251" w:type="dxa"/>
            <w:vAlign w:val="center"/>
          </w:tcPr>
          <w:p w14:paraId="562EB37A" w14:textId="77777777" w:rsidR="009F1A2F" w:rsidRPr="00C00A2E" w:rsidRDefault="009F1A2F" w:rsidP="009F1A2F">
            <w:pPr>
              <w:jc w:val="center"/>
              <w:rPr>
                <w:rFonts w:cs="Arial"/>
                <w:lang w:eastAsia="en-US"/>
              </w:rPr>
            </w:pPr>
          </w:p>
        </w:tc>
        <w:tc>
          <w:tcPr>
            <w:tcW w:w="1391" w:type="dxa"/>
            <w:vAlign w:val="center"/>
          </w:tcPr>
          <w:p w14:paraId="58A83526" w14:textId="77777777" w:rsidR="009F1A2F" w:rsidRPr="00C00A2E" w:rsidRDefault="009F1A2F" w:rsidP="009F1A2F">
            <w:pPr>
              <w:jc w:val="center"/>
              <w:rPr>
                <w:rFonts w:cs="Arial"/>
                <w:lang w:eastAsia="en-US"/>
              </w:rPr>
            </w:pPr>
          </w:p>
        </w:tc>
        <w:tc>
          <w:tcPr>
            <w:tcW w:w="5840" w:type="dxa"/>
            <w:vAlign w:val="center"/>
          </w:tcPr>
          <w:p w14:paraId="480BC6E0" w14:textId="77777777" w:rsidR="009F1A2F" w:rsidRPr="00D749ED" w:rsidRDefault="009F1A2F" w:rsidP="009F1A2F">
            <w:pPr>
              <w:rPr>
                <w:rFonts w:cs="Arial"/>
                <w:sz w:val="18"/>
                <w:szCs w:val="18"/>
                <w:lang w:eastAsia="en-US"/>
              </w:rPr>
            </w:pPr>
            <w:r w:rsidRPr="00D749ED">
              <w:rPr>
                <w:rFonts w:cs="Arial"/>
                <w:lang w:eastAsia="en-US"/>
              </w:rPr>
              <w:t>The active substance is light sensitive but the packaging is an opaque HDPE can.</w:t>
            </w:r>
          </w:p>
        </w:tc>
        <w:tc>
          <w:tcPr>
            <w:tcW w:w="612" w:type="dxa"/>
            <w:vAlign w:val="center"/>
          </w:tcPr>
          <w:p w14:paraId="06D95193" w14:textId="77777777" w:rsidR="009F1A2F" w:rsidRPr="00C00A2E" w:rsidRDefault="009F1A2F" w:rsidP="009F1A2F">
            <w:pPr>
              <w:jc w:val="center"/>
              <w:rPr>
                <w:rFonts w:cs="Arial"/>
                <w:lang w:eastAsia="en-US"/>
              </w:rPr>
            </w:pPr>
          </w:p>
        </w:tc>
        <w:tc>
          <w:tcPr>
            <w:tcW w:w="1435" w:type="dxa"/>
            <w:vAlign w:val="center"/>
          </w:tcPr>
          <w:p w14:paraId="5A1B31D8" w14:textId="77777777" w:rsidR="009F1A2F" w:rsidRPr="00C00A2E" w:rsidRDefault="009F1A2F" w:rsidP="009F1A2F">
            <w:pPr>
              <w:jc w:val="center"/>
              <w:rPr>
                <w:rFonts w:cs="Arial"/>
                <w:lang w:eastAsia="en-US"/>
              </w:rPr>
            </w:pPr>
          </w:p>
        </w:tc>
        <w:tc>
          <w:tcPr>
            <w:tcW w:w="2652" w:type="dxa"/>
            <w:vAlign w:val="center"/>
          </w:tcPr>
          <w:p w14:paraId="51AA9D6F" w14:textId="77777777" w:rsidR="009F1A2F" w:rsidRDefault="00910FD6" w:rsidP="009F1A2F">
            <w:pPr>
              <w:rPr>
                <w:rFonts w:cs="Arial"/>
              </w:rPr>
            </w:pPr>
            <w:r>
              <w:rPr>
                <w:rFonts w:cs="Arial"/>
              </w:rPr>
              <w:t>Acceptable</w:t>
            </w:r>
          </w:p>
          <w:p w14:paraId="60540335" w14:textId="3DD6006C" w:rsidR="0006732F" w:rsidRPr="00C00A2E" w:rsidRDefault="0006732F" w:rsidP="007763D2">
            <w:pPr>
              <w:jc w:val="both"/>
              <w:rPr>
                <w:rFonts w:cs="Arial"/>
                <w:lang w:eastAsia="en-US"/>
              </w:rPr>
            </w:pPr>
            <w:r>
              <w:rPr>
                <w:rFonts w:cs="Arial"/>
              </w:rPr>
              <w:t>Protect from direct sunlight</w:t>
            </w:r>
            <w:r w:rsidR="007A772F">
              <w:rPr>
                <w:rFonts w:cs="Arial"/>
              </w:rPr>
              <w:t>.</w:t>
            </w:r>
          </w:p>
        </w:tc>
      </w:tr>
      <w:tr w:rsidR="009F1A2F" w:rsidRPr="00D749ED" w14:paraId="692CE0D4" w14:textId="77777777" w:rsidTr="009F1A2F">
        <w:trPr>
          <w:trHeight w:val="88"/>
          <w:jc w:val="center"/>
        </w:trPr>
        <w:tc>
          <w:tcPr>
            <w:tcW w:w="1737" w:type="dxa"/>
            <w:vAlign w:val="center"/>
          </w:tcPr>
          <w:p w14:paraId="70F575F6" w14:textId="77777777" w:rsidR="009F1A2F" w:rsidRPr="00C00A2E" w:rsidRDefault="009F1A2F" w:rsidP="009F1A2F">
            <w:pPr>
              <w:jc w:val="center"/>
              <w:rPr>
                <w:rFonts w:cs="Arial"/>
              </w:rPr>
            </w:pPr>
            <w:r w:rsidRPr="00C00A2E">
              <w:rPr>
                <w:rFonts w:cs="Arial"/>
              </w:rPr>
              <w:t xml:space="preserve">Effects on content of the active </w:t>
            </w:r>
            <w:r w:rsidRPr="00C00A2E">
              <w:rPr>
                <w:rFonts w:cs="Arial"/>
              </w:rPr>
              <w:lastRenderedPageBreak/>
              <w:t xml:space="preserve">substance and technical characteristics of the biocidal product – </w:t>
            </w:r>
            <w:r w:rsidRPr="00C00A2E">
              <w:rPr>
                <w:rFonts w:cs="Arial"/>
                <w:b/>
              </w:rPr>
              <w:t>temperature and humidity</w:t>
            </w:r>
          </w:p>
        </w:tc>
        <w:tc>
          <w:tcPr>
            <w:tcW w:w="1251" w:type="dxa"/>
            <w:vAlign w:val="center"/>
          </w:tcPr>
          <w:p w14:paraId="13BB4878" w14:textId="77777777" w:rsidR="009F1A2F" w:rsidRPr="00C00A2E" w:rsidRDefault="009F1A2F" w:rsidP="009F1A2F">
            <w:pPr>
              <w:jc w:val="center"/>
              <w:rPr>
                <w:rFonts w:cs="Arial"/>
              </w:rPr>
            </w:pPr>
          </w:p>
        </w:tc>
        <w:tc>
          <w:tcPr>
            <w:tcW w:w="1391" w:type="dxa"/>
            <w:vAlign w:val="center"/>
          </w:tcPr>
          <w:p w14:paraId="12D7DEDD" w14:textId="77777777" w:rsidR="009F1A2F" w:rsidRPr="00C00A2E" w:rsidRDefault="009F1A2F" w:rsidP="009F1A2F">
            <w:pPr>
              <w:jc w:val="center"/>
              <w:rPr>
                <w:rFonts w:cs="Arial"/>
              </w:rPr>
            </w:pPr>
          </w:p>
        </w:tc>
        <w:tc>
          <w:tcPr>
            <w:tcW w:w="5840" w:type="dxa"/>
            <w:vAlign w:val="center"/>
          </w:tcPr>
          <w:p w14:paraId="63CD0785" w14:textId="77777777" w:rsidR="009F1A2F" w:rsidRDefault="00910FD6" w:rsidP="009F1A2F">
            <w:pPr>
              <w:rPr>
                <w:rFonts w:cs="Arial"/>
                <w:sz w:val="18"/>
                <w:szCs w:val="18"/>
              </w:rPr>
            </w:pPr>
            <w:r>
              <w:rPr>
                <w:rFonts w:cs="Arial"/>
                <w:lang w:eastAsia="en-US"/>
              </w:rPr>
              <w:t>S</w:t>
            </w:r>
            <w:r w:rsidR="009F1A2F">
              <w:rPr>
                <w:rFonts w:cs="Arial"/>
                <w:lang w:eastAsia="en-US"/>
              </w:rPr>
              <w:t>ee “</w:t>
            </w:r>
            <w:r w:rsidR="009F1A2F" w:rsidRPr="00D749ED">
              <w:rPr>
                <w:rFonts w:cs="Arial"/>
                <w:sz w:val="18"/>
                <w:szCs w:val="18"/>
              </w:rPr>
              <w:t xml:space="preserve">Storage stability test – </w:t>
            </w:r>
            <w:r w:rsidR="009F1A2F" w:rsidRPr="00D749ED">
              <w:rPr>
                <w:rFonts w:cs="Arial"/>
                <w:b/>
                <w:sz w:val="18"/>
                <w:szCs w:val="18"/>
              </w:rPr>
              <w:t>accelerated storage</w:t>
            </w:r>
            <w:r w:rsidR="009F1A2F" w:rsidRPr="002A0DFD">
              <w:rPr>
                <w:rFonts w:cs="Arial"/>
                <w:sz w:val="18"/>
                <w:szCs w:val="18"/>
              </w:rPr>
              <w:t>”</w:t>
            </w:r>
          </w:p>
          <w:p w14:paraId="07B9EF26" w14:textId="77777777" w:rsidR="00DE22C7" w:rsidRPr="007763D2" w:rsidRDefault="00DE22C7" w:rsidP="007763D2">
            <w:pPr>
              <w:jc w:val="both"/>
              <w:rPr>
                <w:rFonts w:cs="Arial"/>
                <w:lang w:eastAsia="en-US"/>
              </w:rPr>
            </w:pPr>
            <w:r w:rsidRPr="007763D2">
              <w:rPr>
                <w:rFonts w:cs="Arial"/>
                <w:lang w:eastAsia="en-US"/>
              </w:rPr>
              <w:lastRenderedPageBreak/>
              <w:t>The effect of humidity is not relevant because the product is a water-based formulation stored in an impermeable plastic packaging.</w:t>
            </w:r>
          </w:p>
          <w:p w14:paraId="0318307E" w14:textId="77777777" w:rsidR="00DE22C7" w:rsidRPr="007763D2" w:rsidRDefault="00DE22C7" w:rsidP="007763D2">
            <w:pPr>
              <w:jc w:val="both"/>
              <w:rPr>
                <w:rFonts w:cs="Arial"/>
                <w:lang w:eastAsia="en-US"/>
              </w:rPr>
            </w:pPr>
          </w:p>
          <w:p w14:paraId="7E8D91C2" w14:textId="52090147" w:rsidR="00DE22C7" w:rsidRPr="00D749ED" w:rsidRDefault="00DE22C7" w:rsidP="007763D2">
            <w:pPr>
              <w:jc w:val="both"/>
              <w:rPr>
                <w:rFonts w:cs="Arial"/>
                <w:sz w:val="18"/>
                <w:szCs w:val="18"/>
              </w:rPr>
            </w:pPr>
            <w:r w:rsidRPr="007763D2">
              <w:rPr>
                <w:rFonts w:cs="Arial"/>
                <w:lang w:eastAsia="en-US"/>
              </w:rPr>
              <w:t>Temperature has an adverse effect on the iodine content. The product should not be stored at temperatures exceeding 30°C.</w:t>
            </w:r>
          </w:p>
        </w:tc>
        <w:tc>
          <w:tcPr>
            <w:tcW w:w="612" w:type="dxa"/>
            <w:vAlign w:val="center"/>
          </w:tcPr>
          <w:p w14:paraId="181DB8A3" w14:textId="77777777" w:rsidR="009F1A2F" w:rsidRPr="00C00A2E" w:rsidRDefault="009F1A2F" w:rsidP="009F1A2F">
            <w:pPr>
              <w:jc w:val="center"/>
              <w:rPr>
                <w:rFonts w:cs="Arial"/>
              </w:rPr>
            </w:pPr>
          </w:p>
        </w:tc>
        <w:tc>
          <w:tcPr>
            <w:tcW w:w="1435" w:type="dxa"/>
            <w:vAlign w:val="center"/>
          </w:tcPr>
          <w:p w14:paraId="4741141D" w14:textId="77777777" w:rsidR="009F1A2F" w:rsidRPr="00C00A2E" w:rsidRDefault="009F1A2F" w:rsidP="009F1A2F">
            <w:pPr>
              <w:jc w:val="center"/>
              <w:rPr>
                <w:rFonts w:cs="Arial"/>
              </w:rPr>
            </w:pPr>
          </w:p>
        </w:tc>
        <w:tc>
          <w:tcPr>
            <w:tcW w:w="2652" w:type="dxa"/>
            <w:vAlign w:val="center"/>
          </w:tcPr>
          <w:p w14:paraId="26AD80A4" w14:textId="46AA096E" w:rsidR="009F1A2F" w:rsidRPr="00C00A2E" w:rsidRDefault="004F00B2" w:rsidP="009F1A2F">
            <w:pPr>
              <w:rPr>
                <w:rFonts w:cs="Arial"/>
              </w:rPr>
            </w:pPr>
            <w:r>
              <w:rPr>
                <w:rFonts w:cs="Arial"/>
              </w:rPr>
              <w:t>Acceptable</w:t>
            </w:r>
          </w:p>
        </w:tc>
      </w:tr>
      <w:tr w:rsidR="009F1A2F" w:rsidRPr="00D749ED" w14:paraId="4CE1A8F5" w14:textId="77777777" w:rsidTr="00910FD6">
        <w:trPr>
          <w:trHeight w:val="282"/>
          <w:jc w:val="center"/>
        </w:trPr>
        <w:tc>
          <w:tcPr>
            <w:tcW w:w="1737" w:type="dxa"/>
            <w:vAlign w:val="center"/>
          </w:tcPr>
          <w:p w14:paraId="79BA0944" w14:textId="77777777" w:rsidR="009F1A2F" w:rsidRPr="00C00A2E" w:rsidRDefault="009F1A2F" w:rsidP="009F1A2F">
            <w:pPr>
              <w:jc w:val="center"/>
              <w:rPr>
                <w:rFonts w:cs="Arial"/>
              </w:rPr>
            </w:pPr>
            <w:r w:rsidRPr="00C00A2E">
              <w:rPr>
                <w:rFonts w:cs="Arial"/>
              </w:rPr>
              <w:t xml:space="preserve">Effects on content of the active substance and technical characteristics of the biocidal product - </w:t>
            </w:r>
            <w:r w:rsidRPr="00C00A2E">
              <w:rPr>
                <w:rFonts w:cs="Arial"/>
                <w:b/>
              </w:rPr>
              <w:t>reactivity towards container material</w:t>
            </w:r>
          </w:p>
        </w:tc>
        <w:tc>
          <w:tcPr>
            <w:tcW w:w="1251" w:type="dxa"/>
            <w:vAlign w:val="center"/>
          </w:tcPr>
          <w:p w14:paraId="71027740" w14:textId="77777777" w:rsidR="009F1A2F" w:rsidRPr="00C00A2E" w:rsidRDefault="009F1A2F" w:rsidP="009F1A2F">
            <w:pPr>
              <w:jc w:val="center"/>
              <w:rPr>
                <w:rFonts w:cs="Arial"/>
              </w:rPr>
            </w:pPr>
          </w:p>
        </w:tc>
        <w:tc>
          <w:tcPr>
            <w:tcW w:w="1391" w:type="dxa"/>
            <w:vAlign w:val="center"/>
          </w:tcPr>
          <w:p w14:paraId="06A5D4B4" w14:textId="77777777" w:rsidR="009F1A2F" w:rsidRPr="00C00A2E" w:rsidRDefault="009F1A2F" w:rsidP="009F1A2F">
            <w:pPr>
              <w:jc w:val="center"/>
              <w:rPr>
                <w:rFonts w:cs="Arial"/>
              </w:rPr>
            </w:pPr>
          </w:p>
        </w:tc>
        <w:tc>
          <w:tcPr>
            <w:tcW w:w="5840" w:type="dxa"/>
            <w:vAlign w:val="center"/>
          </w:tcPr>
          <w:p w14:paraId="5654C62A" w14:textId="77777777" w:rsidR="009F1A2F" w:rsidRDefault="009F1A2F" w:rsidP="009F1A2F">
            <w:pPr>
              <w:rPr>
                <w:rFonts w:cs="Arial"/>
                <w:b/>
              </w:rPr>
            </w:pPr>
            <w:r w:rsidRPr="00D749ED">
              <w:rPr>
                <w:rFonts w:cs="Arial"/>
                <w:lang w:eastAsia="en-US"/>
              </w:rPr>
              <w:t>See ”</w:t>
            </w:r>
            <w:r w:rsidRPr="00D749ED">
              <w:rPr>
                <w:rFonts w:cs="Arial"/>
              </w:rPr>
              <w:t xml:space="preserve">Storage stability test – </w:t>
            </w:r>
            <w:r w:rsidRPr="00D749ED">
              <w:rPr>
                <w:rFonts w:cs="Arial"/>
                <w:b/>
              </w:rPr>
              <w:t>long term storage at ambient temperature”</w:t>
            </w:r>
          </w:p>
          <w:p w14:paraId="22DDBA02" w14:textId="55DB13B6" w:rsidR="0006732F" w:rsidRPr="0006732F" w:rsidRDefault="0006732F" w:rsidP="007763D2">
            <w:pPr>
              <w:jc w:val="both"/>
              <w:rPr>
                <w:rFonts w:cs="Arial"/>
                <w:sz w:val="18"/>
                <w:szCs w:val="18"/>
              </w:rPr>
            </w:pPr>
            <w:r w:rsidRPr="007763D2">
              <w:rPr>
                <w:rFonts w:cs="Arial"/>
              </w:rPr>
              <w:t xml:space="preserve">The </w:t>
            </w:r>
            <w:r w:rsidR="007A772F">
              <w:rPr>
                <w:rFonts w:cs="Arial"/>
              </w:rPr>
              <w:t>accelerated/</w:t>
            </w:r>
            <w:r w:rsidRPr="0006732F">
              <w:rPr>
                <w:rFonts w:cs="Arial"/>
              </w:rPr>
              <w:t>long-term</w:t>
            </w:r>
            <w:r w:rsidRPr="007763D2">
              <w:rPr>
                <w:rFonts w:cs="Arial"/>
              </w:rPr>
              <w:t xml:space="preserve"> storage was performed in commercial packaging (HDPE)</w:t>
            </w:r>
            <w:r>
              <w:t xml:space="preserve"> </w:t>
            </w:r>
            <w:r w:rsidRPr="0006732F">
              <w:rPr>
                <w:rFonts w:cs="Arial"/>
              </w:rPr>
              <w:t>no signs of co</w:t>
            </w:r>
            <w:r>
              <w:rPr>
                <w:rFonts w:cs="Arial"/>
              </w:rPr>
              <w:t>rrosion, degradation or seepage and no weight change were recorded. Therefore, the packaging is suitable.</w:t>
            </w:r>
          </w:p>
        </w:tc>
        <w:tc>
          <w:tcPr>
            <w:tcW w:w="612" w:type="dxa"/>
            <w:vAlign w:val="center"/>
          </w:tcPr>
          <w:p w14:paraId="2F35B68B" w14:textId="77777777" w:rsidR="009F1A2F" w:rsidRPr="00C00A2E" w:rsidRDefault="009F1A2F" w:rsidP="009F1A2F">
            <w:pPr>
              <w:jc w:val="center"/>
              <w:rPr>
                <w:rFonts w:cs="Arial"/>
              </w:rPr>
            </w:pPr>
          </w:p>
        </w:tc>
        <w:tc>
          <w:tcPr>
            <w:tcW w:w="1435" w:type="dxa"/>
            <w:vAlign w:val="center"/>
          </w:tcPr>
          <w:p w14:paraId="3AA8C7D7" w14:textId="77777777" w:rsidR="009F1A2F" w:rsidRPr="00C00A2E" w:rsidRDefault="009F1A2F" w:rsidP="009F1A2F">
            <w:pPr>
              <w:jc w:val="center"/>
              <w:rPr>
                <w:rFonts w:cs="Arial"/>
              </w:rPr>
            </w:pPr>
          </w:p>
        </w:tc>
        <w:tc>
          <w:tcPr>
            <w:tcW w:w="2652" w:type="dxa"/>
            <w:vAlign w:val="center"/>
          </w:tcPr>
          <w:p w14:paraId="780758AC" w14:textId="68CB1A1A" w:rsidR="009F1A2F" w:rsidRPr="00C00A2E" w:rsidRDefault="0006732F" w:rsidP="009F1A2F">
            <w:pPr>
              <w:rPr>
                <w:rFonts w:cs="Arial"/>
              </w:rPr>
            </w:pPr>
            <w:r>
              <w:rPr>
                <w:rFonts w:cs="Arial"/>
              </w:rPr>
              <w:t>Acceptable</w:t>
            </w:r>
          </w:p>
        </w:tc>
      </w:tr>
      <w:tr w:rsidR="009F1A2F" w:rsidRPr="00D749ED" w14:paraId="0DEB8CAB" w14:textId="77777777" w:rsidTr="009F1A2F">
        <w:trPr>
          <w:trHeight w:val="146"/>
          <w:jc w:val="center"/>
        </w:trPr>
        <w:tc>
          <w:tcPr>
            <w:tcW w:w="1737" w:type="dxa"/>
            <w:vAlign w:val="center"/>
          </w:tcPr>
          <w:p w14:paraId="081B9D31" w14:textId="77777777" w:rsidR="009F1A2F" w:rsidRPr="00C00A2E" w:rsidRDefault="009F1A2F" w:rsidP="009F1A2F">
            <w:pPr>
              <w:jc w:val="center"/>
              <w:rPr>
                <w:rFonts w:cs="Arial"/>
              </w:rPr>
            </w:pPr>
            <w:r w:rsidRPr="00C00A2E">
              <w:rPr>
                <w:rFonts w:cs="Arial"/>
              </w:rPr>
              <w:t>Wettability</w:t>
            </w:r>
          </w:p>
        </w:tc>
        <w:tc>
          <w:tcPr>
            <w:tcW w:w="1251" w:type="dxa"/>
            <w:vAlign w:val="center"/>
          </w:tcPr>
          <w:p w14:paraId="266A20A4" w14:textId="77777777" w:rsidR="009F1A2F" w:rsidRPr="00C00A2E" w:rsidRDefault="009F1A2F" w:rsidP="009F1A2F">
            <w:pPr>
              <w:jc w:val="center"/>
              <w:rPr>
                <w:rFonts w:cs="Arial"/>
              </w:rPr>
            </w:pPr>
          </w:p>
        </w:tc>
        <w:tc>
          <w:tcPr>
            <w:tcW w:w="1391" w:type="dxa"/>
            <w:vAlign w:val="center"/>
          </w:tcPr>
          <w:p w14:paraId="50730420" w14:textId="77777777" w:rsidR="009F1A2F" w:rsidRPr="00C00A2E" w:rsidRDefault="009F1A2F" w:rsidP="009F1A2F">
            <w:pPr>
              <w:jc w:val="center"/>
              <w:rPr>
                <w:rFonts w:cs="Arial"/>
              </w:rPr>
            </w:pPr>
          </w:p>
        </w:tc>
        <w:tc>
          <w:tcPr>
            <w:tcW w:w="5840" w:type="dxa"/>
          </w:tcPr>
          <w:p w14:paraId="67722394" w14:textId="77777777" w:rsidR="009F1A2F" w:rsidRPr="00D749ED" w:rsidRDefault="009F1A2F" w:rsidP="009F1A2F">
            <w:pPr>
              <w:rPr>
                <w:rFonts w:cs="Arial"/>
              </w:rPr>
            </w:pPr>
            <w:r w:rsidRPr="00D749ED">
              <w:rPr>
                <w:rFonts w:cs="Arial"/>
              </w:rPr>
              <w:t>Not relevant</w:t>
            </w:r>
            <w:r>
              <w:rPr>
                <w:rFonts w:cs="Arial"/>
              </w:rPr>
              <w:t xml:space="preserve"> for a liquid formulation.</w:t>
            </w:r>
          </w:p>
        </w:tc>
        <w:tc>
          <w:tcPr>
            <w:tcW w:w="612" w:type="dxa"/>
            <w:vAlign w:val="center"/>
          </w:tcPr>
          <w:p w14:paraId="20CBCA72" w14:textId="77777777" w:rsidR="009F1A2F" w:rsidRPr="00C00A2E" w:rsidRDefault="009F1A2F" w:rsidP="009F1A2F">
            <w:pPr>
              <w:jc w:val="center"/>
              <w:rPr>
                <w:rFonts w:cs="Arial"/>
              </w:rPr>
            </w:pPr>
          </w:p>
        </w:tc>
        <w:tc>
          <w:tcPr>
            <w:tcW w:w="1435" w:type="dxa"/>
            <w:vAlign w:val="center"/>
          </w:tcPr>
          <w:p w14:paraId="45223D8C" w14:textId="77777777" w:rsidR="009F1A2F" w:rsidRPr="00C00A2E" w:rsidRDefault="009F1A2F" w:rsidP="009F1A2F">
            <w:pPr>
              <w:jc w:val="center"/>
              <w:rPr>
                <w:rFonts w:cs="Arial"/>
              </w:rPr>
            </w:pPr>
          </w:p>
        </w:tc>
        <w:tc>
          <w:tcPr>
            <w:tcW w:w="2652" w:type="dxa"/>
            <w:vAlign w:val="center"/>
          </w:tcPr>
          <w:p w14:paraId="4D9FFE4C" w14:textId="77777777" w:rsidR="009F1A2F" w:rsidRPr="00C00A2E" w:rsidRDefault="009F1A2F" w:rsidP="009F1A2F">
            <w:pPr>
              <w:rPr>
                <w:rFonts w:cs="Arial"/>
              </w:rPr>
            </w:pPr>
          </w:p>
        </w:tc>
      </w:tr>
      <w:tr w:rsidR="009F1A2F" w:rsidRPr="00D749ED" w14:paraId="449C0874" w14:textId="77777777" w:rsidTr="009F1A2F">
        <w:trPr>
          <w:trHeight w:val="445"/>
          <w:jc w:val="center"/>
        </w:trPr>
        <w:tc>
          <w:tcPr>
            <w:tcW w:w="1737" w:type="dxa"/>
            <w:vAlign w:val="center"/>
          </w:tcPr>
          <w:p w14:paraId="2080348B" w14:textId="77777777" w:rsidR="009F1A2F" w:rsidRPr="00C00A2E" w:rsidRDefault="009F1A2F" w:rsidP="009F1A2F">
            <w:pPr>
              <w:jc w:val="center"/>
              <w:rPr>
                <w:rFonts w:cs="Arial"/>
              </w:rPr>
            </w:pPr>
            <w:r w:rsidRPr="00C00A2E">
              <w:rPr>
                <w:rFonts w:cs="Arial"/>
              </w:rPr>
              <w:t>Suspensibility, spontaneity and dispersion stability</w:t>
            </w:r>
          </w:p>
        </w:tc>
        <w:tc>
          <w:tcPr>
            <w:tcW w:w="1251" w:type="dxa"/>
            <w:vAlign w:val="center"/>
          </w:tcPr>
          <w:p w14:paraId="716C89B7" w14:textId="77777777" w:rsidR="009F1A2F" w:rsidRPr="00C00A2E" w:rsidRDefault="009F1A2F" w:rsidP="009F1A2F">
            <w:pPr>
              <w:jc w:val="center"/>
              <w:rPr>
                <w:rFonts w:cs="Arial"/>
              </w:rPr>
            </w:pPr>
          </w:p>
        </w:tc>
        <w:tc>
          <w:tcPr>
            <w:tcW w:w="1391" w:type="dxa"/>
            <w:vAlign w:val="center"/>
          </w:tcPr>
          <w:p w14:paraId="6BEC2DC9" w14:textId="77777777" w:rsidR="009F1A2F" w:rsidRPr="00C00A2E" w:rsidRDefault="009F1A2F" w:rsidP="009F1A2F">
            <w:pPr>
              <w:jc w:val="center"/>
              <w:rPr>
                <w:rFonts w:cs="Arial"/>
              </w:rPr>
            </w:pPr>
          </w:p>
        </w:tc>
        <w:tc>
          <w:tcPr>
            <w:tcW w:w="5840" w:type="dxa"/>
          </w:tcPr>
          <w:p w14:paraId="5EA55F0B" w14:textId="77777777" w:rsidR="009F1A2F" w:rsidRPr="00D749ED" w:rsidRDefault="009F1A2F" w:rsidP="009F1A2F">
            <w:pPr>
              <w:rPr>
                <w:rFonts w:cs="Arial"/>
              </w:rPr>
            </w:pPr>
            <w:r w:rsidRPr="00D749ED">
              <w:rPr>
                <w:rFonts w:cs="Arial"/>
              </w:rPr>
              <w:t>Not relevant</w:t>
            </w:r>
            <w:r>
              <w:rPr>
                <w:rFonts w:cs="Arial"/>
              </w:rPr>
              <w:t xml:space="preserve"> for a ready-to-use formulation. </w:t>
            </w:r>
          </w:p>
        </w:tc>
        <w:tc>
          <w:tcPr>
            <w:tcW w:w="612" w:type="dxa"/>
            <w:vAlign w:val="center"/>
          </w:tcPr>
          <w:p w14:paraId="093C1FE9" w14:textId="77777777" w:rsidR="009F1A2F" w:rsidRPr="00C00A2E" w:rsidRDefault="009F1A2F" w:rsidP="009F1A2F">
            <w:pPr>
              <w:jc w:val="center"/>
              <w:rPr>
                <w:rFonts w:cs="Arial"/>
              </w:rPr>
            </w:pPr>
          </w:p>
        </w:tc>
        <w:tc>
          <w:tcPr>
            <w:tcW w:w="1435" w:type="dxa"/>
            <w:vAlign w:val="center"/>
          </w:tcPr>
          <w:p w14:paraId="62A0EB3C" w14:textId="77777777" w:rsidR="009F1A2F" w:rsidRPr="00C00A2E" w:rsidRDefault="009F1A2F" w:rsidP="009F1A2F">
            <w:pPr>
              <w:jc w:val="center"/>
              <w:rPr>
                <w:rFonts w:cs="Arial"/>
              </w:rPr>
            </w:pPr>
          </w:p>
        </w:tc>
        <w:tc>
          <w:tcPr>
            <w:tcW w:w="2652" w:type="dxa"/>
            <w:vAlign w:val="center"/>
          </w:tcPr>
          <w:p w14:paraId="526D4279" w14:textId="77777777" w:rsidR="009F1A2F" w:rsidRPr="00C00A2E" w:rsidRDefault="009F1A2F" w:rsidP="009F1A2F">
            <w:pPr>
              <w:rPr>
                <w:rFonts w:cs="Arial"/>
              </w:rPr>
            </w:pPr>
          </w:p>
        </w:tc>
      </w:tr>
      <w:tr w:rsidR="009F1A2F" w:rsidRPr="00D749ED" w14:paraId="0C6CD4E7" w14:textId="77777777" w:rsidTr="009F1A2F">
        <w:trPr>
          <w:trHeight w:val="299"/>
          <w:jc w:val="center"/>
        </w:trPr>
        <w:tc>
          <w:tcPr>
            <w:tcW w:w="1737" w:type="dxa"/>
            <w:vAlign w:val="center"/>
          </w:tcPr>
          <w:p w14:paraId="30FD2495" w14:textId="77777777" w:rsidR="009F1A2F" w:rsidRPr="00C00A2E" w:rsidRDefault="009F1A2F" w:rsidP="009F1A2F">
            <w:pPr>
              <w:jc w:val="center"/>
              <w:rPr>
                <w:rFonts w:cs="Arial"/>
              </w:rPr>
            </w:pPr>
            <w:r w:rsidRPr="00C00A2E">
              <w:rPr>
                <w:rFonts w:cs="Arial"/>
              </w:rPr>
              <w:t>Wet sieve analysis and dry sieve test</w:t>
            </w:r>
          </w:p>
        </w:tc>
        <w:tc>
          <w:tcPr>
            <w:tcW w:w="1251" w:type="dxa"/>
            <w:vAlign w:val="center"/>
          </w:tcPr>
          <w:p w14:paraId="7A7124D1" w14:textId="77777777" w:rsidR="009F1A2F" w:rsidRPr="00C00A2E" w:rsidRDefault="009F1A2F" w:rsidP="009F1A2F">
            <w:pPr>
              <w:jc w:val="center"/>
              <w:rPr>
                <w:rFonts w:cs="Arial"/>
              </w:rPr>
            </w:pPr>
          </w:p>
        </w:tc>
        <w:tc>
          <w:tcPr>
            <w:tcW w:w="1391" w:type="dxa"/>
            <w:vAlign w:val="center"/>
          </w:tcPr>
          <w:p w14:paraId="619E6B12" w14:textId="77777777" w:rsidR="009F1A2F" w:rsidRPr="00C00A2E" w:rsidRDefault="009F1A2F" w:rsidP="009F1A2F">
            <w:pPr>
              <w:jc w:val="center"/>
              <w:rPr>
                <w:rFonts w:cs="Arial"/>
              </w:rPr>
            </w:pPr>
          </w:p>
        </w:tc>
        <w:tc>
          <w:tcPr>
            <w:tcW w:w="5840" w:type="dxa"/>
          </w:tcPr>
          <w:p w14:paraId="157E8934" w14:textId="77777777" w:rsidR="009F1A2F" w:rsidRPr="00D749ED" w:rsidRDefault="009F1A2F" w:rsidP="009F1A2F">
            <w:pPr>
              <w:rPr>
                <w:rFonts w:cs="Arial"/>
              </w:rPr>
            </w:pPr>
            <w:r w:rsidRPr="00D749ED">
              <w:rPr>
                <w:rFonts w:cs="Arial"/>
              </w:rPr>
              <w:t>Not relevant</w:t>
            </w:r>
            <w:r>
              <w:rPr>
                <w:rFonts w:cs="Arial"/>
              </w:rPr>
              <w:t xml:space="preserve"> for a liquid formulation.</w:t>
            </w:r>
          </w:p>
        </w:tc>
        <w:tc>
          <w:tcPr>
            <w:tcW w:w="612" w:type="dxa"/>
            <w:vAlign w:val="center"/>
          </w:tcPr>
          <w:p w14:paraId="32624671" w14:textId="77777777" w:rsidR="009F1A2F" w:rsidRPr="00C00A2E" w:rsidRDefault="009F1A2F" w:rsidP="009F1A2F">
            <w:pPr>
              <w:jc w:val="center"/>
              <w:rPr>
                <w:rFonts w:cs="Arial"/>
              </w:rPr>
            </w:pPr>
          </w:p>
        </w:tc>
        <w:tc>
          <w:tcPr>
            <w:tcW w:w="1435" w:type="dxa"/>
            <w:vAlign w:val="center"/>
          </w:tcPr>
          <w:p w14:paraId="7F351984" w14:textId="77777777" w:rsidR="009F1A2F" w:rsidRPr="00C00A2E" w:rsidRDefault="009F1A2F" w:rsidP="009F1A2F">
            <w:pPr>
              <w:jc w:val="center"/>
              <w:rPr>
                <w:rFonts w:cs="Arial"/>
              </w:rPr>
            </w:pPr>
          </w:p>
        </w:tc>
        <w:tc>
          <w:tcPr>
            <w:tcW w:w="2652" w:type="dxa"/>
            <w:vAlign w:val="center"/>
          </w:tcPr>
          <w:p w14:paraId="3320CD32" w14:textId="77777777" w:rsidR="009F1A2F" w:rsidRPr="00C00A2E" w:rsidRDefault="009F1A2F" w:rsidP="009F1A2F">
            <w:pPr>
              <w:rPr>
                <w:rFonts w:cs="Arial"/>
              </w:rPr>
            </w:pPr>
          </w:p>
        </w:tc>
      </w:tr>
      <w:tr w:rsidR="009F1A2F" w:rsidRPr="00D749ED" w14:paraId="4A0ABB8A" w14:textId="77777777" w:rsidTr="009F1A2F">
        <w:trPr>
          <w:trHeight w:val="445"/>
          <w:jc w:val="center"/>
        </w:trPr>
        <w:tc>
          <w:tcPr>
            <w:tcW w:w="1737" w:type="dxa"/>
            <w:vAlign w:val="center"/>
          </w:tcPr>
          <w:p w14:paraId="46305E4F" w14:textId="77777777" w:rsidR="009F1A2F" w:rsidRPr="00C00A2E" w:rsidRDefault="009F1A2F" w:rsidP="009F1A2F">
            <w:pPr>
              <w:jc w:val="center"/>
              <w:rPr>
                <w:rFonts w:cs="Arial"/>
              </w:rPr>
            </w:pPr>
            <w:r w:rsidRPr="00C00A2E">
              <w:rPr>
                <w:rFonts w:cs="Arial"/>
              </w:rPr>
              <w:t>Emulsifiability, re-emulsifiability and emulsion stability</w:t>
            </w:r>
          </w:p>
        </w:tc>
        <w:tc>
          <w:tcPr>
            <w:tcW w:w="1251" w:type="dxa"/>
            <w:vAlign w:val="center"/>
          </w:tcPr>
          <w:p w14:paraId="489EE5F9" w14:textId="77777777" w:rsidR="009F1A2F" w:rsidRPr="00C00A2E" w:rsidRDefault="009F1A2F" w:rsidP="009F1A2F">
            <w:pPr>
              <w:jc w:val="center"/>
              <w:rPr>
                <w:rFonts w:cs="Arial"/>
              </w:rPr>
            </w:pPr>
          </w:p>
        </w:tc>
        <w:tc>
          <w:tcPr>
            <w:tcW w:w="1391" w:type="dxa"/>
            <w:vAlign w:val="center"/>
          </w:tcPr>
          <w:p w14:paraId="12E9632B" w14:textId="77777777" w:rsidR="009F1A2F" w:rsidRPr="00C00A2E" w:rsidRDefault="009F1A2F" w:rsidP="009F1A2F">
            <w:pPr>
              <w:jc w:val="center"/>
              <w:rPr>
                <w:rFonts w:cs="Arial"/>
              </w:rPr>
            </w:pPr>
          </w:p>
        </w:tc>
        <w:tc>
          <w:tcPr>
            <w:tcW w:w="5840" w:type="dxa"/>
          </w:tcPr>
          <w:p w14:paraId="1E8E16B4" w14:textId="77777777" w:rsidR="009F1A2F" w:rsidRPr="00D749ED" w:rsidRDefault="009F1A2F" w:rsidP="009F1A2F">
            <w:pPr>
              <w:rPr>
                <w:rFonts w:cs="Arial"/>
              </w:rPr>
            </w:pPr>
            <w:r w:rsidRPr="00D749ED">
              <w:rPr>
                <w:rFonts w:cs="Arial"/>
              </w:rPr>
              <w:t>Not relevant</w:t>
            </w:r>
            <w:r>
              <w:rPr>
                <w:rFonts w:cs="Arial"/>
              </w:rPr>
              <w:t>.</w:t>
            </w:r>
          </w:p>
        </w:tc>
        <w:tc>
          <w:tcPr>
            <w:tcW w:w="612" w:type="dxa"/>
            <w:vAlign w:val="center"/>
          </w:tcPr>
          <w:p w14:paraId="4C09C611" w14:textId="77777777" w:rsidR="009F1A2F" w:rsidRPr="00C00A2E" w:rsidRDefault="009F1A2F" w:rsidP="009F1A2F">
            <w:pPr>
              <w:jc w:val="center"/>
              <w:rPr>
                <w:rFonts w:cs="Arial"/>
              </w:rPr>
            </w:pPr>
          </w:p>
        </w:tc>
        <w:tc>
          <w:tcPr>
            <w:tcW w:w="1435" w:type="dxa"/>
            <w:vAlign w:val="center"/>
          </w:tcPr>
          <w:p w14:paraId="2E004960" w14:textId="77777777" w:rsidR="009F1A2F" w:rsidRPr="00C00A2E" w:rsidRDefault="009F1A2F" w:rsidP="009F1A2F">
            <w:pPr>
              <w:jc w:val="center"/>
              <w:rPr>
                <w:rFonts w:cs="Arial"/>
              </w:rPr>
            </w:pPr>
          </w:p>
        </w:tc>
        <w:tc>
          <w:tcPr>
            <w:tcW w:w="2652" w:type="dxa"/>
            <w:vAlign w:val="center"/>
          </w:tcPr>
          <w:p w14:paraId="5C0BC17D" w14:textId="77777777" w:rsidR="009F1A2F" w:rsidRPr="00C00A2E" w:rsidRDefault="009F1A2F" w:rsidP="009F1A2F">
            <w:pPr>
              <w:rPr>
                <w:rFonts w:cs="Arial"/>
              </w:rPr>
            </w:pPr>
          </w:p>
        </w:tc>
      </w:tr>
      <w:tr w:rsidR="009F1A2F" w:rsidRPr="00D749ED" w14:paraId="66F70162" w14:textId="77777777" w:rsidTr="009F1A2F">
        <w:trPr>
          <w:trHeight w:val="146"/>
          <w:jc w:val="center"/>
        </w:trPr>
        <w:tc>
          <w:tcPr>
            <w:tcW w:w="1737" w:type="dxa"/>
            <w:vAlign w:val="center"/>
          </w:tcPr>
          <w:p w14:paraId="18C982E3" w14:textId="77777777" w:rsidR="009F1A2F" w:rsidRPr="00C00A2E" w:rsidRDefault="009F1A2F" w:rsidP="009F1A2F">
            <w:pPr>
              <w:jc w:val="center"/>
              <w:rPr>
                <w:rFonts w:cs="Arial"/>
              </w:rPr>
            </w:pPr>
            <w:r w:rsidRPr="00C00A2E">
              <w:rPr>
                <w:rFonts w:cs="Arial"/>
              </w:rPr>
              <w:lastRenderedPageBreak/>
              <w:t>Disintegration time</w:t>
            </w:r>
          </w:p>
        </w:tc>
        <w:tc>
          <w:tcPr>
            <w:tcW w:w="1251" w:type="dxa"/>
            <w:vAlign w:val="center"/>
          </w:tcPr>
          <w:p w14:paraId="05AF0B92" w14:textId="77777777" w:rsidR="009F1A2F" w:rsidRPr="00C00A2E" w:rsidRDefault="009F1A2F" w:rsidP="009F1A2F">
            <w:pPr>
              <w:jc w:val="center"/>
              <w:rPr>
                <w:rFonts w:cs="Arial"/>
              </w:rPr>
            </w:pPr>
          </w:p>
        </w:tc>
        <w:tc>
          <w:tcPr>
            <w:tcW w:w="1391" w:type="dxa"/>
            <w:vAlign w:val="center"/>
          </w:tcPr>
          <w:p w14:paraId="275B8FFF" w14:textId="77777777" w:rsidR="009F1A2F" w:rsidRPr="00C00A2E" w:rsidRDefault="009F1A2F" w:rsidP="009F1A2F">
            <w:pPr>
              <w:jc w:val="center"/>
              <w:rPr>
                <w:rFonts w:cs="Arial"/>
              </w:rPr>
            </w:pPr>
          </w:p>
        </w:tc>
        <w:tc>
          <w:tcPr>
            <w:tcW w:w="5840" w:type="dxa"/>
          </w:tcPr>
          <w:p w14:paraId="7EAFE6B3" w14:textId="77777777" w:rsidR="009F1A2F" w:rsidRPr="00D749ED" w:rsidRDefault="009F1A2F" w:rsidP="009F1A2F">
            <w:pPr>
              <w:rPr>
                <w:rFonts w:cs="Arial"/>
              </w:rPr>
            </w:pPr>
            <w:r w:rsidRPr="00D749ED">
              <w:rPr>
                <w:rFonts w:cs="Arial"/>
              </w:rPr>
              <w:t>Not relevant</w:t>
            </w:r>
            <w:r>
              <w:rPr>
                <w:rFonts w:cs="Arial"/>
              </w:rPr>
              <w:t xml:space="preserve"> for a liquid formulation.</w:t>
            </w:r>
          </w:p>
        </w:tc>
        <w:tc>
          <w:tcPr>
            <w:tcW w:w="612" w:type="dxa"/>
            <w:vAlign w:val="center"/>
          </w:tcPr>
          <w:p w14:paraId="3D3262A7" w14:textId="77777777" w:rsidR="009F1A2F" w:rsidRPr="00C00A2E" w:rsidRDefault="009F1A2F" w:rsidP="009F1A2F">
            <w:pPr>
              <w:jc w:val="center"/>
              <w:rPr>
                <w:rFonts w:cs="Arial"/>
              </w:rPr>
            </w:pPr>
          </w:p>
        </w:tc>
        <w:tc>
          <w:tcPr>
            <w:tcW w:w="1435" w:type="dxa"/>
            <w:vAlign w:val="center"/>
          </w:tcPr>
          <w:p w14:paraId="50FF83CC" w14:textId="77777777" w:rsidR="009F1A2F" w:rsidRPr="00C00A2E" w:rsidRDefault="009F1A2F" w:rsidP="009F1A2F">
            <w:pPr>
              <w:jc w:val="center"/>
              <w:rPr>
                <w:rFonts w:cs="Arial"/>
              </w:rPr>
            </w:pPr>
          </w:p>
        </w:tc>
        <w:tc>
          <w:tcPr>
            <w:tcW w:w="2652" w:type="dxa"/>
            <w:vAlign w:val="center"/>
          </w:tcPr>
          <w:p w14:paraId="75700EDC" w14:textId="77777777" w:rsidR="009F1A2F" w:rsidRPr="00C00A2E" w:rsidRDefault="009F1A2F" w:rsidP="009F1A2F">
            <w:pPr>
              <w:rPr>
                <w:rFonts w:cs="Arial"/>
              </w:rPr>
            </w:pPr>
          </w:p>
        </w:tc>
      </w:tr>
      <w:tr w:rsidR="009F1A2F" w:rsidRPr="00D749ED" w14:paraId="7E58E816" w14:textId="77777777" w:rsidTr="009F1A2F">
        <w:trPr>
          <w:trHeight w:val="599"/>
          <w:jc w:val="center"/>
        </w:trPr>
        <w:tc>
          <w:tcPr>
            <w:tcW w:w="1737" w:type="dxa"/>
            <w:vAlign w:val="center"/>
          </w:tcPr>
          <w:p w14:paraId="2CFD095C" w14:textId="77777777" w:rsidR="009F1A2F" w:rsidRPr="00C00A2E" w:rsidRDefault="009F1A2F" w:rsidP="009F1A2F">
            <w:pPr>
              <w:jc w:val="center"/>
              <w:rPr>
                <w:rFonts w:cs="Arial"/>
              </w:rPr>
            </w:pPr>
            <w:r w:rsidRPr="00C00A2E">
              <w:rPr>
                <w:rFonts w:cs="Arial"/>
              </w:rPr>
              <w:t>Particle size distribution, content of dust/fines, attrition, friability</w:t>
            </w:r>
          </w:p>
        </w:tc>
        <w:tc>
          <w:tcPr>
            <w:tcW w:w="1251" w:type="dxa"/>
            <w:vAlign w:val="center"/>
          </w:tcPr>
          <w:p w14:paraId="025CD276" w14:textId="77777777" w:rsidR="009F1A2F" w:rsidRPr="00C00A2E" w:rsidRDefault="009F1A2F" w:rsidP="009F1A2F">
            <w:pPr>
              <w:jc w:val="center"/>
              <w:rPr>
                <w:rFonts w:cs="Arial"/>
              </w:rPr>
            </w:pPr>
          </w:p>
        </w:tc>
        <w:tc>
          <w:tcPr>
            <w:tcW w:w="1391" w:type="dxa"/>
            <w:vAlign w:val="center"/>
          </w:tcPr>
          <w:p w14:paraId="3E02A9A5" w14:textId="77777777" w:rsidR="009F1A2F" w:rsidRPr="00C00A2E" w:rsidRDefault="009F1A2F" w:rsidP="009F1A2F">
            <w:pPr>
              <w:jc w:val="center"/>
              <w:rPr>
                <w:rFonts w:cs="Arial"/>
              </w:rPr>
            </w:pPr>
          </w:p>
        </w:tc>
        <w:tc>
          <w:tcPr>
            <w:tcW w:w="5840" w:type="dxa"/>
          </w:tcPr>
          <w:p w14:paraId="0733024D" w14:textId="77777777" w:rsidR="009F1A2F" w:rsidRPr="00D749ED" w:rsidRDefault="009F1A2F" w:rsidP="009F1A2F">
            <w:pPr>
              <w:rPr>
                <w:rFonts w:cs="Arial"/>
              </w:rPr>
            </w:pPr>
            <w:r w:rsidRPr="00D749ED">
              <w:rPr>
                <w:rFonts w:cs="Arial"/>
              </w:rPr>
              <w:t>Not relevant</w:t>
            </w:r>
            <w:r>
              <w:rPr>
                <w:rFonts w:cs="Arial"/>
              </w:rPr>
              <w:t xml:space="preserve"> for a liquid formulation.</w:t>
            </w:r>
          </w:p>
        </w:tc>
        <w:tc>
          <w:tcPr>
            <w:tcW w:w="612" w:type="dxa"/>
            <w:vAlign w:val="center"/>
          </w:tcPr>
          <w:p w14:paraId="4AEC08E8" w14:textId="77777777" w:rsidR="009F1A2F" w:rsidRPr="00C00A2E" w:rsidRDefault="009F1A2F" w:rsidP="009F1A2F">
            <w:pPr>
              <w:jc w:val="center"/>
              <w:rPr>
                <w:rFonts w:cs="Arial"/>
              </w:rPr>
            </w:pPr>
          </w:p>
        </w:tc>
        <w:tc>
          <w:tcPr>
            <w:tcW w:w="1435" w:type="dxa"/>
            <w:vAlign w:val="center"/>
          </w:tcPr>
          <w:p w14:paraId="5C1E8A51" w14:textId="77777777" w:rsidR="009F1A2F" w:rsidRPr="00C00A2E" w:rsidRDefault="009F1A2F" w:rsidP="009F1A2F">
            <w:pPr>
              <w:jc w:val="center"/>
              <w:rPr>
                <w:rFonts w:cs="Arial"/>
              </w:rPr>
            </w:pPr>
          </w:p>
        </w:tc>
        <w:tc>
          <w:tcPr>
            <w:tcW w:w="2652" w:type="dxa"/>
            <w:vAlign w:val="center"/>
          </w:tcPr>
          <w:p w14:paraId="1AAD1DB2" w14:textId="77777777" w:rsidR="009F1A2F" w:rsidRPr="00C00A2E" w:rsidRDefault="009F1A2F" w:rsidP="009F1A2F">
            <w:pPr>
              <w:rPr>
                <w:rFonts w:cs="Arial"/>
              </w:rPr>
            </w:pPr>
          </w:p>
        </w:tc>
      </w:tr>
      <w:tr w:rsidR="009F1A2F" w:rsidRPr="00D749ED" w14:paraId="0067831A" w14:textId="77777777" w:rsidTr="009F1A2F">
        <w:trPr>
          <w:trHeight w:val="146"/>
          <w:jc w:val="center"/>
        </w:trPr>
        <w:tc>
          <w:tcPr>
            <w:tcW w:w="1737" w:type="dxa"/>
            <w:vAlign w:val="center"/>
          </w:tcPr>
          <w:p w14:paraId="33CC9D90" w14:textId="77777777" w:rsidR="009F1A2F" w:rsidRPr="00C00A2E" w:rsidRDefault="009F1A2F" w:rsidP="009F1A2F">
            <w:pPr>
              <w:jc w:val="center"/>
              <w:rPr>
                <w:rFonts w:cs="Arial"/>
              </w:rPr>
            </w:pPr>
            <w:r w:rsidRPr="00C00A2E">
              <w:rPr>
                <w:rFonts w:cs="Arial"/>
              </w:rPr>
              <w:t>Persistent foaming</w:t>
            </w:r>
          </w:p>
        </w:tc>
        <w:tc>
          <w:tcPr>
            <w:tcW w:w="1251" w:type="dxa"/>
            <w:vAlign w:val="center"/>
          </w:tcPr>
          <w:p w14:paraId="4BC563AB" w14:textId="77777777" w:rsidR="009F1A2F" w:rsidRPr="00C00A2E" w:rsidRDefault="009F1A2F" w:rsidP="009F1A2F">
            <w:pPr>
              <w:jc w:val="center"/>
              <w:rPr>
                <w:rFonts w:cs="Arial"/>
              </w:rPr>
            </w:pPr>
          </w:p>
        </w:tc>
        <w:tc>
          <w:tcPr>
            <w:tcW w:w="1391" w:type="dxa"/>
            <w:vAlign w:val="center"/>
          </w:tcPr>
          <w:p w14:paraId="6E8D8676" w14:textId="77777777" w:rsidR="009F1A2F" w:rsidRPr="00C00A2E" w:rsidRDefault="009F1A2F" w:rsidP="009F1A2F">
            <w:pPr>
              <w:jc w:val="center"/>
              <w:rPr>
                <w:rFonts w:cs="Arial"/>
              </w:rPr>
            </w:pPr>
          </w:p>
        </w:tc>
        <w:tc>
          <w:tcPr>
            <w:tcW w:w="5840" w:type="dxa"/>
            <w:vAlign w:val="center"/>
          </w:tcPr>
          <w:p w14:paraId="466C59EC" w14:textId="77777777" w:rsidR="009F1A2F" w:rsidRPr="00D749ED" w:rsidRDefault="009F1A2F" w:rsidP="009F1A2F">
            <w:pPr>
              <w:rPr>
                <w:rFonts w:cs="Arial"/>
                <w:sz w:val="18"/>
                <w:szCs w:val="18"/>
              </w:rPr>
            </w:pPr>
            <w:r w:rsidRPr="00D749ED">
              <w:rPr>
                <w:rFonts w:cs="Arial"/>
              </w:rPr>
              <w:t>Not relevant</w:t>
            </w:r>
            <w:r>
              <w:rPr>
                <w:rFonts w:cs="Arial"/>
              </w:rPr>
              <w:t xml:space="preserve"> for a ready-to-use formulation.</w:t>
            </w:r>
          </w:p>
        </w:tc>
        <w:tc>
          <w:tcPr>
            <w:tcW w:w="612" w:type="dxa"/>
            <w:vAlign w:val="center"/>
          </w:tcPr>
          <w:p w14:paraId="45C292B8" w14:textId="77777777" w:rsidR="009F1A2F" w:rsidRPr="00C00A2E" w:rsidRDefault="009F1A2F" w:rsidP="009F1A2F">
            <w:pPr>
              <w:jc w:val="center"/>
              <w:rPr>
                <w:rFonts w:cs="Arial"/>
              </w:rPr>
            </w:pPr>
          </w:p>
        </w:tc>
        <w:tc>
          <w:tcPr>
            <w:tcW w:w="1435" w:type="dxa"/>
            <w:vAlign w:val="center"/>
          </w:tcPr>
          <w:p w14:paraId="54836A78" w14:textId="77777777" w:rsidR="009F1A2F" w:rsidRPr="00C00A2E" w:rsidRDefault="009F1A2F" w:rsidP="009F1A2F">
            <w:pPr>
              <w:jc w:val="center"/>
              <w:rPr>
                <w:rFonts w:cs="Arial"/>
              </w:rPr>
            </w:pPr>
          </w:p>
        </w:tc>
        <w:tc>
          <w:tcPr>
            <w:tcW w:w="2652" w:type="dxa"/>
            <w:vAlign w:val="center"/>
          </w:tcPr>
          <w:p w14:paraId="50985E53" w14:textId="77777777" w:rsidR="009F1A2F" w:rsidRPr="00C00A2E" w:rsidRDefault="009F1A2F" w:rsidP="009F1A2F">
            <w:pPr>
              <w:rPr>
                <w:rFonts w:cs="Arial"/>
              </w:rPr>
            </w:pPr>
          </w:p>
        </w:tc>
      </w:tr>
      <w:tr w:rsidR="009F1A2F" w:rsidRPr="00D749ED" w14:paraId="2666018B" w14:textId="77777777" w:rsidTr="009F1A2F">
        <w:trPr>
          <w:trHeight w:val="291"/>
          <w:jc w:val="center"/>
        </w:trPr>
        <w:tc>
          <w:tcPr>
            <w:tcW w:w="1737" w:type="dxa"/>
            <w:vAlign w:val="center"/>
          </w:tcPr>
          <w:p w14:paraId="1E1D33F8" w14:textId="77777777" w:rsidR="009F1A2F" w:rsidRPr="00C00A2E" w:rsidRDefault="009F1A2F" w:rsidP="009F1A2F">
            <w:pPr>
              <w:jc w:val="center"/>
              <w:rPr>
                <w:rFonts w:cs="Arial"/>
              </w:rPr>
            </w:pPr>
            <w:r w:rsidRPr="00C00A2E">
              <w:rPr>
                <w:rFonts w:cs="Arial"/>
              </w:rPr>
              <w:t>Flowability/Pourability/Dustability</w:t>
            </w:r>
          </w:p>
        </w:tc>
        <w:tc>
          <w:tcPr>
            <w:tcW w:w="1251" w:type="dxa"/>
            <w:vAlign w:val="center"/>
          </w:tcPr>
          <w:p w14:paraId="615F7B6C" w14:textId="77777777" w:rsidR="009F1A2F" w:rsidRPr="00C00A2E" w:rsidRDefault="009F1A2F" w:rsidP="009F1A2F">
            <w:pPr>
              <w:jc w:val="center"/>
              <w:rPr>
                <w:rFonts w:cs="Arial"/>
              </w:rPr>
            </w:pPr>
          </w:p>
        </w:tc>
        <w:tc>
          <w:tcPr>
            <w:tcW w:w="1391" w:type="dxa"/>
            <w:vAlign w:val="center"/>
          </w:tcPr>
          <w:p w14:paraId="270ECDA8" w14:textId="77777777" w:rsidR="009F1A2F" w:rsidRPr="00C00A2E" w:rsidRDefault="009F1A2F" w:rsidP="009F1A2F">
            <w:pPr>
              <w:jc w:val="center"/>
              <w:rPr>
                <w:rFonts w:cs="Arial"/>
              </w:rPr>
            </w:pPr>
          </w:p>
        </w:tc>
        <w:tc>
          <w:tcPr>
            <w:tcW w:w="5840" w:type="dxa"/>
            <w:vAlign w:val="center"/>
          </w:tcPr>
          <w:p w14:paraId="7DF45D53" w14:textId="77777777" w:rsidR="009F1A2F" w:rsidRPr="00D749ED" w:rsidRDefault="009F1A2F" w:rsidP="009F1A2F">
            <w:pPr>
              <w:rPr>
                <w:rFonts w:cs="Arial"/>
                <w:sz w:val="18"/>
                <w:szCs w:val="18"/>
              </w:rPr>
            </w:pPr>
            <w:r w:rsidRPr="00D749ED">
              <w:rPr>
                <w:rFonts w:cs="Arial"/>
              </w:rPr>
              <w:t>Not relevant</w:t>
            </w:r>
            <w:r>
              <w:rPr>
                <w:rFonts w:cs="Arial"/>
              </w:rPr>
              <w:t xml:space="preserve"> for a liquid formulation.</w:t>
            </w:r>
          </w:p>
        </w:tc>
        <w:tc>
          <w:tcPr>
            <w:tcW w:w="612" w:type="dxa"/>
            <w:vAlign w:val="center"/>
          </w:tcPr>
          <w:p w14:paraId="22AD3B4E" w14:textId="77777777" w:rsidR="009F1A2F" w:rsidRPr="00C00A2E" w:rsidRDefault="009F1A2F" w:rsidP="009F1A2F">
            <w:pPr>
              <w:jc w:val="center"/>
              <w:rPr>
                <w:rFonts w:cs="Arial"/>
              </w:rPr>
            </w:pPr>
          </w:p>
        </w:tc>
        <w:tc>
          <w:tcPr>
            <w:tcW w:w="1435" w:type="dxa"/>
            <w:vAlign w:val="center"/>
          </w:tcPr>
          <w:p w14:paraId="6AC8E671" w14:textId="77777777" w:rsidR="009F1A2F" w:rsidRPr="00C00A2E" w:rsidRDefault="009F1A2F" w:rsidP="009F1A2F">
            <w:pPr>
              <w:jc w:val="center"/>
              <w:rPr>
                <w:rFonts w:cs="Arial"/>
              </w:rPr>
            </w:pPr>
          </w:p>
        </w:tc>
        <w:tc>
          <w:tcPr>
            <w:tcW w:w="2652" w:type="dxa"/>
            <w:vAlign w:val="center"/>
          </w:tcPr>
          <w:p w14:paraId="383D655A" w14:textId="77777777" w:rsidR="009F1A2F" w:rsidRPr="00C00A2E" w:rsidRDefault="009F1A2F" w:rsidP="009F1A2F">
            <w:pPr>
              <w:rPr>
                <w:rFonts w:cs="Arial"/>
              </w:rPr>
            </w:pPr>
          </w:p>
        </w:tc>
      </w:tr>
      <w:tr w:rsidR="009F1A2F" w:rsidRPr="00D749ED" w14:paraId="469CC221" w14:textId="77777777" w:rsidTr="009F1A2F">
        <w:trPr>
          <w:trHeight w:val="299"/>
          <w:jc w:val="center"/>
        </w:trPr>
        <w:tc>
          <w:tcPr>
            <w:tcW w:w="1737" w:type="dxa"/>
            <w:vAlign w:val="center"/>
          </w:tcPr>
          <w:p w14:paraId="3255EECA" w14:textId="77777777" w:rsidR="009F1A2F" w:rsidRPr="00C00A2E" w:rsidRDefault="009F1A2F" w:rsidP="009F1A2F">
            <w:pPr>
              <w:jc w:val="center"/>
              <w:rPr>
                <w:rFonts w:cs="Arial"/>
              </w:rPr>
            </w:pPr>
            <w:r w:rsidRPr="00C00A2E">
              <w:rPr>
                <w:rFonts w:cs="Arial"/>
              </w:rPr>
              <w:t>Burning rate — smoke generators</w:t>
            </w:r>
          </w:p>
        </w:tc>
        <w:tc>
          <w:tcPr>
            <w:tcW w:w="1251" w:type="dxa"/>
            <w:vAlign w:val="center"/>
          </w:tcPr>
          <w:p w14:paraId="25B68530" w14:textId="77777777" w:rsidR="009F1A2F" w:rsidRPr="00C00A2E" w:rsidRDefault="009F1A2F" w:rsidP="009F1A2F">
            <w:pPr>
              <w:jc w:val="center"/>
              <w:rPr>
                <w:rFonts w:cs="Arial"/>
              </w:rPr>
            </w:pPr>
          </w:p>
        </w:tc>
        <w:tc>
          <w:tcPr>
            <w:tcW w:w="1391" w:type="dxa"/>
            <w:vAlign w:val="center"/>
          </w:tcPr>
          <w:p w14:paraId="6620590D" w14:textId="77777777" w:rsidR="009F1A2F" w:rsidRPr="00C00A2E" w:rsidRDefault="009F1A2F" w:rsidP="009F1A2F">
            <w:pPr>
              <w:jc w:val="center"/>
              <w:rPr>
                <w:rFonts w:cs="Arial"/>
              </w:rPr>
            </w:pPr>
          </w:p>
        </w:tc>
        <w:tc>
          <w:tcPr>
            <w:tcW w:w="5840" w:type="dxa"/>
            <w:vAlign w:val="center"/>
          </w:tcPr>
          <w:p w14:paraId="02054708" w14:textId="77777777" w:rsidR="009F1A2F" w:rsidRPr="00D749ED" w:rsidRDefault="009F1A2F" w:rsidP="009F1A2F">
            <w:pPr>
              <w:rPr>
                <w:rFonts w:cs="Arial"/>
                <w:sz w:val="18"/>
                <w:szCs w:val="18"/>
              </w:rPr>
            </w:pPr>
            <w:r w:rsidRPr="00D749ED">
              <w:rPr>
                <w:rFonts w:cs="Arial"/>
              </w:rPr>
              <w:t>Not relevant</w:t>
            </w:r>
            <w:r>
              <w:rPr>
                <w:rFonts w:cs="Arial"/>
              </w:rPr>
              <w:t>.</w:t>
            </w:r>
          </w:p>
        </w:tc>
        <w:tc>
          <w:tcPr>
            <w:tcW w:w="612" w:type="dxa"/>
            <w:vAlign w:val="center"/>
          </w:tcPr>
          <w:p w14:paraId="1F82A253" w14:textId="77777777" w:rsidR="009F1A2F" w:rsidRPr="00C00A2E" w:rsidRDefault="009F1A2F" w:rsidP="009F1A2F">
            <w:pPr>
              <w:jc w:val="center"/>
              <w:rPr>
                <w:rFonts w:cs="Arial"/>
              </w:rPr>
            </w:pPr>
          </w:p>
        </w:tc>
        <w:tc>
          <w:tcPr>
            <w:tcW w:w="1435" w:type="dxa"/>
            <w:vAlign w:val="center"/>
          </w:tcPr>
          <w:p w14:paraId="719A0844" w14:textId="77777777" w:rsidR="009F1A2F" w:rsidRPr="00C00A2E" w:rsidRDefault="009F1A2F" w:rsidP="009F1A2F">
            <w:pPr>
              <w:jc w:val="center"/>
              <w:rPr>
                <w:rFonts w:cs="Arial"/>
              </w:rPr>
            </w:pPr>
          </w:p>
        </w:tc>
        <w:tc>
          <w:tcPr>
            <w:tcW w:w="2652" w:type="dxa"/>
            <w:vAlign w:val="center"/>
          </w:tcPr>
          <w:p w14:paraId="3D3C1FCD" w14:textId="77777777" w:rsidR="009F1A2F" w:rsidRPr="00C00A2E" w:rsidRDefault="009F1A2F" w:rsidP="009F1A2F">
            <w:pPr>
              <w:rPr>
                <w:rFonts w:cs="Arial"/>
              </w:rPr>
            </w:pPr>
          </w:p>
        </w:tc>
      </w:tr>
      <w:tr w:rsidR="009F1A2F" w:rsidRPr="00D749ED" w14:paraId="22624A66" w14:textId="77777777" w:rsidTr="009F1A2F">
        <w:trPr>
          <w:trHeight w:val="445"/>
          <w:jc w:val="center"/>
        </w:trPr>
        <w:tc>
          <w:tcPr>
            <w:tcW w:w="1737" w:type="dxa"/>
            <w:vAlign w:val="center"/>
          </w:tcPr>
          <w:p w14:paraId="06D050D8" w14:textId="77777777" w:rsidR="009F1A2F" w:rsidRPr="00C00A2E" w:rsidRDefault="009F1A2F" w:rsidP="009F1A2F">
            <w:pPr>
              <w:jc w:val="center"/>
              <w:rPr>
                <w:rFonts w:cs="Arial"/>
              </w:rPr>
            </w:pPr>
            <w:r w:rsidRPr="00C00A2E">
              <w:rPr>
                <w:rFonts w:cs="Arial"/>
              </w:rPr>
              <w:t>Burning completeness — smoke generators</w:t>
            </w:r>
          </w:p>
        </w:tc>
        <w:tc>
          <w:tcPr>
            <w:tcW w:w="1251" w:type="dxa"/>
            <w:vAlign w:val="center"/>
          </w:tcPr>
          <w:p w14:paraId="00BA34AE" w14:textId="77777777" w:rsidR="009F1A2F" w:rsidRPr="00C00A2E" w:rsidRDefault="009F1A2F" w:rsidP="009F1A2F">
            <w:pPr>
              <w:jc w:val="center"/>
              <w:rPr>
                <w:rFonts w:cs="Arial"/>
              </w:rPr>
            </w:pPr>
          </w:p>
        </w:tc>
        <w:tc>
          <w:tcPr>
            <w:tcW w:w="1391" w:type="dxa"/>
            <w:vAlign w:val="center"/>
          </w:tcPr>
          <w:p w14:paraId="0283B242" w14:textId="77777777" w:rsidR="009F1A2F" w:rsidRPr="00C00A2E" w:rsidRDefault="009F1A2F" w:rsidP="009F1A2F">
            <w:pPr>
              <w:jc w:val="center"/>
              <w:rPr>
                <w:rFonts w:cs="Arial"/>
              </w:rPr>
            </w:pPr>
          </w:p>
        </w:tc>
        <w:tc>
          <w:tcPr>
            <w:tcW w:w="5840" w:type="dxa"/>
            <w:vAlign w:val="center"/>
          </w:tcPr>
          <w:p w14:paraId="115A468D" w14:textId="77777777" w:rsidR="009F1A2F" w:rsidRPr="00D749ED" w:rsidRDefault="009F1A2F" w:rsidP="009F1A2F">
            <w:pPr>
              <w:rPr>
                <w:rFonts w:cs="Arial"/>
                <w:sz w:val="18"/>
                <w:szCs w:val="18"/>
              </w:rPr>
            </w:pPr>
            <w:r w:rsidRPr="00D749ED">
              <w:rPr>
                <w:rFonts w:cs="Arial"/>
              </w:rPr>
              <w:t>Not relevant</w:t>
            </w:r>
            <w:r>
              <w:rPr>
                <w:rFonts w:cs="Arial"/>
              </w:rPr>
              <w:t>.</w:t>
            </w:r>
          </w:p>
        </w:tc>
        <w:tc>
          <w:tcPr>
            <w:tcW w:w="612" w:type="dxa"/>
            <w:vAlign w:val="center"/>
          </w:tcPr>
          <w:p w14:paraId="4F515384" w14:textId="77777777" w:rsidR="009F1A2F" w:rsidRPr="00C00A2E" w:rsidRDefault="009F1A2F" w:rsidP="009F1A2F">
            <w:pPr>
              <w:jc w:val="center"/>
              <w:rPr>
                <w:rFonts w:cs="Arial"/>
              </w:rPr>
            </w:pPr>
          </w:p>
        </w:tc>
        <w:tc>
          <w:tcPr>
            <w:tcW w:w="1435" w:type="dxa"/>
            <w:vAlign w:val="center"/>
          </w:tcPr>
          <w:p w14:paraId="7DFDDAA9" w14:textId="77777777" w:rsidR="009F1A2F" w:rsidRPr="00C00A2E" w:rsidRDefault="009F1A2F" w:rsidP="009F1A2F">
            <w:pPr>
              <w:jc w:val="center"/>
              <w:rPr>
                <w:rFonts w:cs="Arial"/>
              </w:rPr>
            </w:pPr>
          </w:p>
        </w:tc>
        <w:tc>
          <w:tcPr>
            <w:tcW w:w="2652" w:type="dxa"/>
            <w:vAlign w:val="center"/>
          </w:tcPr>
          <w:p w14:paraId="0EBA768A" w14:textId="77777777" w:rsidR="009F1A2F" w:rsidRPr="00C00A2E" w:rsidRDefault="009F1A2F" w:rsidP="009F1A2F">
            <w:pPr>
              <w:rPr>
                <w:rFonts w:cs="Arial"/>
              </w:rPr>
            </w:pPr>
          </w:p>
        </w:tc>
      </w:tr>
      <w:tr w:rsidR="009F1A2F" w:rsidRPr="00D749ED" w14:paraId="28FDA86C" w14:textId="77777777" w:rsidTr="009F1A2F">
        <w:trPr>
          <w:trHeight w:val="445"/>
          <w:jc w:val="center"/>
        </w:trPr>
        <w:tc>
          <w:tcPr>
            <w:tcW w:w="1737" w:type="dxa"/>
            <w:vAlign w:val="center"/>
          </w:tcPr>
          <w:p w14:paraId="2FCD02B9" w14:textId="77777777" w:rsidR="009F1A2F" w:rsidRPr="00C00A2E" w:rsidRDefault="009F1A2F" w:rsidP="009F1A2F">
            <w:pPr>
              <w:jc w:val="center"/>
              <w:rPr>
                <w:rFonts w:cs="Arial"/>
              </w:rPr>
            </w:pPr>
            <w:r w:rsidRPr="00C00A2E">
              <w:rPr>
                <w:rFonts w:cs="Arial"/>
              </w:rPr>
              <w:t>Composition of smoke — smoke generators</w:t>
            </w:r>
          </w:p>
        </w:tc>
        <w:tc>
          <w:tcPr>
            <w:tcW w:w="1251" w:type="dxa"/>
            <w:vAlign w:val="center"/>
          </w:tcPr>
          <w:p w14:paraId="66EE3A9D" w14:textId="77777777" w:rsidR="009F1A2F" w:rsidRPr="00C00A2E" w:rsidRDefault="009F1A2F" w:rsidP="009F1A2F">
            <w:pPr>
              <w:jc w:val="center"/>
              <w:rPr>
                <w:rFonts w:cs="Arial"/>
              </w:rPr>
            </w:pPr>
          </w:p>
        </w:tc>
        <w:tc>
          <w:tcPr>
            <w:tcW w:w="1391" w:type="dxa"/>
            <w:vAlign w:val="center"/>
          </w:tcPr>
          <w:p w14:paraId="5C4B76D8" w14:textId="77777777" w:rsidR="009F1A2F" w:rsidRPr="00C00A2E" w:rsidRDefault="009F1A2F" w:rsidP="009F1A2F">
            <w:pPr>
              <w:jc w:val="center"/>
              <w:rPr>
                <w:rFonts w:cs="Arial"/>
              </w:rPr>
            </w:pPr>
          </w:p>
        </w:tc>
        <w:tc>
          <w:tcPr>
            <w:tcW w:w="5840" w:type="dxa"/>
            <w:vAlign w:val="center"/>
          </w:tcPr>
          <w:p w14:paraId="561B2631" w14:textId="77777777" w:rsidR="009F1A2F" w:rsidRPr="00D749ED" w:rsidRDefault="009F1A2F" w:rsidP="009F1A2F">
            <w:pPr>
              <w:rPr>
                <w:rFonts w:cs="Arial"/>
                <w:sz w:val="18"/>
                <w:szCs w:val="18"/>
              </w:rPr>
            </w:pPr>
            <w:r w:rsidRPr="00D749ED">
              <w:rPr>
                <w:rFonts w:cs="Arial"/>
              </w:rPr>
              <w:t>Not relevant</w:t>
            </w:r>
            <w:r>
              <w:rPr>
                <w:rFonts w:cs="Arial"/>
              </w:rPr>
              <w:t>.</w:t>
            </w:r>
          </w:p>
        </w:tc>
        <w:tc>
          <w:tcPr>
            <w:tcW w:w="612" w:type="dxa"/>
            <w:vAlign w:val="center"/>
          </w:tcPr>
          <w:p w14:paraId="6A950AF4" w14:textId="77777777" w:rsidR="009F1A2F" w:rsidRPr="00C00A2E" w:rsidRDefault="009F1A2F" w:rsidP="009F1A2F">
            <w:pPr>
              <w:jc w:val="center"/>
              <w:rPr>
                <w:rFonts w:cs="Arial"/>
              </w:rPr>
            </w:pPr>
          </w:p>
        </w:tc>
        <w:tc>
          <w:tcPr>
            <w:tcW w:w="1435" w:type="dxa"/>
            <w:vAlign w:val="center"/>
          </w:tcPr>
          <w:p w14:paraId="72D214B8" w14:textId="77777777" w:rsidR="009F1A2F" w:rsidRPr="00C00A2E" w:rsidRDefault="009F1A2F" w:rsidP="009F1A2F">
            <w:pPr>
              <w:jc w:val="center"/>
              <w:rPr>
                <w:rFonts w:cs="Arial"/>
              </w:rPr>
            </w:pPr>
          </w:p>
        </w:tc>
        <w:tc>
          <w:tcPr>
            <w:tcW w:w="2652" w:type="dxa"/>
            <w:vAlign w:val="center"/>
          </w:tcPr>
          <w:p w14:paraId="0071CE22" w14:textId="77777777" w:rsidR="009F1A2F" w:rsidRPr="00C00A2E" w:rsidRDefault="009F1A2F" w:rsidP="009F1A2F">
            <w:pPr>
              <w:rPr>
                <w:rFonts w:cs="Arial"/>
              </w:rPr>
            </w:pPr>
          </w:p>
        </w:tc>
      </w:tr>
      <w:tr w:rsidR="009F1A2F" w:rsidRPr="00D749ED" w14:paraId="1352DFC5" w14:textId="77777777" w:rsidTr="009F1A2F">
        <w:trPr>
          <w:trHeight w:val="307"/>
          <w:jc w:val="center"/>
        </w:trPr>
        <w:tc>
          <w:tcPr>
            <w:tcW w:w="1737" w:type="dxa"/>
            <w:vAlign w:val="center"/>
          </w:tcPr>
          <w:p w14:paraId="2633084F" w14:textId="77777777" w:rsidR="009F1A2F" w:rsidRPr="00C00A2E" w:rsidRDefault="009F1A2F" w:rsidP="009F1A2F">
            <w:pPr>
              <w:jc w:val="center"/>
              <w:rPr>
                <w:rFonts w:cs="Arial"/>
              </w:rPr>
            </w:pPr>
            <w:r w:rsidRPr="00C00A2E">
              <w:rPr>
                <w:rFonts w:cs="Arial"/>
              </w:rPr>
              <w:t>Spraying pattern — aerosols</w:t>
            </w:r>
          </w:p>
        </w:tc>
        <w:tc>
          <w:tcPr>
            <w:tcW w:w="1251" w:type="dxa"/>
            <w:vAlign w:val="center"/>
          </w:tcPr>
          <w:p w14:paraId="0ED29236" w14:textId="77777777" w:rsidR="009F1A2F" w:rsidRPr="00C00A2E" w:rsidRDefault="009F1A2F" w:rsidP="009F1A2F">
            <w:pPr>
              <w:jc w:val="center"/>
              <w:rPr>
                <w:rFonts w:cs="Arial"/>
              </w:rPr>
            </w:pPr>
          </w:p>
        </w:tc>
        <w:tc>
          <w:tcPr>
            <w:tcW w:w="1391" w:type="dxa"/>
            <w:vAlign w:val="center"/>
          </w:tcPr>
          <w:p w14:paraId="3F3FD2BC" w14:textId="77777777" w:rsidR="009F1A2F" w:rsidRPr="00C00A2E" w:rsidRDefault="009F1A2F" w:rsidP="009F1A2F">
            <w:pPr>
              <w:jc w:val="center"/>
              <w:rPr>
                <w:rFonts w:cs="Arial"/>
              </w:rPr>
            </w:pPr>
          </w:p>
        </w:tc>
        <w:tc>
          <w:tcPr>
            <w:tcW w:w="5840" w:type="dxa"/>
            <w:vAlign w:val="center"/>
          </w:tcPr>
          <w:p w14:paraId="0E843F78" w14:textId="77777777" w:rsidR="009F1A2F" w:rsidRPr="00D749ED" w:rsidRDefault="009F1A2F" w:rsidP="009F1A2F">
            <w:pPr>
              <w:rPr>
                <w:rFonts w:cs="Arial"/>
                <w:sz w:val="18"/>
                <w:szCs w:val="18"/>
              </w:rPr>
            </w:pPr>
            <w:r w:rsidRPr="00D749ED">
              <w:rPr>
                <w:rFonts w:cs="Arial"/>
              </w:rPr>
              <w:t>Not relevant</w:t>
            </w:r>
            <w:r>
              <w:rPr>
                <w:rFonts w:cs="Arial"/>
              </w:rPr>
              <w:t>.</w:t>
            </w:r>
          </w:p>
        </w:tc>
        <w:tc>
          <w:tcPr>
            <w:tcW w:w="612" w:type="dxa"/>
            <w:vAlign w:val="center"/>
          </w:tcPr>
          <w:p w14:paraId="02838D34" w14:textId="77777777" w:rsidR="009F1A2F" w:rsidRPr="00C00A2E" w:rsidRDefault="009F1A2F" w:rsidP="009F1A2F">
            <w:pPr>
              <w:jc w:val="center"/>
              <w:rPr>
                <w:rFonts w:cs="Arial"/>
              </w:rPr>
            </w:pPr>
          </w:p>
        </w:tc>
        <w:tc>
          <w:tcPr>
            <w:tcW w:w="1435" w:type="dxa"/>
            <w:vAlign w:val="center"/>
          </w:tcPr>
          <w:p w14:paraId="0BCCB69F" w14:textId="77777777" w:rsidR="009F1A2F" w:rsidRPr="00C00A2E" w:rsidRDefault="009F1A2F" w:rsidP="009F1A2F">
            <w:pPr>
              <w:jc w:val="center"/>
              <w:rPr>
                <w:rFonts w:cs="Arial"/>
              </w:rPr>
            </w:pPr>
          </w:p>
        </w:tc>
        <w:tc>
          <w:tcPr>
            <w:tcW w:w="2652" w:type="dxa"/>
            <w:vAlign w:val="center"/>
          </w:tcPr>
          <w:p w14:paraId="4786A41E" w14:textId="77777777" w:rsidR="009F1A2F" w:rsidRPr="00C00A2E" w:rsidRDefault="009F1A2F" w:rsidP="009F1A2F">
            <w:pPr>
              <w:rPr>
                <w:rFonts w:cs="Arial"/>
              </w:rPr>
            </w:pPr>
          </w:p>
        </w:tc>
      </w:tr>
      <w:tr w:rsidR="009F1A2F" w:rsidRPr="00D749ED" w14:paraId="3E4E2E10" w14:textId="77777777" w:rsidTr="009F1A2F">
        <w:trPr>
          <w:trHeight w:val="299"/>
          <w:jc w:val="center"/>
        </w:trPr>
        <w:tc>
          <w:tcPr>
            <w:tcW w:w="1737" w:type="dxa"/>
            <w:vAlign w:val="center"/>
          </w:tcPr>
          <w:p w14:paraId="6D5F3AB1" w14:textId="77777777" w:rsidR="009F1A2F" w:rsidRPr="00C00A2E" w:rsidRDefault="009F1A2F" w:rsidP="009F1A2F">
            <w:pPr>
              <w:jc w:val="center"/>
              <w:rPr>
                <w:rFonts w:cs="Arial"/>
              </w:rPr>
            </w:pPr>
            <w:r w:rsidRPr="00C00A2E">
              <w:rPr>
                <w:rFonts w:cs="Arial"/>
              </w:rPr>
              <w:t>Physical compatibility</w:t>
            </w:r>
          </w:p>
        </w:tc>
        <w:tc>
          <w:tcPr>
            <w:tcW w:w="1251" w:type="dxa"/>
            <w:vAlign w:val="center"/>
          </w:tcPr>
          <w:p w14:paraId="795B85FE" w14:textId="77777777" w:rsidR="009F1A2F" w:rsidRPr="00C00A2E" w:rsidRDefault="009F1A2F" w:rsidP="009F1A2F">
            <w:pPr>
              <w:jc w:val="center"/>
              <w:rPr>
                <w:rFonts w:cs="Arial"/>
              </w:rPr>
            </w:pPr>
          </w:p>
        </w:tc>
        <w:tc>
          <w:tcPr>
            <w:tcW w:w="1391" w:type="dxa"/>
            <w:vAlign w:val="center"/>
          </w:tcPr>
          <w:p w14:paraId="47305E7A" w14:textId="77777777" w:rsidR="009F1A2F" w:rsidRPr="00C00A2E" w:rsidRDefault="009F1A2F" w:rsidP="009F1A2F">
            <w:pPr>
              <w:jc w:val="center"/>
              <w:rPr>
                <w:rFonts w:cs="Arial"/>
              </w:rPr>
            </w:pPr>
          </w:p>
        </w:tc>
        <w:tc>
          <w:tcPr>
            <w:tcW w:w="5840" w:type="dxa"/>
            <w:vAlign w:val="center"/>
          </w:tcPr>
          <w:p w14:paraId="25A55C3E" w14:textId="77777777" w:rsidR="009F1A2F" w:rsidRPr="00D749ED" w:rsidRDefault="009F1A2F" w:rsidP="009F1A2F">
            <w:pPr>
              <w:rPr>
                <w:rFonts w:cs="Arial"/>
                <w:sz w:val="18"/>
                <w:szCs w:val="18"/>
              </w:rPr>
            </w:pPr>
            <w:r w:rsidRPr="002A0DFD">
              <w:rPr>
                <w:rFonts w:cs="Arial"/>
              </w:rPr>
              <w:t>Not relevant (</w:t>
            </w:r>
            <w:r>
              <w:rPr>
                <w:rFonts w:cs="Arial"/>
              </w:rPr>
              <w:t>the</w:t>
            </w:r>
            <w:r w:rsidRPr="002A0DFD">
              <w:rPr>
                <w:rFonts w:cs="Arial"/>
              </w:rPr>
              <w:t xml:space="preserve"> formulation </w:t>
            </w:r>
            <w:r>
              <w:rPr>
                <w:rFonts w:cs="Arial"/>
              </w:rPr>
              <w:t xml:space="preserve">is </w:t>
            </w:r>
            <w:r w:rsidRPr="002A0DFD">
              <w:rPr>
                <w:rFonts w:cs="Arial"/>
              </w:rPr>
              <w:t>not intended to be co-applied with other substances, mixtures or biocidal or non-biocidal products)</w:t>
            </w:r>
            <w:r>
              <w:rPr>
                <w:rFonts w:cs="Arial"/>
              </w:rPr>
              <w:t xml:space="preserve">. </w:t>
            </w:r>
          </w:p>
        </w:tc>
        <w:tc>
          <w:tcPr>
            <w:tcW w:w="612" w:type="dxa"/>
            <w:vAlign w:val="center"/>
          </w:tcPr>
          <w:p w14:paraId="53D07BE8" w14:textId="77777777" w:rsidR="009F1A2F" w:rsidRPr="00C00A2E" w:rsidRDefault="009F1A2F" w:rsidP="009F1A2F">
            <w:pPr>
              <w:jc w:val="center"/>
              <w:rPr>
                <w:rFonts w:cs="Arial"/>
              </w:rPr>
            </w:pPr>
          </w:p>
        </w:tc>
        <w:tc>
          <w:tcPr>
            <w:tcW w:w="1435" w:type="dxa"/>
            <w:vAlign w:val="center"/>
          </w:tcPr>
          <w:p w14:paraId="002E54C4" w14:textId="77777777" w:rsidR="009F1A2F" w:rsidRPr="00C00A2E" w:rsidRDefault="009F1A2F" w:rsidP="009F1A2F">
            <w:pPr>
              <w:jc w:val="center"/>
              <w:rPr>
                <w:rFonts w:cs="Arial"/>
              </w:rPr>
            </w:pPr>
          </w:p>
        </w:tc>
        <w:tc>
          <w:tcPr>
            <w:tcW w:w="2652" w:type="dxa"/>
            <w:vAlign w:val="center"/>
          </w:tcPr>
          <w:p w14:paraId="0C76A2BF" w14:textId="77777777" w:rsidR="009F1A2F" w:rsidRPr="00C00A2E" w:rsidRDefault="009F1A2F" w:rsidP="009F1A2F">
            <w:pPr>
              <w:rPr>
                <w:rFonts w:cs="Arial"/>
              </w:rPr>
            </w:pPr>
          </w:p>
        </w:tc>
      </w:tr>
      <w:tr w:rsidR="009F1A2F" w:rsidRPr="00D749ED" w14:paraId="58EAC3BD" w14:textId="77777777" w:rsidTr="009F1A2F">
        <w:trPr>
          <w:trHeight w:val="299"/>
          <w:jc w:val="center"/>
        </w:trPr>
        <w:tc>
          <w:tcPr>
            <w:tcW w:w="1737" w:type="dxa"/>
            <w:vAlign w:val="center"/>
          </w:tcPr>
          <w:p w14:paraId="5849F843" w14:textId="77777777" w:rsidR="009F1A2F" w:rsidRPr="00C00A2E" w:rsidRDefault="009F1A2F" w:rsidP="009F1A2F">
            <w:pPr>
              <w:jc w:val="center"/>
              <w:rPr>
                <w:rFonts w:cs="Arial"/>
              </w:rPr>
            </w:pPr>
            <w:r w:rsidRPr="00C00A2E">
              <w:rPr>
                <w:rFonts w:cs="Arial"/>
              </w:rPr>
              <w:t>Chemical compatibility</w:t>
            </w:r>
          </w:p>
        </w:tc>
        <w:tc>
          <w:tcPr>
            <w:tcW w:w="1251" w:type="dxa"/>
            <w:vAlign w:val="center"/>
          </w:tcPr>
          <w:p w14:paraId="28C618CE" w14:textId="77777777" w:rsidR="009F1A2F" w:rsidRPr="00C00A2E" w:rsidRDefault="009F1A2F" w:rsidP="009F1A2F">
            <w:pPr>
              <w:jc w:val="center"/>
              <w:rPr>
                <w:rFonts w:cs="Arial"/>
              </w:rPr>
            </w:pPr>
          </w:p>
        </w:tc>
        <w:tc>
          <w:tcPr>
            <w:tcW w:w="1391" w:type="dxa"/>
            <w:vAlign w:val="center"/>
          </w:tcPr>
          <w:p w14:paraId="52B250FB" w14:textId="77777777" w:rsidR="009F1A2F" w:rsidRPr="00C00A2E" w:rsidRDefault="009F1A2F" w:rsidP="009F1A2F">
            <w:pPr>
              <w:jc w:val="center"/>
              <w:rPr>
                <w:rFonts w:cs="Arial"/>
              </w:rPr>
            </w:pPr>
          </w:p>
        </w:tc>
        <w:tc>
          <w:tcPr>
            <w:tcW w:w="5840" w:type="dxa"/>
            <w:vAlign w:val="center"/>
          </w:tcPr>
          <w:p w14:paraId="1DD9853A" w14:textId="77777777" w:rsidR="009F1A2F" w:rsidRPr="00D749ED" w:rsidRDefault="009F1A2F" w:rsidP="009F1A2F">
            <w:pPr>
              <w:rPr>
                <w:rFonts w:cs="Arial"/>
                <w:sz w:val="18"/>
                <w:szCs w:val="18"/>
              </w:rPr>
            </w:pPr>
            <w:r w:rsidRPr="002A0DFD">
              <w:rPr>
                <w:rFonts w:cs="Arial"/>
              </w:rPr>
              <w:t>Not relevant (</w:t>
            </w:r>
            <w:r>
              <w:rPr>
                <w:rFonts w:cs="Arial"/>
              </w:rPr>
              <w:t>the</w:t>
            </w:r>
            <w:r w:rsidRPr="002A0DFD">
              <w:rPr>
                <w:rFonts w:cs="Arial"/>
              </w:rPr>
              <w:t xml:space="preserve"> formulation </w:t>
            </w:r>
            <w:r>
              <w:rPr>
                <w:rFonts w:cs="Arial"/>
              </w:rPr>
              <w:t xml:space="preserve">is </w:t>
            </w:r>
            <w:r w:rsidRPr="002A0DFD">
              <w:rPr>
                <w:rFonts w:cs="Arial"/>
              </w:rPr>
              <w:t>not intended to be co-applied with other substances, mixtures or biocidal or non-biocidal products)</w:t>
            </w:r>
            <w:r>
              <w:rPr>
                <w:rFonts w:cs="Arial"/>
              </w:rPr>
              <w:t>.</w:t>
            </w:r>
          </w:p>
        </w:tc>
        <w:tc>
          <w:tcPr>
            <w:tcW w:w="612" w:type="dxa"/>
            <w:vAlign w:val="center"/>
          </w:tcPr>
          <w:p w14:paraId="3CD8C5F5" w14:textId="77777777" w:rsidR="009F1A2F" w:rsidRPr="00C00A2E" w:rsidRDefault="009F1A2F" w:rsidP="009F1A2F">
            <w:pPr>
              <w:jc w:val="center"/>
              <w:rPr>
                <w:rFonts w:cs="Arial"/>
              </w:rPr>
            </w:pPr>
          </w:p>
        </w:tc>
        <w:tc>
          <w:tcPr>
            <w:tcW w:w="1435" w:type="dxa"/>
            <w:vAlign w:val="center"/>
          </w:tcPr>
          <w:p w14:paraId="632F1135" w14:textId="77777777" w:rsidR="009F1A2F" w:rsidRPr="00C00A2E" w:rsidRDefault="009F1A2F" w:rsidP="009F1A2F">
            <w:pPr>
              <w:jc w:val="center"/>
              <w:rPr>
                <w:rFonts w:cs="Arial"/>
              </w:rPr>
            </w:pPr>
          </w:p>
        </w:tc>
        <w:tc>
          <w:tcPr>
            <w:tcW w:w="2652" w:type="dxa"/>
            <w:vAlign w:val="center"/>
          </w:tcPr>
          <w:p w14:paraId="1FB409DA" w14:textId="77777777" w:rsidR="009F1A2F" w:rsidRPr="00C00A2E" w:rsidRDefault="009F1A2F" w:rsidP="009F1A2F">
            <w:pPr>
              <w:rPr>
                <w:rFonts w:cs="Arial"/>
              </w:rPr>
            </w:pPr>
          </w:p>
        </w:tc>
      </w:tr>
      <w:tr w:rsidR="009F1A2F" w:rsidRPr="00D749ED" w14:paraId="49D3E4F0" w14:textId="77777777" w:rsidTr="009F1A2F">
        <w:trPr>
          <w:trHeight w:val="291"/>
          <w:jc w:val="center"/>
        </w:trPr>
        <w:tc>
          <w:tcPr>
            <w:tcW w:w="1737" w:type="dxa"/>
            <w:vAlign w:val="center"/>
          </w:tcPr>
          <w:p w14:paraId="416417CE" w14:textId="77777777" w:rsidR="009F1A2F" w:rsidRPr="00C00A2E" w:rsidRDefault="009F1A2F" w:rsidP="009F1A2F">
            <w:pPr>
              <w:jc w:val="center"/>
              <w:rPr>
                <w:rFonts w:cs="Arial"/>
              </w:rPr>
            </w:pPr>
            <w:r w:rsidRPr="00C00A2E">
              <w:rPr>
                <w:rFonts w:cs="Arial"/>
              </w:rPr>
              <w:lastRenderedPageBreak/>
              <w:t>Degree of dissolution and dilution stability</w:t>
            </w:r>
          </w:p>
        </w:tc>
        <w:tc>
          <w:tcPr>
            <w:tcW w:w="1251" w:type="dxa"/>
            <w:vAlign w:val="center"/>
          </w:tcPr>
          <w:p w14:paraId="37F21420" w14:textId="77777777" w:rsidR="009F1A2F" w:rsidRPr="00C00A2E" w:rsidRDefault="009F1A2F" w:rsidP="009F1A2F">
            <w:pPr>
              <w:jc w:val="center"/>
              <w:rPr>
                <w:rFonts w:cs="Arial"/>
              </w:rPr>
            </w:pPr>
          </w:p>
        </w:tc>
        <w:tc>
          <w:tcPr>
            <w:tcW w:w="1391" w:type="dxa"/>
            <w:vAlign w:val="center"/>
          </w:tcPr>
          <w:p w14:paraId="5CFAE4BE" w14:textId="77777777" w:rsidR="009F1A2F" w:rsidRPr="00C00A2E" w:rsidRDefault="009F1A2F" w:rsidP="009F1A2F">
            <w:pPr>
              <w:jc w:val="center"/>
              <w:rPr>
                <w:rFonts w:cs="Arial"/>
              </w:rPr>
            </w:pPr>
          </w:p>
        </w:tc>
        <w:tc>
          <w:tcPr>
            <w:tcW w:w="5840" w:type="dxa"/>
            <w:vAlign w:val="center"/>
          </w:tcPr>
          <w:p w14:paraId="2026340D" w14:textId="77777777" w:rsidR="009F1A2F" w:rsidRPr="00D749ED" w:rsidRDefault="009F1A2F" w:rsidP="009F1A2F">
            <w:pPr>
              <w:rPr>
                <w:rFonts w:cs="Arial"/>
                <w:sz w:val="18"/>
                <w:szCs w:val="18"/>
              </w:rPr>
            </w:pPr>
            <w:r w:rsidRPr="00D749ED">
              <w:rPr>
                <w:rFonts w:cs="Arial"/>
              </w:rPr>
              <w:t>Not relevant</w:t>
            </w:r>
            <w:r>
              <w:rPr>
                <w:rFonts w:cs="Arial"/>
              </w:rPr>
              <w:t xml:space="preserve"> for a ready-to-use formulation.</w:t>
            </w:r>
          </w:p>
        </w:tc>
        <w:tc>
          <w:tcPr>
            <w:tcW w:w="612" w:type="dxa"/>
            <w:vAlign w:val="center"/>
          </w:tcPr>
          <w:p w14:paraId="74A7A731" w14:textId="77777777" w:rsidR="009F1A2F" w:rsidRPr="00C00A2E" w:rsidRDefault="009F1A2F" w:rsidP="009F1A2F">
            <w:pPr>
              <w:jc w:val="center"/>
              <w:rPr>
                <w:rFonts w:cs="Arial"/>
              </w:rPr>
            </w:pPr>
          </w:p>
        </w:tc>
        <w:tc>
          <w:tcPr>
            <w:tcW w:w="1435" w:type="dxa"/>
            <w:vAlign w:val="center"/>
          </w:tcPr>
          <w:p w14:paraId="5EC60626" w14:textId="77777777" w:rsidR="009F1A2F" w:rsidRPr="00C00A2E" w:rsidRDefault="009F1A2F" w:rsidP="009F1A2F">
            <w:pPr>
              <w:jc w:val="center"/>
              <w:rPr>
                <w:rFonts w:cs="Arial"/>
              </w:rPr>
            </w:pPr>
          </w:p>
        </w:tc>
        <w:tc>
          <w:tcPr>
            <w:tcW w:w="2652" w:type="dxa"/>
            <w:vAlign w:val="center"/>
          </w:tcPr>
          <w:p w14:paraId="6DE6C9AD" w14:textId="77777777" w:rsidR="009F1A2F" w:rsidRPr="00C00A2E" w:rsidRDefault="009F1A2F" w:rsidP="009F1A2F">
            <w:pPr>
              <w:rPr>
                <w:rFonts w:cs="Arial"/>
              </w:rPr>
            </w:pPr>
          </w:p>
        </w:tc>
      </w:tr>
      <w:tr w:rsidR="009F1A2F" w:rsidRPr="00D749ED" w14:paraId="26869FB6" w14:textId="77777777" w:rsidTr="009F1A2F">
        <w:trPr>
          <w:trHeight w:val="146"/>
          <w:jc w:val="center"/>
        </w:trPr>
        <w:tc>
          <w:tcPr>
            <w:tcW w:w="1737" w:type="dxa"/>
            <w:vAlign w:val="center"/>
          </w:tcPr>
          <w:p w14:paraId="6102A506" w14:textId="77777777" w:rsidR="009F1A2F" w:rsidRPr="00C00A2E" w:rsidRDefault="009F1A2F" w:rsidP="009F1A2F">
            <w:pPr>
              <w:jc w:val="center"/>
              <w:rPr>
                <w:rFonts w:cs="Arial"/>
              </w:rPr>
            </w:pPr>
            <w:r w:rsidRPr="00C00A2E">
              <w:rPr>
                <w:rFonts w:cs="Arial"/>
              </w:rPr>
              <w:t>Surface tension</w:t>
            </w:r>
          </w:p>
        </w:tc>
        <w:tc>
          <w:tcPr>
            <w:tcW w:w="1251" w:type="dxa"/>
            <w:vAlign w:val="center"/>
          </w:tcPr>
          <w:p w14:paraId="3D81CF37" w14:textId="77777777" w:rsidR="009F1A2F" w:rsidRPr="00C00A2E" w:rsidRDefault="009F1A2F" w:rsidP="009F1A2F">
            <w:pPr>
              <w:jc w:val="center"/>
              <w:rPr>
                <w:rFonts w:cs="Arial"/>
                <w:lang w:val="fr-FR"/>
              </w:rPr>
            </w:pPr>
            <w:r w:rsidRPr="00C00A2E">
              <w:rPr>
                <w:rFonts w:cs="Arial"/>
                <w:lang w:val="fr-FR"/>
              </w:rPr>
              <w:t>OECD 115</w:t>
            </w:r>
          </w:p>
        </w:tc>
        <w:tc>
          <w:tcPr>
            <w:tcW w:w="1391" w:type="dxa"/>
            <w:vAlign w:val="center"/>
          </w:tcPr>
          <w:p w14:paraId="37F74A5F" w14:textId="77777777" w:rsidR="009F1A2F" w:rsidRPr="00C00A2E" w:rsidRDefault="009F1A2F" w:rsidP="009F1A2F">
            <w:pPr>
              <w:jc w:val="center"/>
              <w:rPr>
                <w:rFonts w:cs="Arial"/>
              </w:rPr>
            </w:pPr>
            <w:r w:rsidRPr="00C00A2E">
              <w:rPr>
                <w:rFonts w:cs="Arial"/>
              </w:rPr>
              <w:t>ALGOFILM</w:t>
            </w:r>
          </w:p>
          <w:p w14:paraId="24ECECBD" w14:textId="77777777" w:rsidR="009F1A2F" w:rsidRPr="00C00A2E" w:rsidRDefault="009F1A2F" w:rsidP="009F1A2F">
            <w:pPr>
              <w:jc w:val="center"/>
              <w:rPr>
                <w:rFonts w:cs="Arial"/>
              </w:rPr>
            </w:pPr>
            <w:r w:rsidRPr="00C00A2E">
              <w:rPr>
                <w:rFonts w:cs="Arial"/>
              </w:rPr>
              <w:t>Batch 17001724</w:t>
            </w:r>
          </w:p>
        </w:tc>
        <w:tc>
          <w:tcPr>
            <w:tcW w:w="5840" w:type="dxa"/>
            <w:vAlign w:val="center"/>
          </w:tcPr>
          <w:p w14:paraId="3042DA6A" w14:textId="77777777" w:rsidR="009F1A2F" w:rsidRPr="00D749ED" w:rsidRDefault="009F1A2F" w:rsidP="009F1A2F">
            <w:pPr>
              <w:rPr>
                <w:rFonts w:cs="Arial"/>
                <w:sz w:val="18"/>
                <w:szCs w:val="18"/>
              </w:rPr>
            </w:pPr>
            <w:r>
              <w:rPr>
                <w:rFonts w:cs="Arial"/>
                <w:szCs w:val="16"/>
              </w:rPr>
              <w:t xml:space="preserve">65.6 mN/m for a </w:t>
            </w:r>
            <w:r w:rsidRPr="00D749ED">
              <w:rPr>
                <w:rFonts w:cs="Arial"/>
                <w:szCs w:val="16"/>
              </w:rPr>
              <w:t>1g/L</w:t>
            </w:r>
            <w:r>
              <w:rPr>
                <w:rFonts w:cs="Arial"/>
                <w:szCs w:val="16"/>
              </w:rPr>
              <w:t xml:space="preserve"> solution at 20°C (mean of 6 measurements) </w:t>
            </w:r>
          </w:p>
        </w:tc>
        <w:tc>
          <w:tcPr>
            <w:tcW w:w="612" w:type="dxa"/>
            <w:vAlign w:val="center"/>
          </w:tcPr>
          <w:p w14:paraId="0FC1E07D" w14:textId="77777777" w:rsidR="009F1A2F" w:rsidRPr="00C00A2E" w:rsidRDefault="009F1A2F" w:rsidP="009F1A2F">
            <w:pPr>
              <w:jc w:val="center"/>
              <w:rPr>
                <w:rFonts w:cs="Arial"/>
              </w:rPr>
            </w:pPr>
            <w:r w:rsidRPr="00C00A2E">
              <w:rPr>
                <w:rFonts w:cs="Arial"/>
              </w:rPr>
              <w:t>Y</w:t>
            </w:r>
          </w:p>
        </w:tc>
        <w:tc>
          <w:tcPr>
            <w:tcW w:w="1435" w:type="dxa"/>
            <w:vAlign w:val="center"/>
          </w:tcPr>
          <w:p w14:paraId="1BCDD5EF" w14:textId="77777777" w:rsidR="009F1A2F" w:rsidRPr="00C00A2E" w:rsidRDefault="009F1A2F" w:rsidP="009F1A2F">
            <w:pPr>
              <w:rPr>
                <w:rFonts w:cs="Arial"/>
              </w:rPr>
            </w:pPr>
            <w:r w:rsidRPr="00C00A2E">
              <w:rPr>
                <w:rFonts w:cs="Arial"/>
              </w:rPr>
              <w:t>Servajean, E., 2018</w:t>
            </w:r>
          </w:p>
          <w:p w14:paraId="4294DFFB" w14:textId="77777777" w:rsidR="009F1A2F" w:rsidRPr="00C00A2E" w:rsidRDefault="009F1A2F" w:rsidP="009F1A2F">
            <w:pPr>
              <w:rPr>
                <w:rFonts w:cs="Arial"/>
              </w:rPr>
            </w:pPr>
            <w:r w:rsidRPr="00C00A2E">
              <w:rPr>
                <w:rFonts w:cs="Arial"/>
              </w:rPr>
              <w:t>Report N°17-26-126-ES</w:t>
            </w:r>
          </w:p>
        </w:tc>
        <w:tc>
          <w:tcPr>
            <w:tcW w:w="2652" w:type="dxa"/>
            <w:vAlign w:val="center"/>
          </w:tcPr>
          <w:p w14:paraId="646175D3" w14:textId="77777777" w:rsidR="009F1A2F" w:rsidRPr="00C00A2E" w:rsidRDefault="009F1A2F" w:rsidP="009F1A2F">
            <w:pPr>
              <w:rPr>
                <w:rFonts w:cs="Arial"/>
              </w:rPr>
            </w:pPr>
          </w:p>
          <w:p w14:paraId="398340B4" w14:textId="77777777" w:rsidR="00910FD6" w:rsidRDefault="00910FD6" w:rsidP="009F1A2F">
            <w:pPr>
              <w:rPr>
                <w:rFonts w:cs="Arial"/>
              </w:rPr>
            </w:pPr>
            <w:r>
              <w:rPr>
                <w:rFonts w:cs="Arial"/>
              </w:rPr>
              <w:t>Acceptable</w:t>
            </w:r>
            <w:r w:rsidRPr="00C00A2E">
              <w:rPr>
                <w:rFonts w:cs="Arial"/>
              </w:rPr>
              <w:t xml:space="preserve"> </w:t>
            </w:r>
          </w:p>
          <w:p w14:paraId="09F21119" w14:textId="4E9EB499" w:rsidR="009F1A2F" w:rsidRPr="00C00A2E" w:rsidRDefault="009F1A2F" w:rsidP="009F1A2F">
            <w:pPr>
              <w:rPr>
                <w:rFonts w:cs="Arial"/>
              </w:rPr>
            </w:pPr>
            <w:r w:rsidRPr="00C00A2E">
              <w:rPr>
                <w:rFonts w:cs="Arial"/>
              </w:rPr>
              <w:t>The formulation has no surface-active properties.</w:t>
            </w:r>
          </w:p>
        </w:tc>
      </w:tr>
      <w:tr w:rsidR="009F1A2F" w:rsidRPr="00D749ED" w14:paraId="53080BCD" w14:textId="77777777" w:rsidTr="009F1A2F">
        <w:trPr>
          <w:trHeight w:val="153"/>
          <w:jc w:val="center"/>
        </w:trPr>
        <w:tc>
          <w:tcPr>
            <w:tcW w:w="1737" w:type="dxa"/>
            <w:vAlign w:val="center"/>
          </w:tcPr>
          <w:p w14:paraId="15A9C25E" w14:textId="77777777" w:rsidR="009F1A2F" w:rsidRPr="00C00A2E" w:rsidRDefault="009F1A2F" w:rsidP="009F1A2F">
            <w:pPr>
              <w:jc w:val="center"/>
              <w:rPr>
                <w:rFonts w:cs="Arial"/>
              </w:rPr>
            </w:pPr>
            <w:r w:rsidRPr="00C00A2E">
              <w:rPr>
                <w:rFonts w:cs="Arial"/>
              </w:rPr>
              <w:t>Viscosity</w:t>
            </w:r>
          </w:p>
        </w:tc>
        <w:tc>
          <w:tcPr>
            <w:tcW w:w="1251" w:type="dxa"/>
            <w:vAlign w:val="center"/>
          </w:tcPr>
          <w:p w14:paraId="2C923AEF" w14:textId="77777777" w:rsidR="009F1A2F" w:rsidRPr="00C00A2E" w:rsidRDefault="009F1A2F" w:rsidP="009F1A2F">
            <w:pPr>
              <w:jc w:val="center"/>
              <w:rPr>
                <w:rFonts w:cs="Arial"/>
                <w:lang w:val="en-US"/>
              </w:rPr>
            </w:pPr>
            <w:r w:rsidRPr="00C00A2E">
              <w:rPr>
                <w:rFonts w:cs="Arial"/>
                <w:lang w:val="en-US"/>
              </w:rPr>
              <w:t>OECD 114</w:t>
            </w:r>
          </w:p>
        </w:tc>
        <w:tc>
          <w:tcPr>
            <w:tcW w:w="1391" w:type="dxa"/>
            <w:vAlign w:val="center"/>
          </w:tcPr>
          <w:p w14:paraId="00EBB1CE" w14:textId="77777777" w:rsidR="009F1A2F" w:rsidRPr="00C00A2E" w:rsidRDefault="009F1A2F" w:rsidP="009F1A2F">
            <w:pPr>
              <w:jc w:val="center"/>
              <w:rPr>
                <w:rFonts w:cs="Arial"/>
              </w:rPr>
            </w:pPr>
            <w:r w:rsidRPr="00C00A2E">
              <w:rPr>
                <w:rFonts w:cs="Arial"/>
              </w:rPr>
              <w:t>ALGOFILM</w:t>
            </w:r>
          </w:p>
          <w:p w14:paraId="6D10CA2E" w14:textId="77777777" w:rsidR="009F1A2F" w:rsidRPr="00C00A2E" w:rsidRDefault="009F1A2F" w:rsidP="009F1A2F">
            <w:pPr>
              <w:jc w:val="center"/>
              <w:rPr>
                <w:rFonts w:cs="Arial"/>
              </w:rPr>
            </w:pPr>
            <w:r w:rsidRPr="00C00A2E">
              <w:rPr>
                <w:rFonts w:cs="Arial"/>
              </w:rPr>
              <w:t>Batch 17001724</w:t>
            </w:r>
          </w:p>
        </w:tc>
        <w:tc>
          <w:tcPr>
            <w:tcW w:w="5840" w:type="dxa"/>
            <w:vAlign w:val="center"/>
          </w:tcPr>
          <w:tbl>
            <w:tblPr>
              <w:tblStyle w:val="Grilledutableau"/>
              <w:tblW w:w="0" w:type="auto"/>
              <w:jc w:val="center"/>
              <w:tblLayout w:type="fixed"/>
              <w:tblLook w:val="04A0" w:firstRow="1" w:lastRow="0" w:firstColumn="1" w:lastColumn="0" w:noHBand="0" w:noVBand="1"/>
            </w:tblPr>
            <w:tblGrid>
              <w:gridCol w:w="2725"/>
              <w:gridCol w:w="2027"/>
            </w:tblGrid>
            <w:tr w:rsidR="009F1A2F" w:rsidRPr="00D749ED" w14:paraId="345FBA54" w14:textId="77777777" w:rsidTr="009F1A2F">
              <w:trPr>
                <w:trHeight w:val="203"/>
                <w:jc w:val="center"/>
              </w:trPr>
              <w:tc>
                <w:tcPr>
                  <w:tcW w:w="2725" w:type="dxa"/>
                  <w:vAlign w:val="center"/>
                </w:tcPr>
                <w:p w14:paraId="38293635" w14:textId="77777777" w:rsidR="009F1A2F" w:rsidRDefault="009F1A2F" w:rsidP="009F1A2F">
                  <w:pPr>
                    <w:jc w:val="center"/>
                    <w:rPr>
                      <w:rFonts w:cs="Arial"/>
                      <w:b/>
                      <w:sz w:val="16"/>
                      <w:szCs w:val="16"/>
                      <w:lang w:val="en-US"/>
                    </w:rPr>
                  </w:pPr>
                  <w:r>
                    <w:rPr>
                      <w:rFonts w:cs="Arial"/>
                      <w:b/>
                      <w:sz w:val="16"/>
                      <w:szCs w:val="16"/>
                      <w:lang w:val="en-US"/>
                    </w:rPr>
                    <w:t xml:space="preserve">Kinematic viscosity at 20°C </w:t>
                  </w:r>
                </w:p>
                <w:p w14:paraId="20115910" w14:textId="77777777" w:rsidR="009F1A2F" w:rsidRPr="006502AB" w:rsidRDefault="009F1A2F" w:rsidP="009F1A2F">
                  <w:pPr>
                    <w:jc w:val="center"/>
                    <w:rPr>
                      <w:rFonts w:cs="Arial"/>
                      <w:sz w:val="16"/>
                      <w:szCs w:val="16"/>
                      <w:lang w:val="en-US"/>
                    </w:rPr>
                  </w:pPr>
                  <w:r w:rsidRPr="006502AB">
                    <w:rPr>
                      <w:rFonts w:cs="Arial"/>
                      <w:sz w:val="16"/>
                      <w:szCs w:val="16"/>
                      <w:lang w:val="en-US"/>
                    </w:rPr>
                    <w:t>(mean of 3 measurements)</w:t>
                  </w:r>
                </w:p>
              </w:tc>
              <w:tc>
                <w:tcPr>
                  <w:tcW w:w="2027" w:type="dxa"/>
                  <w:vAlign w:val="center"/>
                </w:tcPr>
                <w:p w14:paraId="54926B11" w14:textId="77777777" w:rsidR="009F1A2F" w:rsidRPr="001D20BB" w:rsidRDefault="009F1A2F" w:rsidP="009F1A2F">
                  <w:pPr>
                    <w:pStyle w:val="Default"/>
                    <w:jc w:val="center"/>
                    <w:rPr>
                      <w:rFonts w:ascii="Verdana" w:hAnsi="Verdana"/>
                      <w:sz w:val="16"/>
                      <w:szCs w:val="16"/>
                      <w:lang w:val="en-US"/>
                    </w:rPr>
                  </w:pPr>
                </w:p>
                <w:p w14:paraId="1022441E" w14:textId="77777777" w:rsidR="009F1A2F" w:rsidRPr="001D20BB" w:rsidRDefault="009F1A2F" w:rsidP="009F1A2F">
                  <w:pPr>
                    <w:pStyle w:val="Default"/>
                    <w:jc w:val="center"/>
                    <w:rPr>
                      <w:rFonts w:ascii="Verdana" w:hAnsi="Verdana"/>
                      <w:sz w:val="16"/>
                      <w:szCs w:val="16"/>
                      <w:lang w:val="en-US"/>
                    </w:rPr>
                  </w:pPr>
                  <w:r>
                    <w:rPr>
                      <w:rFonts w:ascii="Verdana" w:hAnsi="Verdana"/>
                      <w:sz w:val="16"/>
                      <w:szCs w:val="16"/>
                      <w:lang w:val="en-US"/>
                    </w:rPr>
                    <w:t xml:space="preserve">3296.4 </w:t>
                  </w:r>
                  <w:r w:rsidRPr="006502AB">
                    <w:rPr>
                      <w:rFonts w:ascii="Verdana" w:hAnsi="Verdana"/>
                      <w:sz w:val="16"/>
                      <w:szCs w:val="16"/>
                      <w:lang w:val="en-US"/>
                    </w:rPr>
                    <w:t>mm</w:t>
                  </w:r>
                  <w:r w:rsidRPr="006502AB">
                    <w:rPr>
                      <w:rFonts w:ascii="Verdana" w:hAnsi="Verdana"/>
                      <w:sz w:val="16"/>
                      <w:szCs w:val="16"/>
                      <w:vertAlign w:val="superscript"/>
                      <w:lang w:val="en-US"/>
                    </w:rPr>
                    <w:t>2</w:t>
                  </w:r>
                  <w:r w:rsidRPr="006502AB">
                    <w:rPr>
                      <w:rFonts w:ascii="Verdana" w:hAnsi="Verdana"/>
                      <w:sz w:val="16"/>
                      <w:szCs w:val="16"/>
                      <w:lang w:val="en-US"/>
                    </w:rPr>
                    <w:t>/s</w:t>
                  </w:r>
                </w:p>
                <w:p w14:paraId="0D9BFDAE" w14:textId="77777777" w:rsidR="009F1A2F" w:rsidRPr="00D749ED" w:rsidRDefault="009F1A2F" w:rsidP="009F1A2F">
                  <w:pPr>
                    <w:pStyle w:val="Default"/>
                    <w:jc w:val="center"/>
                    <w:rPr>
                      <w:rFonts w:ascii="Verdana" w:hAnsi="Verdana"/>
                      <w:sz w:val="16"/>
                      <w:szCs w:val="16"/>
                      <w:lang w:val="en-US"/>
                    </w:rPr>
                  </w:pPr>
                </w:p>
              </w:tc>
            </w:tr>
            <w:tr w:rsidR="009F1A2F" w:rsidRPr="00D749ED" w14:paraId="5D5A03C8" w14:textId="77777777" w:rsidTr="009F1A2F">
              <w:trPr>
                <w:trHeight w:val="624"/>
                <w:jc w:val="center"/>
              </w:trPr>
              <w:tc>
                <w:tcPr>
                  <w:tcW w:w="2725" w:type="dxa"/>
                  <w:vAlign w:val="center"/>
                </w:tcPr>
                <w:p w14:paraId="577BF23E" w14:textId="77777777" w:rsidR="009F1A2F" w:rsidRDefault="009F1A2F" w:rsidP="009F1A2F">
                  <w:pPr>
                    <w:jc w:val="center"/>
                    <w:rPr>
                      <w:rFonts w:cs="Arial"/>
                      <w:b/>
                      <w:sz w:val="16"/>
                      <w:szCs w:val="16"/>
                      <w:lang w:val="en-US"/>
                    </w:rPr>
                  </w:pPr>
                  <w:r>
                    <w:rPr>
                      <w:rFonts w:cs="Arial"/>
                      <w:b/>
                      <w:sz w:val="16"/>
                      <w:szCs w:val="16"/>
                      <w:lang w:val="en-US"/>
                    </w:rPr>
                    <w:t xml:space="preserve">Kinematic viscosity at 40°C </w:t>
                  </w:r>
                </w:p>
                <w:p w14:paraId="49092A89" w14:textId="77777777" w:rsidR="009F1A2F" w:rsidRPr="006502AB" w:rsidRDefault="009F1A2F" w:rsidP="009F1A2F">
                  <w:pPr>
                    <w:jc w:val="center"/>
                    <w:rPr>
                      <w:rFonts w:cs="Arial"/>
                      <w:sz w:val="16"/>
                      <w:szCs w:val="16"/>
                      <w:lang w:val="en-US"/>
                    </w:rPr>
                  </w:pPr>
                  <w:r w:rsidRPr="006502AB">
                    <w:rPr>
                      <w:rFonts w:cs="Arial"/>
                      <w:sz w:val="16"/>
                      <w:szCs w:val="16"/>
                      <w:lang w:val="en-US"/>
                    </w:rPr>
                    <w:t>(mean of 3 measurements)</w:t>
                  </w:r>
                </w:p>
              </w:tc>
              <w:tc>
                <w:tcPr>
                  <w:tcW w:w="2027" w:type="dxa"/>
                  <w:vAlign w:val="center"/>
                </w:tcPr>
                <w:p w14:paraId="7FB1A6D4" w14:textId="77777777" w:rsidR="009F1A2F" w:rsidRPr="00D749ED" w:rsidRDefault="009F1A2F" w:rsidP="009F1A2F">
                  <w:pPr>
                    <w:pStyle w:val="Default"/>
                    <w:jc w:val="center"/>
                    <w:rPr>
                      <w:rFonts w:ascii="Verdana" w:hAnsi="Verdana"/>
                      <w:sz w:val="16"/>
                      <w:szCs w:val="16"/>
                      <w:lang w:val="en-US"/>
                    </w:rPr>
                  </w:pPr>
                  <w:r>
                    <w:rPr>
                      <w:rFonts w:ascii="Verdana" w:hAnsi="Verdana"/>
                      <w:sz w:val="16"/>
                      <w:szCs w:val="16"/>
                      <w:lang w:val="en-US"/>
                    </w:rPr>
                    <w:t xml:space="preserve">1574.6 </w:t>
                  </w:r>
                  <w:r w:rsidRPr="006502AB">
                    <w:rPr>
                      <w:rFonts w:ascii="Verdana" w:hAnsi="Verdana"/>
                      <w:sz w:val="16"/>
                      <w:szCs w:val="16"/>
                      <w:lang w:val="en-US"/>
                    </w:rPr>
                    <w:t>mm</w:t>
                  </w:r>
                  <w:r w:rsidRPr="006502AB">
                    <w:rPr>
                      <w:rFonts w:ascii="Verdana" w:hAnsi="Verdana"/>
                      <w:sz w:val="16"/>
                      <w:szCs w:val="16"/>
                      <w:vertAlign w:val="superscript"/>
                      <w:lang w:val="en-US"/>
                    </w:rPr>
                    <w:t>2</w:t>
                  </w:r>
                  <w:r w:rsidRPr="006502AB">
                    <w:rPr>
                      <w:rFonts w:ascii="Verdana" w:hAnsi="Verdana"/>
                      <w:sz w:val="16"/>
                      <w:szCs w:val="16"/>
                      <w:lang w:val="en-US"/>
                    </w:rPr>
                    <w:t>/s</w:t>
                  </w:r>
                </w:p>
              </w:tc>
            </w:tr>
          </w:tbl>
          <w:p w14:paraId="614FF7BB" w14:textId="77777777" w:rsidR="009F1A2F" w:rsidRPr="00D749ED" w:rsidRDefault="009F1A2F" w:rsidP="009F1A2F">
            <w:pPr>
              <w:jc w:val="center"/>
              <w:rPr>
                <w:rFonts w:cs="Arial"/>
                <w:sz w:val="18"/>
                <w:szCs w:val="18"/>
              </w:rPr>
            </w:pPr>
          </w:p>
        </w:tc>
        <w:tc>
          <w:tcPr>
            <w:tcW w:w="612" w:type="dxa"/>
            <w:vAlign w:val="center"/>
          </w:tcPr>
          <w:p w14:paraId="53DFA63C" w14:textId="77777777" w:rsidR="009F1A2F" w:rsidRPr="00C00A2E" w:rsidRDefault="009F1A2F" w:rsidP="009F1A2F">
            <w:pPr>
              <w:jc w:val="center"/>
              <w:rPr>
                <w:rFonts w:cs="Arial"/>
              </w:rPr>
            </w:pPr>
            <w:r w:rsidRPr="00C00A2E">
              <w:rPr>
                <w:rFonts w:cs="Arial"/>
              </w:rPr>
              <w:t>Y</w:t>
            </w:r>
          </w:p>
        </w:tc>
        <w:tc>
          <w:tcPr>
            <w:tcW w:w="1435" w:type="dxa"/>
            <w:vAlign w:val="center"/>
          </w:tcPr>
          <w:p w14:paraId="45F93BD1" w14:textId="77777777" w:rsidR="009F1A2F" w:rsidRPr="00C00A2E" w:rsidRDefault="009F1A2F" w:rsidP="009F1A2F">
            <w:pPr>
              <w:rPr>
                <w:rFonts w:cs="Arial"/>
              </w:rPr>
            </w:pPr>
            <w:r w:rsidRPr="00C00A2E">
              <w:rPr>
                <w:rFonts w:cs="Arial"/>
              </w:rPr>
              <w:t>Servajean, E., 2018</w:t>
            </w:r>
          </w:p>
          <w:p w14:paraId="0578899C" w14:textId="77777777" w:rsidR="009F1A2F" w:rsidRPr="00C00A2E" w:rsidRDefault="009F1A2F" w:rsidP="009F1A2F">
            <w:pPr>
              <w:rPr>
                <w:rFonts w:cs="Arial"/>
              </w:rPr>
            </w:pPr>
            <w:r w:rsidRPr="00C00A2E">
              <w:rPr>
                <w:rFonts w:cs="Arial"/>
              </w:rPr>
              <w:t>Report N°17-26-126-ES</w:t>
            </w:r>
          </w:p>
        </w:tc>
        <w:tc>
          <w:tcPr>
            <w:tcW w:w="2652" w:type="dxa"/>
            <w:vAlign w:val="center"/>
          </w:tcPr>
          <w:p w14:paraId="7C43E07D" w14:textId="02562A91" w:rsidR="009F1A2F" w:rsidRPr="00C00A2E" w:rsidRDefault="00910FD6" w:rsidP="009F1A2F">
            <w:pPr>
              <w:rPr>
                <w:rFonts w:cs="Arial"/>
              </w:rPr>
            </w:pPr>
            <w:r>
              <w:rPr>
                <w:rFonts w:cs="Arial"/>
              </w:rPr>
              <w:t>Acceptable</w:t>
            </w:r>
          </w:p>
        </w:tc>
      </w:tr>
    </w:tbl>
    <w:p w14:paraId="6156E117" w14:textId="77777777" w:rsidR="009F1A2F" w:rsidRDefault="009F1A2F" w:rsidP="009F1A2F">
      <w:pPr>
        <w:spacing w:line="260" w:lineRule="atLeast"/>
        <w:contextualSpacing/>
        <w:rPr>
          <w:rFonts w:eastAsia="Calibri"/>
          <w:lang w:eastAsia="sv-SE"/>
        </w:rPr>
      </w:pPr>
    </w:p>
    <w:p w14:paraId="3FC18A48" w14:textId="77777777" w:rsidR="009D0C0B" w:rsidRDefault="009D0C0B">
      <w:pPr>
        <w:spacing w:line="260" w:lineRule="atLeast"/>
        <w:ind w:left="360"/>
        <w:contextualSpacing/>
        <w:rPr>
          <w:rFonts w:eastAsia="Calibri"/>
          <w:lang w:eastAsia="sv-SE"/>
        </w:rPr>
      </w:pPr>
    </w:p>
    <w:tbl>
      <w:tblPr>
        <w:tblW w:w="14997" w:type="dxa"/>
        <w:tblInd w:w="-5" w:type="dxa"/>
        <w:tblLayout w:type="fixed"/>
        <w:tblLook w:val="0000" w:firstRow="0" w:lastRow="0" w:firstColumn="0" w:lastColumn="0" w:noHBand="0" w:noVBand="0"/>
      </w:tblPr>
      <w:tblGrid>
        <w:gridCol w:w="14997"/>
      </w:tblGrid>
      <w:tr w:rsidR="009D0C0B" w14:paraId="5A9C52C9" w14:textId="77777777" w:rsidTr="008E291D">
        <w:trPr>
          <w:trHeight w:val="60"/>
        </w:trPr>
        <w:tc>
          <w:tcPr>
            <w:tcW w:w="14997" w:type="dxa"/>
            <w:tcBorders>
              <w:top w:val="single" w:sz="4" w:space="0" w:color="000000"/>
              <w:left w:val="single" w:sz="4" w:space="0" w:color="000000"/>
              <w:bottom w:val="single" w:sz="6" w:space="0" w:color="000000"/>
              <w:right w:val="single" w:sz="6" w:space="0" w:color="000000"/>
            </w:tcBorders>
            <w:shd w:val="clear" w:color="auto" w:fill="CCFFCC"/>
          </w:tcPr>
          <w:p w14:paraId="7EE2B73B"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16C07982" w14:textId="77777777" w:rsidTr="00D14F77">
        <w:trPr>
          <w:trHeight w:val="405"/>
        </w:trPr>
        <w:tc>
          <w:tcPr>
            <w:tcW w:w="14997" w:type="dxa"/>
            <w:tcBorders>
              <w:top w:val="single" w:sz="6" w:space="0" w:color="000000"/>
              <w:left w:val="single" w:sz="4" w:space="0" w:color="000000"/>
              <w:bottom w:val="single" w:sz="6" w:space="0" w:color="000000"/>
              <w:right w:val="single" w:sz="6" w:space="0" w:color="000000"/>
            </w:tcBorders>
            <w:shd w:val="clear" w:color="auto" w:fill="auto"/>
          </w:tcPr>
          <w:p w14:paraId="37387E7C" w14:textId="5A8E4525" w:rsidR="00910FD6" w:rsidRDefault="00910FD6" w:rsidP="00910FD6">
            <w:pPr>
              <w:jc w:val="both"/>
              <w:rPr>
                <w:rFonts w:cs="Arial"/>
                <w:lang w:val="en-US" w:eastAsia="en-US"/>
              </w:rPr>
            </w:pPr>
            <w:r w:rsidRPr="00D749ED">
              <w:rPr>
                <w:rFonts w:cs="Arial"/>
                <w:lang w:eastAsia="en-US"/>
              </w:rPr>
              <w:t xml:space="preserve">The formulation </w:t>
            </w:r>
            <w:r>
              <w:rPr>
                <w:rFonts w:cs="Arial"/>
                <w:lang w:eastAsia="en-US"/>
              </w:rPr>
              <w:t>ALGOFILM</w:t>
            </w:r>
            <w:r w:rsidRPr="00D749ED">
              <w:rPr>
                <w:rFonts w:cs="Arial"/>
                <w:lang w:eastAsia="en-US"/>
              </w:rPr>
              <w:t xml:space="preserve"> is an Another Liquid (AL) formulation, ready-to-use. </w:t>
            </w:r>
            <w:r w:rsidRPr="00D749ED">
              <w:rPr>
                <w:rFonts w:cs="Arial"/>
                <w:lang w:val="en-US" w:eastAsia="en-US"/>
              </w:rPr>
              <w:t xml:space="preserve">All studies have been performed in accordance with the current requirements </w:t>
            </w:r>
            <w:r>
              <w:rPr>
                <w:rFonts w:eastAsia="Calibri"/>
                <w:lang w:eastAsia="en-US"/>
              </w:rPr>
              <w:t>of the Biocidal Products Regulation</w:t>
            </w:r>
            <w:r w:rsidRPr="00D749ED">
              <w:rPr>
                <w:rFonts w:cs="Arial"/>
                <w:lang w:val="en-US" w:eastAsia="en-US"/>
              </w:rPr>
              <w:t>. The appearance of the product is that of</w:t>
            </w:r>
            <w:r w:rsidR="005C0298">
              <w:rPr>
                <w:rFonts w:cs="Arial"/>
                <w:lang w:val="en-US" w:eastAsia="en-US"/>
              </w:rPr>
              <w:t xml:space="preserve"> </w:t>
            </w:r>
            <w:r w:rsidR="00540758">
              <w:rPr>
                <w:rFonts w:cs="Arial"/>
                <w:lang w:val="en-US" w:eastAsia="en-US"/>
              </w:rPr>
              <w:t>a</w:t>
            </w:r>
            <w:r w:rsidRPr="00D749ED">
              <w:rPr>
                <w:rFonts w:cs="Arial"/>
                <w:lang w:val="en-US" w:eastAsia="en-US"/>
              </w:rPr>
              <w:t xml:space="preserve"> </w:t>
            </w:r>
            <w:r>
              <w:rPr>
                <w:rFonts w:cs="Arial"/>
                <w:lang w:val="en-US" w:eastAsia="en-US"/>
              </w:rPr>
              <w:t xml:space="preserve">viscous </w:t>
            </w:r>
            <w:r w:rsidRPr="00D749ED">
              <w:rPr>
                <w:rFonts w:cs="Arial"/>
                <w:lang w:val="en-US" w:eastAsia="en-US"/>
              </w:rPr>
              <w:t xml:space="preserve">brown liquid. </w:t>
            </w:r>
            <w:r w:rsidRPr="007D64DB">
              <w:rPr>
                <w:rFonts w:cs="Arial"/>
                <w:lang w:val="en-US" w:eastAsia="en-US"/>
              </w:rPr>
              <w:t>The product is not classified regarding any physical hazards.</w:t>
            </w:r>
          </w:p>
          <w:p w14:paraId="0D592D66" w14:textId="77777777" w:rsidR="00910FD6" w:rsidRPr="000E7568" w:rsidRDefault="00910FD6" w:rsidP="00910FD6">
            <w:pPr>
              <w:jc w:val="both"/>
              <w:rPr>
                <w:rFonts w:cs="Arial"/>
                <w:b/>
                <w:lang w:eastAsia="en-US"/>
              </w:rPr>
            </w:pPr>
          </w:p>
          <w:p w14:paraId="774385EE" w14:textId="50901D36" w:rsidR="00DE22C7" w:rsidRDefault="00DE22C7" w:rsidP="00DE22C7">
            <w:pPr>
              <w:rPr>
                <w:rFonts w:cs="Arial"/>
              </w:rPr>
            </w:pPr>
            <w:r>
              <w:rPr>
                <w:rFonts w:cs="Arial"/>
              </w:rPr>
              <w:t xml:space="preserve">A shelf-life of one year </w:t>
            </w:r>
            <w:r w:rsidR="004F00B2">
              <w:rPr>
                <w:rFonts w:cs="Arial"/>
              </w:rPr>
              <w:t>could be</w:t>
            </w:r>
            <w:r>
              <w:rPr>
                <w:rFonts w:cs="Arial"/>
              </w:rPr>
              <w:t xml:space="preserve"> proposed after the consideration of all available information:</w:t>
            </w:r>
          </w:p>
          <w:p w14:paraId="7475FA63" w14:textId="77777777" w:rsidR="00DE22C7" w:rsidRDefault="00DE22C7" w:rsidP="00DE22C7">
            <w:pPr>
              <w:pStyle w:val="Paragraphedeliste"/>
              <w:numPr>
                <w:ilvl w:val="0"/>
                <w:numId w:val="10"/>
              </w:numPr>
              <w:suppressAutoHyphens w:val="0"/>
              <w:jc w:val="both"/>
              <w:rPr>
                <w:rFonts w:cs="Arial"/>
              </w:rPr>
            </w:pPr>
            <w:r>
              <w:rPr>
                <w:rFonts w:cs="Arial"/>
              </w:rPr>
              <w:t>The physicochemical parameters of the product were observed to be stable or to vary in proportions that will not prevent the proper use of the product.</w:t>
            </w:r>
          </w:p>
          <w:p w14:paraId="6D139CC7" w14:textId="77777777" w:rsidR="00DE22C7" w:rsidRDefault="00DE22C7" w:rsidP="00DE22C7">
            <w:pPr>
              <w:pStyle w:val="Paragraphedeliste"/>
              <w:numPr>
                <w:ilvl w:val="0"/>
                <w:numId w:val="10"/>
              </w:numPr>
              <w:suppressAutoHyphens w:val="0"/>
              <w:jc w:val="both"/>
              <w:rPr>
                <w:rFonts w:cs="Arial"/>
              </w:rPr>
            </w:pPr>
            <w:r>
              <w:rPr>
                <w:rFonts w:cs="Arial"/>
              </w:rPr>
              <w:t>L-(+)-lactic acid was found to be stable in an accelerated storage study.</w:t>
            </w:r>
          </w:p>
          <w:p w14:paraId="24725F07" w14:textId="77777777" w:rsidR="00DE22C7" w:rsidRDefault="00DE22C7" w:rsidP="00DE22C7">
            <w:pPr>
              <w:pStyle w:val="Paragraphedeliste"/>
              <w:numPr>
                <w:ilvl w:val="0"/>
                <w:numId w:val="10"/>
              </w:numPr>
              <w:suppressAutoHyphens w:val="0"/>
              <w:jc w:val="both"/>
              <w:rPr>
                <w:rFonts w:cs="Arial"/>
              </w:rPr>
            </w:pPr>
            <w:r>
              <w:rPr>
                <w:rFonts w:cs="Arial"/>
              </w:rPr>
              <w:t>The iodine content decreases by more than 10% during storage.</w:t>
            </w:r>
          </w:p>
          <w:p w14:paraId="52B45633" w14:textId="77777777" w:rsidR="00DE22C7" w:rsidRDefault="00DE22C7" w:rsidP="007763D2">
            <w:pPr>
              <w:pStyle w:val="Paragraphedeliste"/>
              <w:numPr>
                <w:ilvl w:val="0"/>
                <w:numId w:val="10"/>
              </w:numPr>
              <w:suppressAutoHyphens w:val="0"/>
              <w:jc w:val="both"/>
              <w:rPr>
                <w:rFonts w:cs="Arial"/>
              </w:rPr>
            </w:pPr>
            <w:r>
              <w:rPr>
                <w:rFonts w:cs="Arial"/>
              </w:rPr>
              <w:t>Its degradation product, iodide, has already been considered in the risk assessments.</w:t>
            </w:r>
          </w:p>
          <w:p w14:paraId="6B5BC761" w14:textId="77777777" w:rsidR="00DE22C7" w:rsidRDefault="00DE22C7" w:rsidP="007763D2">
            <w:pPr>
              <w:pStyle w:val="Paragraphedeliste"/>
              <w:numPr>
                <w:ilvl w:val="0"/>
                <w:numId w:val="10"/>
              </w:numPr>
              <w:suppressAutoHyphens w:val="0"/>
              <w:jc w:val="both"/>
              <w:rPr>
                <w:rFonts w:cs="Arial"/>
              </w:rPr>
            </w:pPr>
            <w:r>
              <w:rPr>
                <w:rFonts w:cs="Arial"/>
              </w:rPr>
              <w:t>The aged product is still efficacious at a dilution corresponding to the iodine concentration in the product after one year of storage.</w:t>
            </w:r>
          </w:p>
          <w:p w14:paraId="5F299046" w14:textId="77777777" w:rsidR="00910FD6" w:rsidRDefault="00910FD6" w:rsidP="00910FD6">
            <w:pPr>
              <w:jc w:val="both"/>
              <w:rPr>
                <w:rFonts w:cs="Arial"/>
              </w:rPr>
            </w:pPr>
          </w:p>
          <w:p w14:paraId="16F3843B" w14:textId="4313988F" w:rsidR="00E503E0" w:rsidRPr="00E503E0" w:rsidRDefault="000F7B12" w:rsidP="00E503E0">
            <w:pPr>
              <w:jc w:val="both"/>
              <w:rPr>
                <w:rFonts w:cs="Arial"/>
              </w:rPr>
            </w:pPr>
            <w:r>
              <w:rPr>
                <w:rFonts w:cs="Arial"/>
              </w:rPr>
              <w:t>Efficacy is demonstrated on a product after 12</w:t>
            </w:r>
            <w:r w:rsidR="00D14F77">
              <w:rPr>
                <w:rFonts w:cs="Arial"/>
              </w:rPr>
              <w:t xml:space="preserve"> </w:t>
            </w:r>
            <w:r>
              <w:rPr>
                <w:rFonts w:cs="Arial"/>
              </w:rPr>
              <w:t>months storage</w:t>
            </w:r>
            <w:r w:rsidR="00E503E0" w:rsidRPr="00E503E0">
              <w:rPr>
                <w:rFonts w:cs="Arial"/>
              </w:rPr>
              <w:t xml:space="preserve"> (see efficacy section 2.2.5).</w:t>
            </w:r>
          </w:p>
          <w:p w14:paraId="42630B2D" w14:textId="306AC644" w:rsidR="004F00B2" w:rsidRDefault="00E503E0" w:rsidP="00E503E0">
            <w:pPr>
              <w:jc w:val="both"/>
              <w:rPr>
                <w:rFonts w:cs="Arial"/>
              </w:rPr>
            </w:pPr>
            <w:r w:rsidRPr="00E503E0">
              <w:rPr>
                <w:rFonts w:cs="Arial"/>
              </w:rPr>
              <w:t xml:space="preserve">Therefore, a </w:t>
            </w:r>
            <w:r w:rsidR="000F7B12">
              <w:rPr>
                <w:rFonts w:cs="Arial"/>
              </w:rPr>
              <w:t>12</w:t>
            </w:r>
            <w:r w:rsidRPr="00E503E0">
              <w:rPr>
                <w:rFonts w:cs="Arial"/>
              </w:rPr>
              <w:t xml:space="preserve"> months shelf life can be </w:t>
            </w:r>
            <w:r>
              <w:rPr>
                <w:rFonts w:cs="Arial"/>
              </w:rPr>
              <w:t>gran</w:t>
            </w:r>
            <w:r w:rsidRPr="00E503E0">
              <w:rPr>
                <w:rFonts w:cs="Arial"/>
              </w:rPr>
              <w:t>ted at this step.</w:t>
            </w:r>
          </w:p>
          <w:p w14:paraId="24EBFCCC" w14:textId="77777777" w:rsidR="004F00B2" w:rsidRDefault="004F00B2" w:rsidP="00E503E0">
            <w:pPr>
              <w:jc w:val="both"/>
              <w:rPr>
                <w:rFonts w:cs="Arial"/>
              </w:rPr>
            </w:pPr>
          </w:p>
          <w:p w14:paraId="5890A731" w14:textId="6A3E9836" w:rsidR="00910FD6" w:rsidRDefault="00DE22C7" w:rsidP="00E503E0">
            <w:pPr>
              <w:jc w:val="both"/>
              <w:rPr>
                <w:rFonts w:cs="Arial"/>
              </w:rPr>
            </w:pPr>
            <w:r>
              <w:rPr>
                <w:rFonts w:cs="Arial"/>
              </w:rPr>
              <w:t xml:space="preserve">The </w:t>
            </w:r>
            <w:r w:rsidR="004F00B2">
              <w:rPr>
                <w:rFonts w:cs="Arial"/>
              </w:rPr>
              <w:t>ongoing</w:t>
            </w:r>
            <w:r>
              <w:rPr>
                <w:rFonts w:cs="Arial"/>
              </w:rPr>
              <w:t xml:space="preserve"> long-term storage study should be provided in post-authorization.</w:t>
            </w:r>
          </w:p>
          <w:p w14:paraId="406AF3DE" w14:textId="77777777" w:rsidR="00910FD6" w:rsidRDefault="00910FD6" w:rsidP="00910FD6">
            <w:pPr>
              <w:jc w:val="both"/>
              <w:rPr>
                <w:rFonts w:cs="Arial"/>
              </w:rPr>
            </w:pPr>
          </w:p>
          <w:p w14:paraId="2A4117BF" w14:textId="77777777" w:rsidR="00910FD6" w:rsidRPr="00D749ED" w:rsidRDefault="00910FD6" w:rsidP="00910FD6">
            <w:pPr>
              <w:rPr>
                <w:rFonts w:cs="Arial"/>
                <w:lang w:val="en-US" w:eastAsia="en-US"/>
              </w:rPr>
            </w:pPr>
          </w:p>
          <w:p w14:paraId="1E38C9AA" w14:textId="77777777" w:rsidR="00910FD6" w:rsidRPr="00D749ED" w:rsidRDefault="00910FD6" w:rsidP="00910FD6">
            <w:pPr>
              <w:pStyle w:val="Default"/>
              <w:jc w:val="both"/>
              <w:rPr>
                <w:rFonts w:ascii="Verdana" w:hAnsi="Verdana" w:cs="Arial"/>
                <w:b/>
                <w:sz w:val="20"/>
                <w:szCs w:val="20"/>
                <w:u w:val="single"/>
                <w:lang w:val="en-US"/>
              </w:rPr>
            </w:pPr>
            <w:r w:rsidRPr="00D749ED">
              <w:rPr>
                <w:rFonts w:ascii="Verdana" w:hAnsi="Verdana" w:cs="Arial"/>
                <w:b/>
                <w:sz w:val="20"/>
                <w:szCs w:val="20"/>
                <w:u w:val="single"/>
                <w:lang w:val="en-US"/>
              </w:rPr>
              <w:t>Implication concerning labelling for the product:</w:t>
            </w:r>
          </w:p>
          <w:p w14:paraId="039D38FB" w14:textId="23588330" w:rsidR="00910FD6" w:rsidRDefault="00910FD6" w:rsidP="00910FD6">
            <w:pPr>
              <w:rPr>
                <w:rFonts w:cs="Arial"/>
              </w:rPr>
            </w:pPr>
            <w:r w:rsidRPr="000A3D3D">
              <w:rPr>
                <w:rFonts w:cs="Arial"/>
              </w:rPr>
              <w:t>Protect from frost</w:t>
            </w:r>
            <w:r w:rsidR="002B76E1">
              <w:rPr>
                <w:rFonts w:cs="Arial"/>
              </w:rPr>
              <w:t>.</w:t>
            </w:r>
          </w:p>
          <w:p w14:paraId="15AD8DC0" w14:textId="37C92766" w:rsidR="002B76E1" w:rsidRPr="000A3D3D" w:rsidRDefault="002B76E1" w:rsidP="00910FD6">
            <w:pPr>
              <w:rPr>
                <w:rFonts w:cs="Arial"/>
              </w:rPr>
            </w:pPr>
            <w:r>
              <w:rPr>
                <w:rFonts w:cs="Arial"/>
              </w:rPr>
              <w:t>Protect from direct sunlight.</w:t>
            </w:r>
          </w:p>
          <w:p w14:paraId="419FADD4" w14:textId="5F076548" w:rsidR="00910FD6" w:rsidRPr="000A3D3D" w:rsidRDefault="00767B3D" w:rsidP="00910FD6">
            <w:pPr>
              <w:rPr>
                <w:rFonts w:cs="Arial"/>
              </w:rPr>
            </w:pPr>
            <w:r>
              <w:t>S</w:t>
            </w:r>
            <w:r w:rsidR="00910FD6" w:rsidRPr="000A3D3D">
              <w:t xml:space="preserve">tore at a temperature </w:t>
            </w:r>
            <w:r>
              <w:t>below</w:t>
            </w:r>
            <w:r w:rsidRPr="000A3D3D">
              <w:t xml:space="preserve"> </w:t>
            </w:r>
            <w:r w:rsidR="000F37D8">
              <w:t>25</w:t>
            </w:r>
            <w:r w:rsidR="00910FD6" w:rsidRPr="000A3D3D">
              <w:t>°C</w:t>
            </w:r>
            <w:r w:rsidR="00910FD6" w:rsidRPr="000A3D3D">
              <w:rPr>
                <w:rFonts w:cs="Arial"/>
              </w:rPr>
              <w:t>.</w:t>
            </w:r>
          </w:p>
          <w:p w14:paraId="3A20C8B4" w14:textId="7E195433" w:rsidR="009D0C0B" w:rsidRDefault="00E21BB8" w:rsidP="00E503E0">
            <w:pPr>
              <w:snapToGrid w:val="0"/>
              <w:spacing w:line="260" w:lineRule="atLeast"/>
              <w:rPr>
                <w:rFonts w:eastAsia="Calibri"/>
                <w:b/>
                <w:bCs/>
                <w:lang w:eastAsia="en-US"/>
              </w:rPr>
            </w:pPr>
            <w:r>
              <w:rPr>
                <w:rFonts w:cs="Arial"/>
                <w:lang w:val="en-US" w:eastAsia="en-US"/>
              </w:rPr>
              <w:t xml:space="preserve">Shelf life: </w:t>
            </w:r>
            <w:r w:rsidR="000F7B12">
              <w:rPr>
                <w:rFonts w:cs="Arial"/>
                <w:lang w:val="en-US" w:eastAsia="en-US"/>
              </w:rPr>
              <w:t>12</w:t>
            </w:r>
            <w:r w:rsidR="00DE22C7">
              <w:rPr>
                <w:rFonts w:cs="Arial"/>
                <w:lang w:val="en-US" w:eastAsia="en-US"/>
              </w:rPr>
              <w:t xml:space="preserve"> months</w:t>
            </w:r>
            <w:r>
              <w:rPr>
                <w:rFonts w:cs="Arial"/>
                <w:lang w:val="en-US" w:eastAsia="en-US"/>
              </w:rPr>
              <w:t>.</w:t>
            </w:r>
          </w:p>
        </w:tc>
      </w:tr>
    </w:tbl>
    <w:p w14:paraId="71023B14" w14:textId="77777777" w:rsidR="009D0C0B" w:rsidRDefault="009D0C0B">
      <w:pPr>
        <w:spacing w:line="260" w:lineRule="atLeast"/>
        <w:ind w:left="360"/>
        <w:contextualSpacing/>
        <w:rPr>
          <w:rFonts w:eastAsia="Calibri"/>
          <w:lang w:eastAsia="sv-SE"/>
        </w:rPr>
      </w:pPr>
    </w:p>
    <w:p w14:paraId="7DA159B6" w14:textId="77777777" w:rsidR="009D0C0B" w:rsidRDefault="009D0C0B">
      <w:pPr>
        <w:spacing w:line="260" w:lineRule="atLeast"/>
        <w:ind w:left="360"/>
        <w:contextualSpacing/>
        <w:rPr>
          <w:rFonts w:eastAsia="Calibri"/>
          <w:lang w:eastAsia="sv-SE"/>
        </w:rPr>
      </w:pPr>
    </w:p>
    <w:p w14:paraId="31FB873D" w14:textId="77777777" w:rsidR="009D0C0B" w:rsidRDefault="00FA480B">
      <w:pPr>
        <w:pStyle w:val="Titre3"/>
        <w:rPr>
          <w:rFonts w:eastAsia="Calibri"/>
          <w:lang w:eastAsia="en-US"/>
        </w:rPr>
      </w:pPr>
      <w:bookmarkStart w:id="57" w:name="_Toc74732477"/>
      <w:r>
        <w:t>Physical hazards and respective characteristics</w:t>
      </w:r>
      <w:bookmarkEnd w:id="57"/>
    </w:p>
    <w:p w14:paraId="19800D33" w14:textId="77777777" w:rsidR="009D0C0B" w:rsidRDefault="009D0C0B">
      <w:pPr>
        <w:pStyle w:val="Absatz"/>
        <w:rPr>
          <w:rFonts w:eastAsia="Calibri"/>
          <w:lang w:val="de-DE" w:eastAsia="en-US"/>
        </w:rPr>
      </w:pPr>
    </w:p>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1"/>
        <w:gridCol w:w="1509"/>
        <w:gridCol w:w="1508"/>
        <w:gridCol w:w="4673"/>
        <w:gridCol w:w="759"/>
        <w:gridCol w:w="1357"/>
        <w:gridCol w:w="2264"/>
      </w:tblGrid>
      <w:tr w:rsidR="00E21BB8" w:rsidRPr="00A41B49" w14:paraId="3A14C951" w14:textId="77777777" w:rsidTr="00154253">
        <w:trPr>
          <w:trHeight w:val="171"/>
          <w:tblHeader/>
        </w:trPr>
        <w:tc>
          <w:tcPr>
            <w:tcW w:w="2791" w:type="dxa"/>
            <w:shd w:val="clear" w:color="auto" w:fill="E0E0E0"/>
            <w:vAlign w:val="center"/>
          </w:tcPr>
          <w:p w14:paraId="092D5A5D" w14:textId="77777777" w:rsidR="00E21BB8" w:rsidRPr="00A41B49" w:rsidRDefault="00E21BB8" w:rsidP="00E353FD">
            <w:pPr>
              <w:rPr>
                <w:rFonts w:cs="Arial"/>
                <w:b/>
                <w:sz w:val="18"/>
              </w:rPr>
            </w:pPr>
            <w:r w:rsidRPr="00A41B49">
              <w:rPr>
                <w:rFonts w:cs="Arial"/>
                <w:b/>
                <w:sz w:val="18"/>
              </w:rPr>
              <w:t>Property</w:t>
            </w:r>
          </w:p>
        </w:tc>
        <w:tc>
          <w:tcPr>
            <w:tcW w:w="1509" w:type="dxa"/>
            <w:shd w:val="clear" w:color="auto" w:fill="E0E0E0"/>
            <w:vAlign w:val="center"/>
          </w:tcPr>
          <w:p w14:paraId="2BF05410" w14:textId="77777777" w:rsidR="00E21BB8" w:rsidRPr="00A41B49" w:rsidRDefault="00E21BB8" w:rsidP="00E353FD">
            <w:pPr>
              <w:rPr>
                <w:rFonts w:cs="Arial"/>
                <w:b/>
                <w:sz w:val="18"/>
              </w:rPr>
            </w:pPr>
            <w:r w:rsidRPr="00A41B49">
              <w:rPr>
                <w:rFonts w:cs="Arial"/>
                <w:b/>
                <w:sz w:val="18"/>
              </w:rPr>
              <w:t>Guideline  and Method</w:t>
            </w:r>
          </w:p>
        </w:tc>
        <w:tc>
          <w:tcPr>
            <w:tcW w:w="1508" w:type="dxa"/>
            <w:shd w:val="clear" w:color="auto" w:fill="E0E0E0"/>
            <w:vAlign w:val="center"/>
          </w:tcPr>
          <w:p w14:paraId="3DD5BF15" w14:textId="77777777" w:rsidR="00E21BB8" w:rsidRPr="00A41B49" w:rsidRDefault="00E21BB8" w:rsidP="00E353FD">
            <w:pPr>
              <w:rPr>
                <w:rFonts w:cs="Arial"/>
                <w:b/>
                <w:sz w:val="18"/>
              </w:rPr>
            </w:pPr>
            <w:r w:rsidRPr="00A41B49">
              <w:rPr>
                <w:rFonts w:cs="Arial"/>
                <w:b/>
                <w:sz w:val="18"/>
              </w:rPr>
              <w:t>Purity of the test substance (% (w/w)</w:t>
            </w:r>
          </w:p>
        </w:tc>
        <w:tc>
          <w:tcPr>
            <w:tcW w:w="4673" w:type="dxa"/>
            <w:shd w:val="clear" w:color="auto" w:fill="E0E0E0"/>
            <w:vAlign w:val="center"/>
          </w:tcPr>
          <w:p w14:paraId="4C10573A" w14:textId="77777777" w:rsidR="00E21BB8" w:rsidRPr="00A41B49" w:rsidRDefault="00E21BB8" w:rsidP="00E353FD">
            <w:pPr>
              <w:rPr>
                <w:rFonts w:cs="Arial"/>
                <w:b/>
                <w:sz w:val="18"/>
              </w:rPr>
            </w:pPr>
            <w:r w:rsidRPr="00A41B49">
              <w:rPr>
                <w:rFonts w:cs="Arial"/>
                <w:b/>
                <w:sz w:val="18"/>
              </w:rPr>
              <w:t>Results</w:t>
            </w:r>
          </w:p>
        </w:tc>
        <w:tc>
          <w:tcPr>
            <w:tcW w:w="759" w:type="dxa"/>
            <w:shd w:val="clear" w:color="auto" w:fill="E0E0E0"/>
            <w:vAlign w:val="center"/>
          </w:tcPr>
          <w:p w14:paraId="29EF3AAB" w14:textId="77777777" w:rsidR="00E21BB8" w:rsidRPr="00A41B49" w:rsidRDefault="00E21BB8" w:rsidP="00E353FD">
            <w:pPr>
              <w:jc w:val="center"/>
              <w:rPr>
                <w:rFonts w:cs="Arial"/>
                <w:b/>
                <w:sz w:val="18"/>
              </w:rPr>
            </w:pPr>
            <w:r w:rsidRPr="00A41B49">
              <w:rPr>
                <w:rFonts w:cs="Arial"/>
                <w:b/>
                <w:sz w:val="18"/>
              </w:rPr>
              <w:t>GLP</w:t>
            </w:r>
          </w:p>
        </w:tc>
        <w:tc>
          <w:tcPr>
            <w:tcW w:w="1357" w:type="dxa"/>
            <w:shd w:val="clear" w:color="auto" w:fill="E0E0E0"/>
            <w:vAlign w:val="center"/>
          </w:tcPr>
          <w:p w14:paraId="59AA697E" w14:textId="77777777" w:rsidR="00E21BB8" w:rsidRPr="00A41B49" w:rsidRDefault="00E21BB8" w:rsidP="00E353FD">
            <w:pPr>
              <w:rPr>
                <w:rFonts w:cs="Arial"/>
                <w:b/>
                <w:sz w:val="18"/>
              </w:rPr>
            </w:pPr>
            <w:r w:rsidRPr="00A41B49">
              <w:rPr>
                <w:rFonts w:cs="Arial"/>
                <w:b/>
                <w:sz w:val="18"/>
              </w:rPr>
              <w:t>Reference</w:t>
            </w:r>
          </w:p>
        </w:tc>
        <w:tc>
          <w:tcPr>
            <w:tcW w:w="2264" w:type="dxa"/>
            <w:shd w:val="clear" w:color="auto" w:fill="E0E0E0"/>
            <w:vAlign w:val="center"/>
          </w:tcPr>
          <w:p w14:paraId="799DE987" w14:textId="77777777" w:rsidR="00E21BB8" w:rsidRPr="00A41B49" w:rsidRDefault="00E21BB8" w:rsidP="00E353FD">
            <w:pPr>
              <w:jc w:val="center"/>
              <w:rPr>
                <w:rFonts w:cs="Arial"/>
                <w:b/>
                <w:sz w:val="18"/>
              </w:rPr>
            </w:pPr>
            <w:r w:rsidRPr="00A41B49">
              <w:rPr>
                <w:rFonts w:cs="Arial"/>
                <w:b/>
                <w:sz w:val="18"/>
              </w:rPr>
              <w:t>Comments</w:t>
            </w:r>
          </w:p>
        </w:tc>
      </w:tr>
      <w:tr w:rsidR="00E21BB8" w:rsidRPr="00A41B49" w14:paraId="554CF2D5" w14:textId="77777777" w:rsidTr="00154253">
        <w:trPr>
          <w:trHeight w:val="171"/>
        </w:trPr>
        <w:tc>
          <w:tcPr>
            <w:tcW w:w="2791" w:type="dxa"/>
          </w:tcPr>
          <w:p w14:paraId="4A7C0A35" w14:textId="77777777" w:rsidR="00E21BB8" w:rsidRPr="00A41B49" w:rsidRDefault="00E21BB8" w:rsidP="00E353FD">
            <w:r w:rsidRPr="00A41B49">
              <w:t>Explosives</w:t>
            </w:r>
          </w:p>
        </w:tc>
        <w:tc>
          <w:tcPr>
            <w:tcW w:w="1509" w:type="dxa"/>
          </w:tcPr>
          <w:p w14:paraId="13A06EAB" w14:textId="7EBDD68B" w:rsidR="00E21BB8" w:rsidRPr="00A41B49" w:rsidRDefault="008D6BE8" w:rsidP="00E353FD">
            <w:r>
              <w:t>Statement</w:t>
            </w:r>
          </w:p>
        </w:tc>
        <w:tc>
          <w:tcPr>
            <w:tcW w:w="1508" w:type="dxa"/>
          </w:tcPr>
          <w:p w14:paraId="0CC260AE" w14:textId="77777777" w:rsidR="00E21BB8" w:rsidRPr="00A41B49" w:rsidRDefault="00E21BB8" w:rsidP="00E353FD"/>
        </w:tc>
        <w:tc>
          <w:tcPr>
            <w:tcW w:w="4673" w:type="dxa"/>
          </w:tcPr>
          <w:p w14:paraId="062049AC" w14:textId="07803F21" w:rsidR="00DA4E5F" w:rsidRDefault="00E21BB8" w:rsidP="007763D2">
            <w:pPr>
              <w:jc w:val="both"/>
            </w:pPr>
            <w:r w:rsidRPr="007C4774">
              <w:t xml:space="preserve">Waived on the basis of the </w:t>
            </w:r>
            <w:r w:rsidR="00AD7B19">
              <w:t xml:space="preserve">functional groups present in the constituents of the product. </w:t>
            </w:r>
          </w:p>
          <w:p w14:paraId="5F50BF0C" w14:textId="75CD23B7" w:rsidR="00DA4E5F" w:rsidRDefault="00E21BB8" w:rsidP="007763D2">
            <w:pPr>
              <w:jc w:val="both"/>
            </w:pPr>
            <w:r w:rsidRPr="007C4774">
              <w:t>(The product does not contain any component classified regarding this physical hazard, it is thus not classified for this physical hazard).</w:t>
            </w:r>
          </w:p>
          <w:p w14:paraId="18039C6D" w14:textId="32E3CC9F" w:rsidR="00E21BB8" w:rsidRPr="00A41B49" w:rsidRDefault="00DA4E5F" w:rsidP="007763D2">
            <w:pPr>
              <w:jc w:val="both"/>
            </w:pPr>
            <w:r>
              <w:t>Moreover, as the product is a water-based formulation</w:t>
            </w:r>
            <w:r w:rsidR="008D6BE8">
              <w:t xml:space="preserve"> (see </w:t>
            </w:r>
            <w:r w:rsidR="00F1484A">
              <w:t xml:space="preserve">details in </w:t>
            </w:r>
            <w:r w:rsidR="008D6BE8">
              <w:t>confidential annex)</w:t>
            </w:r>
            <w:r>
              <w:t>, it is not expected to have explosive properties</w:t>
            </w:r>
          </w:p>
        </w:tc>
        <w:tc>
          <w:tcPr>
            <w:tcW w:w="759" w:type="dxa"/>
            <w:vAlign w:val="center"/>
          </w:tcPr>
          <w:p w14:paraId="5D94B153" w14:textId="77777777" w:rsidR="00E21BB8" w:rsidRPr="00A41B49" w:rsidRDefault="00E21BB8" w:rsidP="00E353FD">
            <w:pPr>
              <w:jc w:val="center"/>
            </w:pPr>
          </w:p>
        </w:tc>
        <w:tc>
          <w:tcPr>
            <w:tcW w:w="1357" w:type="dxa"/>
          </w:tcPr>
          <w:p w14:paraId="2C63B20B" w14:textId="77777777" w:rsidR="00E21BB8" w:rsidRPr="00A41B49" w:rsidRDefault="00E21BB8" w:rsidP="00E353FD"/>
        </w:tc>
        <w:tc>
          <w:tcPr>
            <w:tcW w:w="2264" w:type="dxa"/>
          </w:tcPr>
          <w:p w14:paraId="4ED68643" w14:textId="77777777" w:rsidR="00E21BB8" w:rsidRDefault="00E21BB8">
            <w:pPr>
              <w:jc w:val="both"/>
            </w:pPr>
            <w:r>
              <w:t>Acceptable</w:t>
            </w:r>
          </w:p>
          <w:p w14:paraId="07B21143" w14:textId="59E01452" w:rsidR="00E21BB8" w:rsidRPr="00A41B49" w:rsidRDefault="00E21BB8">
            <w:pPr>
              <w:jc w:val="both"/>
            </w:pPr>
            <w:r>
              <w:t xml:space="preserve">According to CLP regulation, product is not </w:t>
            </w:r>
            <w:r w:rsidR="00DB3102">
              <w:t xml:space="preserve">expected </w:t>
            </w:r>
            <w:r>
              <w:t>to have explosive properties.</w:t>
            </w:r>
          </w:p>
        </w:tc>
      </w:tr>
      <w:tr w:rsidR="00E21BB8" w:rsidRPr="00A41B49" w14:paraId="20A8AD9B" w14:textId="77777777" w:rsidTr="00154253">
        <w:trPr>
          <w:trHeight w:val="171"/>
        </w:trPr>
        <w:tc>
          <w:tcPr>
            <w:tcW w:w="2791" w:type="dxa"/>
          </w:tcPr>
          <w:p w14:paraId="040CB7C4" w14:textId="77777777" w:rsidR="00E21BB8" w:rsidRPr="00A41B49" w:rsidRDefault="00E21BB8" w:rsidP="00E353FD">
            <w:r w:rsidRPr="00A41B49">
              <w:t>Flammable gases</w:t>
            </w:r>
          </w:p>
        </w:tc>
        <w:tc>
          <w:tcPr>
            <w:tcW w:w="1509" w:type="dxa"/>
          </w:tcPr>
          <w:p w14:paraId="76F27A45" w14:textId="77777777" w:rsidR="00E21BB8" w:rsidRPr="00A41B49" w:rsidRDefault="00E21BB8" w:rsidP="00E353FD"/>
        </w:tc>
        <w:tc>
          <w:tcPr>
            <w:tcW w:w="1508" w:type="dxa"/>
          </w:tcPr>
          <w:p w14:paraId="4F499F61" w14:textId="77777777" w:rsidR="00E21BB8" w:rsidRPr="00A41B49" w:rsidRDefault="00E21BB8" w:rsidP="00E353FD"/>
        </w:tc>
        <w:tc>
          <w:tcPr>
            <w:tcW w:w="4673" w:type="dxa"/>
          </w:tcPr>
          <w:p w14:paraId="56741EE2" w14:textId="77777777" w:rsidR="00E21BB8" w:rsidRPr="00A41B49" w:rsidRDefault="00E21BB8">
            <w:pPr>
              <w:jc w:val="both"/>
            </w:pPr>
            <w:r w:rsidRPr="00A41B49">
              <w:rPr>
                <w:rFonts w:cs="Arial"/>
              </w:rPr>
              <w:t>Not relevant</w:t>
            </w:r>
          </w:p>
        </w:tc>
        <w:tc>
          <w:tcPr>
            <w:tcW w:w="759" w:type="dxa"/>
            <w:vAlign w:val="center"/>
          </w:tcPr>
          <w:p w14:paraId="3FD1AB5A" w14:textId="77777777" w:rsidR="00E21BB8" w:rsidRPr="00A41B49" w:rsidRDefault="00E21BB8" w:rsidP="00E353FD">
            <w:pPr>
              <w:jc w:val="center"/>
            </w:pPr>
          </w:p>
        </w:tc>
        <w:tc>
          <w:tcPr>
            <w:tcW w:w="1357" w:type="dxa"/>
          </w:tcPr>
          <w:p w14:paraId="69A78112" w14:textId="77777777" w:rsidR="00E21BB8" w:rsidRPr="00A41B49" w:rsidRDefault="00E21BB8" w:rsidP="00E353FD"/>
        </w:tc>
        <w:tc>
          <w:tcPr>
            <w:tcW w:w="2264" w:type="dxa"/>
          </w:tcPr>
          <w:p w14:paraId="5A0F8686" w14:textId="77777777" w:rsidR="00E21BB8" w:rsidRPr="00A41B49" w:rsidRDefault="00E21BB8">
            <w:pPr>
              <w:jc w:val="both"/>
            </w:pPr>
          </w:p>
        </w:tc>
      </w:tr>
      <w:tr w:rsidR="00E21BB8" w:rsidRPr="00A41B49" w14:paraId="14F0A356" w14:textId="77777777" w:rsidTr="00154253">
        <w:trPr>
          <w:trHeight w:val="171"/>
        </w:trPr>
        <w:tc>
          <w:tcPr>
            <w:tcW w:w="2791" w:type="dxa"/>
          </w:tcPr>
          <w:p w14:paraId="0218CE82" w14:textId="77777777" w:rsidR="00E21BB8" w:rsidRPr="00A41B49" w:rsidRDefault="00E21BB8" w:rsidP="00E353FD">
            <w:r w:rsidRPr="00A41B49">
              <w:t>Flammable aerosols</w:t>
            </w:r>
          </w:p>
        </w:tc>
        <w:tc>
          <w:tcPr>
            <w:tcW w:w="1509" w:type="dxa"/>
          </w:tcPr>
          <w:p w14:paraId="0CB6F160" w14:textId="77777777" w:rsidR="00E21BB8" w:rsidRPr="00A41B49" w:rsidRDefault="00E21BB8" w:rsidP="00E353FD"/>
        </w:tc>
        <w:tc>
          <w:tcPr>
            <w:tcW w:w="1508" w:type="dxa"/>
          </w:tcPr>
          <w:p w14:paraId="6156A06E" w14:textId="77777777" w:rsidR="00E21BB8" w:rsidRPr="00A41B49" w:rsidRDefault="00E21BB8" w:rsidP="00E353FD"/>
        </w:tc>
        <w:tc>
          <w:tcPr>
            <w:tcW w:w="4673" w:type="dxa"/>
          </w:tcPr>
          <w:p w14:paraId="53558167" w14:textId="77777777" w:rsidR="00E21BB8" w:rsidRPr="00A41B49" w:rsidRDefault="00E21BB8">
            <w:pPr>
              <w:jc w:val="both"/>
            </w:pPr>
            <w:r w:rsidRPr="00A41B49">
              <w:rPr>
                <w:rFonts w:cs="Arial"/>
              </w:rPr>
              <w:t>Not relevant</w:t>
            </w:r>
          </w:p>
        </w:tc>
        <w:tc>
          <w:tcPr>
            <w:tcW w:w="759" w:type="dxa"/>
            <w:vAlign w:val="center"/>
          </w:tcPr>
          <w:p w14:paraId="12523B17" w14:textId="77777777" w:rsidR="00E21BB8" w:rsidRPr="00A41B49" w:rsidRDefault="00E21BB8" w:rsidP="00E353FD">
            <w:pPr>
              <w:jc w:val="center"/>
            </w:pPr>
          </w:p>
        </w:tc>
        <w:tc>
          <w:tcPr>
            <w:tcW w:w="1357" w:type="dxa"/>
          </w:tcPr>
          <w:p w14:paraId="77B19FB1" w14:textId="77777777" w:rsidR="00E21BB8" w:rsidRPr="00A41B49" w:rsidRDefault="00E21BB8" w:rsidP="00E353FD"/>
        </w:tc>
        <w:tc>
          <w:tcPr>
            <w:tcW w:w="2264" w:type="dxa"/>
          </w:tcPr>
          <w:p w14:paraId="74484E4C" w14:textId="77777777" w:rsidR="00E21BB8" w:rsidRPr="00A41B49" w:rsidRDefault="00E21BB8">
            <w:pPr>
              <w:jc w:val="both"/>
            </w:pPr>
          </w:p>
        </w:tc>
      </w:tr>
      <w:tr w:rsidR="00E21BB8" w:rsidRPr="00A41B49" w14:paraId="31B3B2C7" w14:textId="77777777" w:rsidTr="00154253">
        <w:trPr>
          <w:trHeight w:val="171"/>
        </w:trPr>
        <w:tc>
          <w:tcPr>
            <w:tcW w:w="2791" w:type="dxa"/>
          </w:tcPr>
          <w:p w14:paraId="6EB6D91B" w14:textId="77777777" w:rsidR="00E21BB8" w:rsidRPr="00A41B49" w:rsidRDefault="00E21BB8" w:rsidP="00E353FD">
            <w:r w:rsidRPr="00A41B49">
              <w:t>Oxidising gases</w:t>
            </w:r>
          </w:p>
        </w:tc>
        <w:tc>
          <w:tcPr>
            <w:tcW w:w="1509" w:type="dxa"/>
          </w:tcPr>
          <w:p w14:paraId="77B3C9DB" w14:textId="77777777" w:rsidR="00E21BB8" w:rsidRPr="00A41B49" w:rsidRDefault="00E21BB8" w:rsidP="00E353FD"/>
        </w:tc>
        <w:tc>
          <w:tcPr>
            <w:tcW w:w="1508" w:type="dxa"/>
          </w:tcPr>
          <w:p w14:paraId="4753C9E0" w14:textId="77777777" w:rsidR="00E21BB8" w:rsidRPr="00A41B49" w:rsidRDefault="00E21BB8" w:rsidP="00E353FD"/>
        </w:tc>
        <w:tc>
          <w:tcPr>
            <w:tcW w:w="4673" w:type="dxa"/>
          </w:tcPr>
          <w:p w14:paraId="74745ED4" w14:textId="77777777" w:rsidR="00E21BB8" w:rsidRPr="00A41B49" w:rsidRDefault="00E21BB8" w:rsidP="007763D2">
            <w:pPr>
              <w:jc w:val="both"/>
            </w:pPr>
            <w:r w:rsidRPr="00A41B49">
              <w:rPr>
                <w:rFonts w:cs="Arial"/>
              </w:rPr>
              <w:t>Not relevant</w:t>
            </w:r>
          </w:p>
        </w:tc>
        <w:tc>
          <w:tcPr>
            <w:tcW w:w="759" w:type="dxa"/>
            <w:vAlign w:val="center"/>
          </w:tcPr>
          <w:p w14:paraId="2F66DDA8" w14:textId="77777777" w:rsidR="00E21BB8" w:rsidRPr="00A41B49" w:rsidRDefault="00E21BB8" w:rsidP="00E353FD">
            <w:pPr>
              <w:jc w:val="center"/>
            </w:pPr>
          </w:p>
        </w:tc>
        <w:tc>
          <w:tcPr>
            <w:tcW w:w="1357" w:type="dxa"/>
          </w:tcPr>
          <w:p w14:paraId="18524C94" w14:textId="77777777" w:rsidR="00E21BB8" w:rsidRPr="00A41B49" w:rsidRDefault="00E21BB8" w:rsidP="00E353FD"/>
        </w:tc>
        <w:tc>
          <w:tcPr>
            <w:tcW w:w="2264" w:type="dxa"/>
          </w:tcPr>
          <w:p w14:paraId="28507560" w14:textId="77777777" w:rsidR="00E21BB8" w:rsidRPr="00A41B49" w:rsidRDefault="00E21BB8" w:rsidP="007763D2">
            <w:pPr>
              <w:jc w:val="both"/>
            </w:pPr>
          </w:p>
        </w:tc>
      </w:tr>
      <w:tr w:rsidR="00E21BB8" w:rsidRPr="00A41B49" w14:paraId="10CE4DE8" w14:textId="77777777" w:rsidTr="00154253">
        <w:trPr>
          <w:trHeight w:val="171"/>
        </w:trPr>
        <w:tc>
          <w:tcPr>
            <w:tcW w:w="2791" w:type="dxa"/>
          </w:tcPr>
          <w:p w14:paraId="55DE3A08" w14:textId="77777777" w:rsidR="00E21BB8" w:rsidRPr="00A41B49" w:rsidRDefault="00E21BB8" w:rsidP="00E353FD">
            <w:r w:rsidRPr="00A41B49">
              <w:t>Gases under pressure</w:t>
            </w:r>
          </w:p>
        </w:tc>
        <w:tc>
          <w:tcPr>
            <w:tcW w:w="1509" w:type="dxa"/>
          </w:tcPr>
          <w:p w14:paraId="49653885" w14:textId="77777777" w:rsidR="00E21BB8" w:rsidRPr="00A41B49" w:rsidRDefault="00E21BB8" w:rsidP="00E353FD"/>
        </w:tc>
        <w:tc>
          <w:tcPr>
            <w:tcW w:w="1508" w:type="dxa"/>
          </w:tcPr>
          <w:p w14:paraId="4B362A92" w14:textId="77777777" w:rsidR="00E21BB8" w:rsidRPr="00A41B49" w:rsidRDefault="00E21BB8" w:rsidP="00E353FD"/>
        </w:tc>
        <w:tc>
          <w:tcPr>
            <w:tcW w:w="4673" w:type="dxa"/>
          </w:tcPr>
          <w:p w14:paraId="780BFE39" w14:textId="77777777" w:rsidR="00E21BB8" w:rsidRPr="00A41B49" w:rsidRDefault="00E21BB8" w:rsidP="007763D2">
            <w:pPr>
              <w:jc w:val="both"/>
            </w:pPr>
            <w:r w:rsidRPr="00A41B49">
              <w:rPr>
                <w:rFonts w:cs="Arial"/>
              </w:rPr>
              <w:t>Not relevant</w:t>
            </w:r>
          </w:p>
        </w:tc>
        <w:tc>
          <w:tcPr>
            <w:tcW w:w="759" w:type="dxa"/>
            <w:vAlign w:val="center"/>
          </w:tcPr>
          <w:p w14:paraId="7F24D314" w14:textId="77777777" w:rsidR="00E21BB8" w:rsidRPr="00A41B49" w:rsidRDefault="00E21BB8" w:rsidP="00E353FD">
            <w:pPr>
              <w:jc w:val="center"/>
            </w:pPr>
          </w:p>
        </w:tc>
        <w:tc>
          <w:tcPr>
            <w:tcW w:w="1357" w:type="dxa"/>
          </w:tcPr>
          <w:p w14:paraId="42C2A891" w14:textId="77777777" w:rsidR="00E21BB8" w:rsidRPr="00A41B49" w:rsidRDefault="00E21BB8" w:rsidP="00E353FD"/>
        </w:tc>
        <w:tc>
          <w:tcPr>
            <w:tcW w:w="2264" w:type="dxa"/>
          </w:tcPr>
          <w:p w14:paraId="40C997B8" w14:textId="77777777" w:rsidR="00E21BB8" w:rsidRPr="00A41B49" w:rsidRDefault="00E21BB8" w:rsidP="007763D2">
            <w:pPr>
              <w:jc w:val="both"/>
            </w:pPr>
          </w:p>
        </w:tc>
      </w:tr>
      <w:tr w:rsidR="00E21BB8" w:rsidRPr="00A41B49" w14:paraId="15D7DA13" w14:textId="77777777" w:rsidTr="00154253">
        <w:trPr>
          <w:trHeight w:val="171"/>
        </w:trPr>
        <w:tc>
          <w:tcPr>
            <w:tcW w:w="2791" w:type="dxa"/>
          </w:tcPr>
          <w:p w14:paraId="558F6B83" w14:textId="77777777" w:rsidR="00E21BB8" w:rsidRPr="00A41B49" w:rsidRDefault="00E21BB8" w:rsidP="00E353FD">
            <w:r w:rsidRPr="00A41B49">
              <w:t>Flammable liquids</w:t>
            </w:r>
          </w:p>
        </w:tc>
        <w:tc>
          <w:tcPr>
            <w:tcW w:w="1509" w:type="dxa"/>
          </w:tcPr>
          <w:p w14:paraId="7A1C5D33" w14:textId="77758BF9" w:rsidR="00E21BB8" w:rsidRPr="00A41B49" w:rsidRDefault="008D6BE8" w:rsidP="00E353FD">
            <w:r>
              <w:t>Statement</w:t>
            </w:r>
          </w:p>
        </w:tc>
        <w:tc>
          <w:tcPr>
            <w:tcW w:w="1508" w:type="dxa"/>
          </w:tcPr>
          <w:p w14:paraId="2D305AD9" w14:textId="77777777" w:rsidR="00E21BB8" w:rsidRPr="00A41B49" w:rsidRDefault="00E21BB8" w:rsidP="00E353FD"/>
        </w:tc>
        <w:tc>
          <w:tcPr>
            <w:tcW w:w="4673" w:type="dxa"/>
          </w:tcPr>
          <w:p w14:paraId="77FF2AB3" w14:textId="1D5CB86F" w:rsidR="00DA4E5F" w:rsidRDefault="00E21BB8" w:rsidP="007763D2">
            <w:pPr>
              <w:jc w:val="both"/>
            </w:pPr>
            <w:r w:rsidRPr="007C4774">
              <w:t xml:space="preserve">Waived on the </w:t>
            </w:r>
            <w:r w:rsidR="008A745C">
              <w:t>b</w:t>
            </w:r>
            <w:r w:rsidRPr="007C4774">
              <w:t xml:space="preserve">asis of the classification </w:t>
            </w:r>
            <w:r w:rsidR="008A745C">
              <w:t>of each co-formulant, t</w:t>
            </w:r>
            <w:r w:rsidRPr="007C4774">
              <w:t>he product does not contain any component classified regarding this physical hazard, it is thus not classified for this physical hazard).</w:t>
            </w:r>
          </w:p>
          <w:p w14:paraId="68223E93" w14:textId="091C403C" w:rsidR="00E21BB8" w:rsidRDefault="00DA4E5F" w:rsidP="007763D2">
            <w:pPr>
              <w:jc w:val="both"/>
            </w:pPr>
            <w:r>
              <w:t>As no co-formulant has a flash point under 1</w:t>
            </w:r>
            <w:r w:rsidR="008D6BE8">
              <w:t>5</w:t>
            </w:r>
            <w:r>
              <w:t>0°C, the product is not expected to have flammable properties.</w:t>
            </w:r>
          </w:p>
          <w:p w14:paraId="331A1146" w14:textId="474C4136" w:rsidR="008D6BE8" w:rsidRPr="00A41B49" w:rsidRDefault="008D6BE8" w:rsidP="007763D2">
            <w:pPr>
              <w:jc w:val="both"/>
            </w:pPr>
            <w:r>
              <w:lastRenderedPageBreak/>
              <w:t xml:space="preserve">Moreover, as the product is a water-based formulation (see </w:t>
            </w:r>
            <w:r w:rsidR="00F1484A">
              <w:t xml:space="preserve">details in </w:t>
            </w:r>
            <w:r>
              <w:t>confidential annex), it is not expected to have flammable properties</w:t>
            </w:r>
          </w:p>
        </w:tc>
        <w:tc>
          <w:tcPr>
            <w:tcW w:w="759" w:type="dxa"/>
            <w:vAlign w:val="center"/>
          </w:tcPr>
          <w:p w14:paraId="0A156720" w14:textId="77777777" w:rsidR="00E21BB8" w:rsidRPr="00A41B49" w:rsidRDefault="00E21BB8" w:rsidP="00E353FD">
            <w:pPr>
              <w:jc w:val="center"/>
            </w:pPr>
          </w:p>
        </w:tc>
        <w:tc>
          <w:tcPr>
            <w:tcW w:w="1357" w:type="dxa"/>
          </w:tcPr>
          <w:p w14:paraId="7221EF0B" w14:textId="77777777" w:rsidR="00E21BB8" w:rsidRPr="00A41B49" w:rsidRDefault="00E21BB8" w:rsidP="00E353FD"/>
        </w:tc>
        <w:tc>
          <w:tcPr>
            <w:tcW w:w="2264" w:type="dxa"/>
          </w:tcPr>
          <w:p w14:paraId="532357D3" w14:textId="77777777" w:rsidR="00E21BB8" w:rsidRDefault="00E21BB8" w:rsidP="007763D2">
            <w:pPr>
              <w:jc w:val="both"/>
            </w:pPr>
            <w:r>
              <w:t>Acceptable</w:t>
            </w:r>
          </w:p>
          <w:p w14:paraId="1ADC7096" w14:textId="2C138B2C" w:rsidR="00E21BB8" w:rsidRPr="00A41B49" w:rsidRDefault="00E21BB8" w:rsidP="007763D2">
            <w:pPr>
              <w:jc w:val="both"/>
            </w:pPr>
            <w:r>
              <w:t>According to CLP regulation, product is not expecting to have flammable properties.</w:t>
            </w:r>
          </w:p>
        </w:tc>
      </w:tr>
      <w:tr w:rsidR="00E21BB8" w:rsidRPr="00A41B49" w14:paraId="6AFCC3AF" w14:textId="77777777" w:rsidTr="00154253">
        <w:trPr>
          <w:trHeight w:val="171"/>
        </w:trPr>
        <w:tc>
          <w:tcPr>
            <w:tcW w:w="2791" w:type="dxa"/>
          </w:tcPr>
          <w:p w14:paraId="14D5CB7E" w14:textId="77777777" w:rsidR="00E21BB8" w:rsidRPr="00A41B49" w:rsidRDefault="00E21BB8" w:rsidP="00E353FD">
            <w:r w:rsidRPr="00A41B49">
              <w:t>Flammable solids</w:t>
            </w:r>
          </w:p>
        </w:tc>
        <w:tc>
          <w:tcPr>
            <w:tcW w:w="1509" w:type="dxa"/>
          </w:tcPr>
          <w:p w14:paraId="68EC6A47" w14:textId="77777777" w:rsidR="00E21BB8" w:rsidRPr="00A41B49" w:rsidRDefault="00E21BB8" w:rsidP="00E353FD"/>
        </w:tc>
        <w:tc>
          <w:tcPr>
            <w:tcW w:w="1508" w:type="dxa"/>
          </w:tcPr>
          <w:p w14:paraId="50B606E6" w14:textId="77777777" w:rsidR="00E21BB8" w:rsidRPr="00A41B49" w:rsidRDefault="00E21BB8" w:rsidP="00E353FD"/>
        </w:tc>
        <w:tc>
          <w:tcPr>
            <w:tcW w:w="4673" w:type="dxa"/>
          </w:tcPr>
          <w:p w14:paraId="72338EFA" w14:textId="77777777" w:rsidR="00E21BB8" w:rsidRPr="00A41B49" w:rsidRDefault="00E21BB8" w:rsidP="00E353FD">
            <w:r w:rsidRPr="00A41B49">
              <w:rPr>
                <w:rFonts w:cs="Arial"/>
              </w:rPr>
              <w:t>Not relevant</w:t>
            </w:r>
          </w:p>
        </w:tc>
        <w:tc>
          <w:tcPr>
            <w:tcW w:w="759" w:type="dxa"/>
            <w:vAlign w:val="center"/>
          </w:tcPr>
          <w:p w14:paraId="3F00FC77" w14:textId="77777777" w:rsidR="00E21BB8" w:rsidRPr="00A41B49" w:rsidRDefault="00E21BB8" w:rsidP="00E353FD">
            <w:pPr>
              <w:jc w:val="center"/>
            </w:pPr>
          </w:p>
        </w:tc>
        <w:tc>
          <w:tcPr>
            <w:tcW w:w="1357" w:type="dxa"/>
          </w:tcPr>
          <w:p w14:paraId="23E22D96" w14:textId="77777777" w:rsidR="00E21BB8" w:rsidRPr="00A41B49" w:rsidRDefault="00E21BB8" w:rsidP="00E353FD"/>
        </w:tc>
        <w:tc>
          <w:tcPr>
            <w:tcW w:w="2264" w:type="dxa"/>
          </w:tcPr>
          <w:p w14:paraId="36FB8A7E" w14:textId="77777777" w:rsidR="00E21BB8" w:rsidRPr="00A41B49" w:rsidRDefault="00E21BB8" w:rsidP="00E353FD"/>
        </w:tc>
      </w:tr>
      <w:tr w:rsidR="00E21BB8" w:rsidRPr="00A41B49" w14:paraId="69C1B2E9" w14:textId="77777777" w:rsidTr="00154253">
        <w:trPr>
          <w:trHeight w:val="171"/>
        </w:trPr>
        <w:tc>
          <w:tcPr>
            <w:tcW w:w="2791" w:type="dxa"/>
          </w:tcPr>
          <w:p w14:paraId="7DEC0E73" w14:textId="77777777" w:rsidR="00E21BB8" w:rsidRPr="00A41B49" w:rsidRDefault="00E21BB8" w:rsidP="00E353FD">
            <w:r w:rsidRPr="00A41B49">
              <w:t>Self-reactive substances and mixtures</w:t>
            </w:r>
          </w:p>
        </w:tc>
        <w:tc>
          <w:tcPr>
            <w:tcW w:w="1509" w:type="dxa"/>
          </w:tcPr>
          <w:p w14:paraId="63F357F9" w14:textId="081ABD2B" w:rsidR="00E21BB8" w:rsidRPr="00A41B49" w:rsidRDefault="008D6BE8" w:rsidP="00E353FD">
            <w:r>
              <w:t>Statement</w:t>
            </w:r>
          </w:p>
        </w:tc>
        <w:tc>
          <w:tcPr>
            <w:tcW w:w="1508" w:type="dxa"/>
          </w:tcPr>
          <w:p w14:paraId="0982D197" w14:textId="77777777" w:rsidR="00E21BB8" w:rsidRPr="00A41B49" w:rsidRDefault="00E21BB8" w:rsidP="00E353FD"/>
        </w:tc>
        <w:tc>
          <w:tcPr>
            <w:tcW w:w="4673" w:type="dxa"/>
          </w:tcPr>
          <w:p w14:paraId="671D7E31" w14:textId="11B9F77C" w:rsidR="00310491" w:rsidRDefault="00E21BB8" w:rsidP="007763D2">
            <w:pPr>
              <w:jc w:val="both"/>
            </w:pPr>
            <w:r w:rsidRPr="007C4774">
              <w:t xml:space="preserve">Waived on the basis of the </w:t>
            </w:r>
            <w:r w:rsidR="00AD7B19">
              <w:t>functional groups present in the constituents of the product.</w:t>
            </w:r>
          </w:p>
          <w:p w14:paraId="7AAF3112" w14:textId="771D15FD" w:rsidR="00E21BB8" w:rsidRPr="00A41B49" w:rsidRDefault="00F1484A" w:rsidP="00F1484A">
            <w:pPr>
              <w:jc w:val="both"/>
            </w:pPr>
            <w:r>
              <w:t xml:space="preserve"> (see details in confidential annex)</w:t>
            </w:r>
          </w:p>
        </w:tc>
        <w:tc>
          <w:tcPr>
            <w:tcW w:w="759" w:type="dxa"/>
            <w:vAlign w:val="center"/>
          </w:tcPr>
          <w:p w14:paraId="2DFA679E" w14:textId="77777777" w:rsidR="00E21BB8" w:rsidRPr="00A41B49" w:rsidRDefault="00E21BB8" w:rsidP="00E353FD">
            <w:pPr>
              <w:jc w:val="center"/>
            </w:pPr>
          </w:p>
        </w:tc>
        <w:tc>
          <w:tcPr>
            <w:tcW w:w="1357" w:type="dxa"/>
          </w:tcPr>
          <w:p w14:paraId="7A65D769" w14:textId="77777777" w:rsidR="00E21BB8" w:rsidRPr="00A41B49" w:rsidRDefault="00E21BB8" w:rsidP="00E353FD"/>
        </w:tc>
        <w:tc>
          <w:tcPr>
            <w:tcW w:w="2264" w:type="dxa"/>
          </w:tcPr>
          <w:p w14:paraId="3005CE22" w14:textId="11705E37" w:rsidR="00E21BB8" w:rsidRPr="00A41B49" w:rsidRDefault="00E21BB8" w:rsidP="00E353FD">
            <w:r>
              <w:t>Acceptable</w:t>
            </w:r>
          </w:p>
        </w:tc>
      </w:tr>
      <w:tr w:rsidR="00E21BB8" w:rsidRPr="00A41B49" w14:paraId="761964EF" w14:textId="77777777" w:rsidTr="00154253">
        <w:trPr>
          <w:trHeight w:val="171"/>
        </w:trPr>
        <w:tc>
          <w:tcPr>
            <w:tcW w:w="2791" w:type="dxa"/>
          </w:tcPr>
          <w:p w14:paraId="46F97633" w14:textId="77777777" w:rsidR="00E21BB8" w:rsidRPr="00A41B49" w:rsidRDefault="00E21BB8" w:rsidP="00E353FD">
            <w:r w:rsidRPr="00A41B49">
              <w:t>Pyrophoric liquids</w:t>
            </w:r>
          </w:p>
        </w:tc>
        <w:tc>
          <w:tcPr>
            <w:tcW w:w="1509" w:type="dxa"/>
          </w:tcPr>
          <w:p w14:paraId="6B386F65" w14:textId="6D1C11C8" w:rsidR="00E21BB8" w:rsidRPr="00A41B49" w:rsidRDefault="008D6BE8" w:rsidP="00E353FD">
            <w:r>
              <w:t>Statement</w:t>
            </w:r>
          </w:p>
        </w:tc>
        <w:tc>
          <w:tcPr>
            <w:tcW w:w="1508" w:type="dxa"/>
          </w:tcPr>
          <w:p w14:paraId="6F1672F8" w14:textId="77777777" w:rsidR="00E21BB8" w:rsidRPr="00A41B49" w:rsidRDefault="00E21BB8" w:rsidP="00E353FD"/>
        </w:tc>
        <w:tc>
          <w:tcPr>
            <w:tcW w:w="4673" w:type="dxa"/>
          </w:tcPr>
          <w:p w14:paraId="6B48533E" w14:textId="77777777" w:rsidR="00310491" w:rsidRDefault="00E21BB8" w:rsidP="007763D2">
            <w:pPr>
              <w:jc w:val="both"/>
              <w:rPr>
                <w:rFonts w:cs="Arial"/>
              </w:rPr>
            </w:pPr>
            <w:r w:rsidRPr="007C4774">
              <w:rPr>
                <w:rFonts w:cs="Arial"/>
              </w:rPr>
              <w:t xml:space="preserve">Waived on the basis of the classification </w:t>
            </w:r>
            <w:r w:rsidR="00310491">
              <w:t>of each co-formulant</w:t>
            </w:r>
            <w:r w:rsidR="00310491" w:rsidRPr="007C4774">
              <w:rPr>
                <w:rFonts w:cs="Arial"/>
              </w:rPr>
              <w:t xml:space="preserve"> </w:t>
            </w:r>
          </w:p>
          <w:p w14:paraId="4B4588E8" w14:textId="7F30DC7E" w:rsidR="00E21BB8" w:rsidRPr="00A41B49" w:rsidRDefault="00E21BB8" w:rsidP="007763D2">
            <w:pPr>
              <w:jc w:val="both"/>
            </w:pPr>
            <w:r w:rsidRPr="007C4774">
              <w:rPr>
                <w:rFonts w:cs="Arial"/>
              </w:rPr>
              <w:t>The product does not contain any component classified regarding this physical hazard, it is thus not classified for this physical hazard.</w:t>
            </w:r>
            <w:r w:rsidR="00F1484A">
              <w:t xml:space="preserve"> (see details in confidential annex)</w:t>
            </w:r>
          </w:p>
        </w:tc>
        <w:tc>
          <w:tcPr>
            <w:tcW w:w="759" w:type="dxa"/>
            <w:vAlign w:val="center"/>
          </w:tcPr>
          <w:p w14:paraId="45A20D03" w14:textId="77777777" w:rsidR="00E21BB8" w:rsidRPr="00A41B49" w:rsidRDefault="00E21BB8" w:rsidP="00E353FD">
            <w:pPr>
              <w:jc w:val="center"/>
            </w:pPr>
          </w:p>
        </w:tc>
        <w:tc>
          <w:tcPr>
            <w:tcW w:w="1357" w:type="dxa"/>
          </w:tcPr>
          <w:p w14:paraId="74DA1908" w14:textId="77777777" w:rsidR="00E21BB8" w:rsidRPr="00A41B49" w:rsidRDefault="00E21BB8" w:rsidP="00E353FD"/>
        </w:tc>
        <w:tc>
          <w:tcPr>
            <w:tcW w:w="2264" w:type="dxa"/>
          </w:tcPr>
          <w:p w14:paraId="0433BCCA" w14:textId="77777777" w:rsidR="00AD7B19" w:rsidRDefault="00E21BB8" w:rsidP="00E353FD">
            <w:r>
              <w:t>Acceptable</w:t>
            </w:r>
            <w:r w:rsidR="00AD7B19">
              <w:t>.</w:t>
            </w:r>
          </w:p>
          <w:p w14:paraId="6DFF4C27" w14:textId="30436FD1" w:rsidR="00E21BB8" w:rsidRPr="00A41B49" w:rsidRDefault="00AD7B19" w:rsidP="00E353FD">
            <w:r>
              <w:t>Based on the fact that the product is water based, no pyrophoric properties is expected.</w:t>
            </w:r>
          </w:p>
        </w:tc>
      </w:tr>
      <w:tr w:rsidR="00E21BB8" w:rsidRPr="00A41B49" w14:paraId="4FA79EE5" w14:textId="77777777" w:rsidTr="00154253">
        <w:trPr>
          <w:trHeight w:val="171"/>
        </w:trPr>
        <w:tc>
          <w:tcPr>
            <w:tcW w:w="2791" w:type="dxa"/>
          </w:tcPr>
          <w:p w14:paraId="47420CE6" w14:textId="77777777" w:rsidR="00E21BB8" w:rsidRPr="00A41B49" w:rsidRDefault="00E21BB8" w:rsidP="00E353FD">
            <w:r w:rsidRPr="00A41B49">
              <w:t>Pyrophoric solids</w:t>
            </w:r>
          </w:p>
        </w:tc>
        <w:tc>
          <w:tcPr>
            <w:tcW w:w="1509" w:type="dxa"/>
          </w:tcPr>
          <w:p w14:paraId="4BF5B8EF" w14:textId="77777777" w:rsidR="00E21BB8" w:rsidRPr="00A41B49" w:rsidRDefault="00E21BB8" w:rsidP="00E353FD"/>
        </w:tc>
        <w:tc>
          <w:tcPr>
            <w:tcW w:w="1508" w:type="dxa"/>
          </w:tcPr>
          <w:p w14:paraId="2CC47973" w14:textId="77777777" w:rsidR="00E21BB8" w:rsidRPr="00A41B49" w:rsidRDefault="00E21BB8" w:rsidP="00E353FD"/>
        </w:tc>
        <w:tc>
          <w:tcPr>
            <w:tcW w:w="4673" w:type="dxa"/>
          </w:tcPr>
          <w:p w14:paraId="0873F557" w14:textId="77777777" w:rsidR="00E21BB8" w:rsidRPr="00A41B49" w:rsidRDefault="00E21BB8" w:rsidP="007763D2">
            <w:pPr>
              <w:jc w:val="both"/>
            </w:pPr>
            <w:r w:rsidRPr="00A41B49">
              <w:rPr>
                <w:rFonts w:cs="Arial"/>
              </w:rPr>
              <w:t>Not relevant</w:t>
            </w:r>
          </w:p>
        </w:tc>
        <w:tc>
          <w:tcPr>
            <w:tcW w:w="759" w:type="dxa"/>
            <w:vAlign w:val="center"/>
          </w:tcPr>
          <w:p w14:paraId="6397C5CC" w14:textId="77777777" w:rsidR="00E21BB8" w:rsidRPr="00A41B49" w:rsidRDefault="00E21BB8" w:rsidP="00E353FD">
            <w:pPr>
              <w:jc w:val="center"/>
            </w:pPr>
          </w:p>
        </w:tc>
        <w:tc>
          <w:tcPr>
            <w:tcW w:w="1357" w:type="dxa"/>
          </w:tcPr>
          <w:p w14:paraId="508C0FFB" w14:textId="77777777" w:rsidR="00E21BB8" w:rsidRPr="00A41B49" w:rsidRDefault="00E21BB8" w:rsidP="00E353FD"/>
        </w:tc>
        <w:tc>
          <w:tcPr>
            <w:tcW w:w="2264" w:type="dxa"/>
          </w:tcPr>
          <w:p w14:paraId="284DE71A" w14:textId="77777777" w:rsidR="00E21BB8" w:rsidRPr="00A41B49" w:rsidRDefault="00E21BB8" w:rsidP="00E353FD"/>
        </w:tc>
      </w:tr>
      <w:tr w:rsidR="008D6BE8" w:rsidRPr="00A41B49" w14:paraId="48128FBB" w14:textId="77777777" w:rsidTr="00154253">
        <w:trPr>
          <w:trHeight w:val="171"/>
        </w:trPr>
        <w:tc>
          <w:tcPr>
            <w:tcW w:w="2791" w:type="dxa"/>
          </w:tcPr>
          <w:p w14:paraId="6C8797D9" w14:textId="77777777" w:rsidR="008D6BE8" w:rsidRPr="00A41B49" w:rsidRDefault="008D6BE8" w:rsidP="008D6BE8">
            <w:r w:rsidRPr="00A41B49">
              <w:t>Self-heating substances and mixtures</w:t>
            </w:r>
          </w:p>
        </w:tc>
        <w:tc>
          <w:tcPr>
            <w:tcW w:w="1509" w:type="dxa"/>
          </w:tcPr>
          <w:p w14:paraId="28D945D0" w14:textId="77777777" w:rsidR="008D6BE8" w:rsidRPr="00A41B49" w:rsidRDefault="008D6BE8" w:rsidP="008D6BE8"/>
        </w:tc>
        <w:tc>
          <w:tcPr>
            <w:tcW w:w="1508" w:type="dxa"/>
          </w:tcPr>
          <w:p w14:paraId="3257F848" w14:textId="77777777" w:rsidR="008D6BE8" w:rsidRPr="00A41B49" w:rsidRDefault="008D6BE8" w:rsidP="008D6BE8"/>
        </w:tc>
        <w:tc>
          <w:tcPr>
            <w:tcW w:w="4673" w:type="dxa"/>
          </w:tcPr>
          <w:p w14:paraId="73DCB313" w14:textId="41B6FE12" w:rsidR="008D6BE8" w:rsidRPr="00A41B49" w:rsidRDefault="008D6BE8" w:rsidP="007763D2">
            <w:pPr>
              <w:jc w:val="both"/>
            </w:pPr>
            <w:r w:rsidRPr="00A41B49">
              <w:rPr>
                <w:rFonts w:cs="Arial"/>
              </w:rPr>
              <w:t>Not relevant</w:t>
            </w:r>
            <w:r>
              <w:rPr>
                <w:rFonts w:cs="Arial"/>
              </w:rPr>
              <w:t>, the product is liquid</w:t>
            </w:r>
            <w:r w:rsidR="00E97651">
              <w:rPr>
                <w:rFonts w:cs="Arial"/>
              </w:rPr>
              <w:t>.</w:t>
            </w:r>
          </w:p>
        </w:tc>
        <w:tc>
          <w:tcPr>
            <w:tcW w:w="759" w:type="dxa"/>
            <w:vAlign w:val="center"/>
          </w:tcPr>
          <w:p w14:paraId="74CEE6B2" w14:textId="77777777" w:rsidR="008D6BE8" w:rsidRPr="00A41B49" w:rsidRDefault="008D6BE8" w:rsidP="008D6BE8">
            <w:pPr>
              <w:jc w:val="center"/>
            </w:pPr>
          </w:p>
        </w:tc>
        <w:tc>
          <w:tcPr>
            <w:tcW w:w="1357" w:type="dxa"/>
          </w:tcPr>
          <w:p w14:paraId="4075322D" w14:textId="77777777" w:rsidR="008D6BE8" w:rsidRPr="00A41B49" w:rsidRDefault="008D6BE8" w:rsidP="008D6BE8"/>
        </w:tc>
        <w:tc>
          <w:tcPr>
            <w:tcW w:w="2264" w:type="dxa"/>
          </w:tcPr>
          <w:p w14:paraId="6B12B765" w14:textId="29B2CFC3" w:rsidR="008D6BE8" w:rsidRPr="00A41B49" w:rsidRDefault="00AD7B19" w:rsidP="008D6BE8">
            <w:r>
              <w:t>Acceptable</w:t>
            </w:r>
          </w:p>
        </w:tc>
      </w:tr>
      <w:tr w:rsidR="00E21BB8" w:rsidRPr="00A41B49" w14:paraId="301FFB80" w14:textId="77777777" w:rsidTr="00154253">
        <w:trPr>
          <w:trHeight w:val="452"/>
        </w:trPr>
        <w:tc>
          <w:tcPr>
            <w:tcW w:w="2791" w:type="dxa"/>
          </w:tcPr>
          <w:p w14:paraId="0B20E476" w14:textId="77777777" w:rsidR="00E21BB8" w:rsidRPr="00A41B49" w:rsidRDefault="00E21BB8" w:rsidP="00E353FD">
            <w:r w:rsidRPr="00A41B49">
              <w:t>Substances and mixtures which in contact with water emit flammable gases</w:t>
            </w:r>
          </w:p>
        </w:tc>
        <w:tc>
          <w:tcPr>
            <w:tcW w:w="1509" w:type="dxa"/>
          </w:tcPr>
          <w:p w14:paraId="07E92916" w14:textId="40499B92" w:rsidR="00E21BB8" w:rsidRPr="00A41B49" w:rsidRDefault="008D6BE8" w:rsidP="00E353FD">
            <w:r>
              <w:t>Statement</w:t>
            </w:r>
          </w:p>
        </w:tc>
        <w:tc>
          <w:tcPr>
            <w:tcW w:w="1508" w:type="dxa"/>
          </w:tcPr>
          <w:p w14:paraId="16D9D689" w14:textId="77777777" w:rsidR="00E21BB8" w:rsidRPr="00A41B49" w:rsidRDefault="00E21BB8" w:rsidP="00E353FD"/>
        </w:tc>
        <w:tc>
          <w:tcPr>
            <w:tcW w:w="4673" w:type="dxa"/>
          </w:tcPr>
          <w:p w14:paraId="49D22590" w14:textId="77777777" w:rsidR="00310491" w:rsidRDefault="00E21BB8" w:rsidP="007763D2">
            <w:pPr>
              <w:jc w:val="both"/>
              <w:rPr>
                <w:rFonts w:cs="Arial"/>
              </w:rPr>
            </w:pPr>
            <w:r w:rsidRPr="007C4774">
              <w:rPr>
                <w:rFonts w:cs="Arial"/>
              </w:rPr>
              <w:t xml:space="preserve">Waived on the basis of the classification </w:t>
            </w:r>
            <w:r w:rsidR="00310491">
              <w:t>of each co-formulant</w:t>
            </w:r>
            <w:r w:rsidR="00310491" w:rsidRPr="007C4774">
              <w:rPr>
                <w:rFonts w:cs="Arial"/>
              </w:rPr>
              <w:t xml:space="preserve"> </w:t>
            </w:r>
          </w:p>
          <w:p w14:paraId="0B63F9D4" w14:textId="6DC16A16" w:rsidR="00E21BB8" w:rsidRDefault="00E21BB8" w:rsidP="007763D2">
            <w:pPr>
              <w:jc w:val="both"/>
              <w:rPr>
                <w:rFonts w:cs="Arial"/>
              </w:rPr>
            </w:pPr>
            <w:r w:rsidRPr="007C4774">
              <w:rPr>
                <w:rFonts w:cs="Arial"/>
              </w:rPr>
              <w:t>The product does not contain any component classified regarding this physical hazard</w:t>
            </w:r>
            <w:r w:rsidR="00F1484A">
              <w:rPr>
                <w:rFonts w:cs="Arial"/>
              </w:rPr>
              <w:t xml:space="preserve"> and is already a water based product</w:t>
            </w:r>
            <w:r w:rsidRPr="007C4774">
              <w:rPr>
                <w:rFonts w:cs="Arial"/>
              </w:rPr>
              <w:t>, it is thus not classified for this physical hazard.</w:t>
            </w:r>
            <w:r w:rsidR="00F1484A">
              <w:t xml:space="preserve"> (see details in confidential annex)</w:t>
            </w:r>
          </w:p>
          <w:p w14:paraId="3E07F952" w14:textId="46CFD729" w:rsidR="008D6BE8" w:rsidRPr="00A41B49" w:rsidRDefault="008D6BE8" w:rsidP="00AD7B19">
            <w:pPr>
              <w:jc w:val="both"/>
            </w:pPr>
            <w:r>
              <w:t xml:space="preserve">Moreover, as the product is already a water-based formulation (see confidential annex), it is not expected to </w:t>
            </w:r>
            <w:r w:rsidR="00AD7B19">
              <w:t>react with water.</w:t>
            </w:r>
          </w:p>
        </w:tc>
        <w:tc>
          <w:tcPr>
            <w:tcW w:w="759" w:type="dxa"/>
            <w:vAlign w:val="center"/>
          </w:tcPr>
          <w:p w14:paraId="52F4976E" w14:textId="77777777" w:rsidR="00E21BB8" w:rsidRPr="00A41B49" w:rsidRDefault="00E21BB8" w:rsidP="00E353FD">
            <w:pPr>
              <w:jc w:val="center"/>
            </w:pPr>
          </w:p>
        </w:tc>
        <w:tc>
          <w:tcPr>
            <w:tcW w:w="1357" w:type="dxa"/>
          </w:tcPr>
          <w:p w14:paraId="0C622C3C" w14:textId="77777777" w:rsidR="00E21BB8" w:rsidRPr="00A41B49" w:rsidRDefault="00E21BB8" w:rsidP="00E353FD"/>
        </w:tc>
        <w:tc>
          <w:tcPr>
            <w:tcW w:w="2264" w:type="dxa"/>
          </w:tcPr>
          <w:p w14:paraId="2DE1C645" w14:textId="77777777" w:rsidR="00AD7B19" w:rsidRDefault="00E21BB8" w:rsidP="00E353FD">
            <w:r>
              <w:t>Acceptable</w:t>
            </w:r>
            <w:r w:rsidR="00AD7B19">
              <w:t>.</w:t>
            </w:r>
          </w:p>
          <w:p w14:paraId="2D47A209" w14:textId="7B334A5A" w:rsidR="00E21BB8" w:rsidRPr="00A41B49" w:rsidRDefault="00AD7B19" w:rsidP="00AD7B19">
            <w:r>
              <w:t>Based on the fact that the product is water based, no classification for this hazard is expected.</w:t>
            </w:r>
          </w:p>
        </w:tc>
      </w:tr>
      <w:tr w:rsidR="00E21BB8" w:rsidRPr="00A41B49" w14:paraId="52B7B08B" w14:textId="77777777" w:rsidTr="00154253">
        <w:trPr>
          <w:trHeight w:val="288"/>
        </w:trPr>
        <w:tc>
          <w:tcPr>
            <w:tcW w:w="2791" w:type="dxa"/>
          </w:tcPr>
          <w:p w14:paraId="56003B3C" w14:textId="77777777" w:rsidR="00E21BB8" w:rsidRPr="00A41B49" w:rsidRDefault="00E21BB8" w:rsidP="00E353FD">
            <w:r w:rsidRPr="00A41B49">
              <w:t>Oxidising liquids</w:t>
            </w:r>
          </w:p>
        </w:tc>
        <w:tc>
          <w:tcPr>
            <w:tcW w:w="1509" w:type="dxa"/>
          </w:tcPr>
          <w:p w14:paraId="61ED4F8D" w14:textId="691E4FB2" w:rsidR="00E21BB8" w:rsidRPr="00A41B49" w:rsidRDefault="008D6BE8" w:rsidP="00E353FD">
            <w:r>
              <w:t>Statement</w:t>
            </w:r>
          </w:p>
        </w:tc>
        <w:tc>
          <w:tcPr>
            <w:tcW w:w="1508" w:type="dxa"/>
          </w:tcPr>
          <w:p w14:paraId="6811BD7F" w14:textId="77777777" w:rsidR="00E21BB8" w:rsidRPr="00A41B49" w:rsidRDefault="00E21BB8" w:rsidP="00E353FD"/>
        </w:tc>
        <w:tc>
          <w:tcPr>
            <w:tcW w:w="4673" w:type="dxa"/>
          </w:tcPr>
          <w:p w14:paraId="23E3A935" w14:textId="77777777" w:rsidR="00310491" w:rsidRDefault="00E21BB8" w:rsidP="007763D2">
            <w:pPr>
              <w:jc w:val="both"/>
            </w:pPr>
            <w:r w:rsidRPr="007C4774">
              <w:t xml:space="preserve">Waived on the basis of the classification </w:t>
            </w:r>
            <w:r w:rsidR="00310491">
              <w:t>of each co-formulant</w:t>
            </w:r>
            <w:r w:rsidR="00310491" w:rsidRPr="007C4774">
              <w:t xml:space="preserve"> </w:t>
            </w:r>
          </w:p>
          <w:p w14:paraId="0B9F92D9" w14:textId="48F7BF40" w:rsidR="00E21BB8" w:rsidRPr="00A41B49" w:rsidRDefault="00E21BB8" w:rsidP="007763D2">
            <w:pPr>
              <w:jc w:val="both"/>
            </w:pPr>
            <w:r w:rsidRPr="007C4774">
              <w:t>The product does not contain any component classified regarding this physical hazard, it is thus not classified for this physical hazard.</w:t>
            </w:r>
            <w:r w:rsidR="00F1484A">
              <w:t xml:space="preserve"> (see details in confidential annex)</w:t>
            </w:r>
          </w:p>
        </w:tc>
        <w:tc>
          <w:tcPr>
            <w:tcW w:w="759" w:type="dxa"/>
            <w:vAlign w:val="center"/>
          </w:tcPr>
          <w:p w14:paraId="03D13CEB" w14:textId="77777777" w:rsidR="00E21BB8" w:rsidRPr="00A41B49" w:rsidRDefault="00E21BB8" w:rsidP="00E353FD">
            <w:pPr>
              <w:jc w:val="center"/>
            </w:pPr>
          </w:p>
        </w:tc>
        <w:tc>
          <w:tcPr>
            <w:tcW w:w="1357" w:type="dxa"/>
          </w:tcPr>
          <w:p w14:paraId="0D1AABB0" w14:textId="77777777" w:rsidR="00E21BB8" w:rsidRPr="00A41B49" w:rsidRDefault="00E21BB8" w:rsidP="00E353FD"/>
        </w:tc>
        <w:tc>
          <w:tcPr>
            <w:tcW w:w="2264" w:type="dxa"/>
          </w:tcPr>
          <w:p w14:paraId="109645BD" w14:textId="77777777" w:rsidR="00E21BB8" w:rsidRDefault="00E21BB8" w:rsidP="00E21BB8">
            <w:r>
              <w:t>Acceptable</w:t>
            </w:r>
          </w:p>
          <w:p w14:paraId="533927C6" w14:textId="65746204" w:rsidR="00E21BB8" w:rsidRPr="00A41B49" w:rsidRDefault="00E21BB8" w:rsidP="007763D2">
            <w:pPr>
              <w:jc w:val="both"/>
            </w:pPr>
            <w:r>
              <w:t>According to CLP regulation, product is not expecting to have oxidising properties.</w:t>
            </w:r>
          </w:p>
        </w:tc>
      </w:tr>
      <w:tr w:rsidR="00E21BB8" w:rsidRPr="00A41B49" w14:paraId="763066A0" w14:textId="77777777" w:rsidTr="00154253">
        <w:trPr>
          <w:trHeight w:val="288"/>
        </w:trPr>
        <w:tc>
          <w:tcPr>
            <w:tcW w:w="2791" w:type="dxa"/>
          </w:tcPr>
          <w:p w14:paraId="6BFCA7A0" w14:textId="77777777" w:rsidR="00E21BB8" w:rsidRPr="00A41B49" w:rsidRDefault="00E21BB8" w:rsidP="00E353FD">
            <w:r w:rsidRPr="00A41B49">
              <w:lastRenderedPageBreak/>
              <w:t>Oxidising solids</w:t>
            </w:r>
          </w:p>
        </w:tc>
        <w:tc>
          <w:tcPr>
            <w:tcW w:w="1509" w:type="dxa"/>
          </w:tcPr>
          <w:p w14:paraId="56B78AE0" w14:textId="77777777" w:rsidR="00E21BB8" w:rsidRPr="00A41B49" w:rsidRDefault="00E21BB8" w:rsidP="00E353FD"/>
        </w:tc>
        <w:tc>
          <w:tcPr>
            <w:tcW w:w="1508" w:type="dxa"/>
          </w:tcPr>
          <w:p w14:paraId="5A57A6FD" w14:textId="77777777" w:rsidR="00E21BB8" w:rsidRPr="00A41B49" w:rsidRDefault="00E21BB8" w:rsidP="00E353FD"/>
        </w:tc>
        <w:tc>
          <w:tcPr>
            <w:tcW w:w="4673" w:type="dxa"/>
          </w:tcPr>
          <w:p w14:paraId="6FAE1C29" w14:textId="77777777" w:rsidR="00E21BB8" w:rsidRPr="00A41B49" w:rsidRDefault="00E21BB8" w:rsidP="00E353FD">
            <w:r w:rsidRPr="00A41B49">
              <w:rPr>
                <w:rFonts w:cs="Arial"/>
              </w:rPr>
              <w:t>Not relevant</w:t>
            </w:r>
          </w:p>
        </w:tc>
        <w:tc>
          <w:tcPr>
            <w:tcW w:w="759" w:type="dxa"/>
            <w:vAlign w:val="center"/>
          </w:tcPr>
          <w:p w14:paraId="057B5273" w14:textId="77777777" w:rsidR="00E21BB8" w:rsidRPr="00A41B49" w:rsidRDefault="00E21BB8" w:rsidP="00E353FD">
            <w:pPr>
              <w:jc w:val="center"/>
            </w:pPr>
          </w:p>
        </w:tc>
        <w:tc>
          <w:tcPr>
            <w:tcW w:w="1357" w:type="dxa"/>
          </w:tcPr>
          <w:p w14:paraId="6716BB80" w14:textId="77777777" w:rsidR="00E21BB8" w:rsidRPr="00A41B49" w:rsidRDefault="00E21BB8" w:rsidP="00E353FD"/>
        </w:tc>
        <w:tc>
          <w:tcPr>
            <w:tcW w:w="2264" w:type="dxa"/>
          </w:tcPr>
          <w:p w14:paraId="6E240067" w14:textId="77777777" w:rsidR="00E21BB8" w:rsidRPr="00A41B49" w:rsidRDefault="00E21BB8" w:rsidP="00E353FD"/>
        </w:tc>
      </w:tr>
      <w:tr w:rsidR="00E21BB8" w:rsidRPr="00A41B49" w14:paraId="0A8ED4C3" w14:textId="77777777" w:rsidTr="00154253">
        <w:trPr>
          <w:trHeight w:val="288"/>
        </w:trPr>
        <w:tc>
          <w:tcPr>
            <w:tcW w:w="2791" w:type="dxa"/>
          </w:tcPr>
          <w:p w14:paraId="39DE0807" w14:textId="77777777" w:rsidR="00E21BB8" w:rsidRPr="00A41B49" w:rsidRDefault="00E21BB8" w:rsidP="00E353FD">
            <w:r w:rsidRPr="00A41B49">
              <w:t>Organic peroxides</w:t>
            </w:r>
          </w:p>
        </w:tc>
        <w:tc>
          <w:tcPr>
            <w:tcW w:w="1509" w:type="dxa"/>
          </w:tcPr>
          <w:p w14:paraId="15E6D0C8" w14:textId="77777777" w:rsidR="00E21BB8" w:rsidRPr="00A41B49" w:rsidRDefault="00E21BB8" w:rsidP="00E353FD"/>
        </w:tc>
        <w:tc>
          <w:tcPr>
            <w:tcW w:w="1508" w:type="dxa"/>
          </w:tcPr>
          <w:p w14:paraId="52E45322" w14:textId="77777777" w:rsidR="00E21BB8" w:rsidRPr="00A41B49" w:rsidRDefault="00E21BB8" w:rsidP="00E353FD"/>
        </w:tc>
        <w:tc>
          <w:tcPr>
            <w:tcW w:w="4673" w:type="dxa"/>
          </w:tcPr>
          <w:p w14:paraId="1C562E53" w14:textId="77777777" w:rsidR="00E21BB8" w:rsidRPr="00A41B49" w:rsidRDefault="00E21BB8" w:rsidP="00E353FD">
            <w:r w:rsidRPr="00A41B49">
              <w:rPr>
                <w:rFonts w:cs="Arial"/>
              </w:rPr>
              <w:t>Not relevant</w:t>
            </w:r>
          </w:p>
        </w:tc>
        <w:tc>
          <w:tcPr>
            <w:tcW w:w="759" w:type="dxa"/>
            <w:vAlign w:val="center"/>
          </w:tcPr>
          <w:p w14:paraId="313BDA01" w14:textId="77777777" w:rsidR="00E21BB8" w:rsidRPr="00A41B49" w:rsidRDefault="00E21BB8" w:rsidP="00E353FD">
            <w:pPr>
              <w:jc w:val="center"/>
            </w:pPr>
          </w:p>
        </w:tc>
        <w:tc>
          <w:tcPr>
            <w:tcW w:w="1357" w:type="dxa"/>
          </w:tcPr>
          <w:p w14:paraId="60272683" w14:textId="77777777" w:rsidR="00E21BB8" w:rsidRPr="00A41B49" w:rsidRDefault="00E21BB8" w:rsidP="00E353FD"/>
        </w:tc>
        <w:tc>
          <w:tcPr>
            <w:tcW w:w="2264" w:type="dxa"/>
          </w:tcPr>
          <w:p w14:paraId="7E91BFF6" w14:textId="66DD88DE" w:rsidR="00AD7B19" w:rsidRDefault="00AD7B19" w:rsidP="00AD7B19">
            <w:r>
              <w:t xml:space="preserve">Acceptable, the product does not </w:t>
            </w:r>
            <w:r w:rsidR="000F37D8">
              <w:t>contain</w:t>
            </w:r>
            <w:r>
              <w:t xml:space="preserve"> any organic peroxide.</w:t>
            </w:r>
          </w:p>
          <w:p w14:paraId="58FD5ABC" w14:textId="77777777" w:rsidR="00E21BB8" w:rsidRPr="00A41B49" w:rsidRDefault="00E21BB8" w:rsidP="00E353FD"/>
        </w:tc>
      </w:tr>
      <w:tr w:rsidR="00E21BB8" w:rsidRPr="00A41B49" w14:paraId="157E1390" w14:textId="77777777" w:rsidTr="00154253">
        <w:trPr>
          <w:trHeight w:val="288"/>
        </w:trPr>
        <w:tc>
          <w:tcPr>
            <w:tcW w:w="2791" w:type="dxa"/>
          </w:tcPr>
          <w:p w14:paraId="2484F6FC" w14:textId="77777777" w:rsidR="00E21BB8" w:rsidRPr="00A41B49" w:rsidRDefault="00E21BB8" w:rsidP="00E353FD">
            <w:r w:rsidRPr="00A41B49">
              <w:t>Corrosive to metals</w:t>
            </w:r>
          </w:p>
        </w:tc>
        <w:tc>
          <w:tcPr>
            <w:tcW w:w="1509" w:type="dxa"/>
          </w:tcPr>
          <w:p w14:paraId="1C03F997" w14:textId="77777777" w:rsidR="00E21BB8" w:rsidRPr="007C4774" w:rsidRDefault="00E21BB8" w:rsidP="00E353FD">
            <w:pPr>
              <w:rPr>
                <w:rFonts w:cs="Arial"/>
              </w:rPr>
            </w:pPr>
            <w:r w:rsidRPr="0066215F">
              <w:rPr>
                <w:rFonts w:cs="Arial"/>
              </w:rPr>
              <w:t>UN Test C.1</w:t>
            </w:r>
            <w:r>
              <w:rPr>
                <w:rFonts w:cs="Arial"/>
              </w:rPr>
              <w:t xml:space="preserve"> </w:t>
            </w:r>
            <w:r w:rsidRPr="007C4774">
              <w:rPr>
                <w:rFonts w:cs="Arial"/>
              </w:rPr>
              <w:t>Section 37.4 of UN-MTC according to CLP regulation</w:t>
            </w:r>
          </w:p>
        </w:tc>
        <w:tc>
          <w:tcPr>
            <w:tcW w:w="1508" w:type="dxa"/>
          </w:tcPr>
          <w:p w14:paraId="5F8AD9BD" w14:textId="77777777" w:rsidR="00E21BB8" w:rsidRPr="007C4774" w:rsidRDefault="00E21BB8" w:rsidP="00E353FD">
            <w:pPr>
              <w:jc w:val="center"/>
              <w:rPr>
                <w:rFonts w:cs="Arial"/>
              </w:rPr>
            </w:pPr>
            <w:r w:rsidRPr="007C4774">
              <w:rPr>
                <w:rFonts w:cs="Arial"/>
              </w:rPr>
              <w:t>IODIGUARD - LOT 16001693</w:t>
            </w:r>
          </w:p>
        </w:tc>
        <w:tc>
          <w:tcPr>
            <w:tcW w:w="4673" w:type="dxa"/>
          </w:tcPr>
          <w:p w14:paraId="6CD0173A" w14:textId="77777777" w:rsidR="00E21BB8" w:rsidRDefault="00E21BB8" w:rsidP="00E21BB8">
            <w:pPr>
              <w:jc w:val="both"/>
            </w:pPr>
            <w:r>
              <w:t>ALGOFILM is used for teat disinfection and does not contain any substance classified for such hazard.</w:t>
            </w:r>
          </w:p>
          <w:p w14:paraId="0617F7AC" w14:textId="77777777" w:rsidR="00E21BB8" w:rsidRDefault="00E21BB8" w:rsidP="00E21BB8">
            <w:pPr>
              <w:jc w:val="both"/>
            </w:pPr>
          </w:p>
          <w:p w14:paraId="60852EAA" w14:textId="467F8387" w:rsidR="00E21BB8" w:rsidRDefault="00E21BB8" w:rsidP="00E21BB8">
            <w:pPr>
              <w:jc w:val="both"/>
            </w:pPr>
            <w:r>
              <w:t>A test was performed with a similar formulation, IODIGUARD (</w:t>
            </w:r>
            <w:r>
              <w:rPr>
                <w:rFonts w:eastAsia="Calibri"/>
                <w:lang w:val="en-US" w:eastAsia="en-US"/>
              </w:rPr>
              <w:t>property of CTH company)</w:t>
            </w:r>
            <w:r>
              <w:t xml:space="preserve">, </w:t>
            </w:r>
          </w:p>
          <w:p w14:paraId="705C1DE6" w14:textId="77777777" w:rsidR="00E21BB8" w:rsidRPr="00A41B49" w:rsidRDefault="00E21BB8" w:rsidP="00E21BB8">
            <w:pPr>
              <w:jc w:val="both"/>
            </w:pPr>
            <w:r w:rsidRPr="00A41B49">
              <w:t xml:space="preserve">Mass loss </w:t>
            </w:r>
            <w:r>
              <w:t xml:space="preserve">of </w:t>
            </w:r>
            <w:r w:rsidRPr="00A41B49">
              <w:t xml:space="preserve">aluminum specimen </w:t>
            </w:r>
            <w:r>
              <w:t>after 7-day</w:t>
            </w:r>
            <w:r w:rsidRPr="00A41B49">
              <w:t xml:space="preserve"> exposure: 0,4% </w:t>
            </w:r>
          </w:p>
          <w:p w14:paraId="18F40136" w14:textId="77777777" w:rsidR="00E21BB8" w:rsidRDefault="00E21BB8" w:rsidP="00E21BB8">
            <w:pPr>
              <w:jc w:val="both"/>
            </w:pPr>
            <w:r w:rsidRPr="00AB3BBA">
              <w:t xml:space="preserve">Mass loss of </w:t>
            </w:r>
            <w:r>
              <w:t>steel</w:t>
            </w:r>
            <w:r w:rsidRPr="00AB3BBA">
              <w:t xml:space="preserve"> specimen after 7-day exposure:</w:t>
            </w:r>
            <w:r w:rsidRPr="00A41B49">
              <w:t xml:space="preserve"> 1,1% </w:t>
            </w:r>
          </w:p>
          <w:p w14:paraId="63DF2372" w14:textId="2F05009F" w:rsidR="00E21BB8" w:rsidRDefault="00E21BB8" w:rsidP="00E21BB8">
            <w:pPr>
              <w:jc w:val="both"/>
              <w:rPr>
                <w:rFonts w:eastAsia="Calibri"/>
              </w:rPr>
            </w:pPr>
            <w:r>
              <w:rPr>
                <w:rFonts w:eastAsia="Calibri"/>
              </w:rPr>
              <w:t>F</w:t>
            </w:r>
            <w:r w:rsidRPr="0066215F">
              <w:rPr>
                <w:rFonts w:eastAsia="Calibri"/>
              </w:rPr>
              <w:t>or Alu</w:t>
            </w:r>
            <w:r>
              <w:rPr>
                <w:rFonts w:eastAsia="Calibri"/>
              </w:rPr>
              <w:t>minium and Steel specimen</w:t>
            </w:r>
            <w:r w:rsidRPr="0066215F">
              <w:rPr>
                <w:rFonts w:eastAsia="Calibri"/>
              </w:rPr>
              <w:t xml:space="preserve"> no corrosion phenomena occurred (mass loss in all cases less than 13.5% for an exposure time of 7 days).</w:t>
            </w:r>
            <w:r>
              <w:rPr>
                <w:rFonts w:eastAsia="Calibri"/>
              </w:rPr>
              <w:t xml:space="preserve"> </w:t>
            </w:r>
          </w:p>
          <w:p w14:paraId="6DF59E3D" w14:textId="453BDC3F" w:rsidR="00D76E04" w:rsidRDefault="00D76E04" w:rsidP="00E21BB8">
            <w:pPr>
              <w:jc w:val="both"/>
              <w:rPr>
                <w:rFonts w:eastAsia="Calibri"/>
              </w:rPr>
            </w:pPr>
            <w:r>
              <w:rPr>
                <w:rFonts w:eastAsia="Calibri"/>
              </w:rPr>
              <w:t xml:space="preserve">Only </w:t>
            </w:r>
            <w:r w:rsidR="00AD7B19">
              <w:rPr>
                <w:rFonts w:eastAsia="Calibri"/>
              </w:rPr>
              <w:t xml:space="preserve">a small </w:t>
            </w:r>
            <w:r>
              <w:rPr>
                <w:rFonts w:eastAsia="Calibri"/>
              </w:rPr>
              <w:t xml:space="preserve">uniform corrosion </w:t>
            </w:r>
            <w:r w:rsidR="00AD7B19">
              <w:rPr>
                <w:rFonts w:eastAsia="Calibri"/>
              </w:rPr>
              <w:t>was detected</w:t>
            </w:r>
            <w:r>
              <w:rPr>
                <w:rFonts w:eastAsia="Calibri"/>
              </w:rPr>
              <w:t xml:space="preserve"> (no pitting corrosion)</w:t>
            </w:r>
          </w:p>
          <w:p w14:paraId="00285781" w14:textId="7B970E45" w:rsidR="00E21BB8" w:rsidRPr="00A41B49" w:rsidRDefault="00D76E04" w:rsidP="00E21BB8">
            <w:pPr>
              <w:jc w:val="both"/>
            </w:pPr>
            <w:r>
              <w:t>According</w:t>
            </w:r>
            <w:r w:rsidR="00E21BB8">
              <w:t xml:space="preserve"> to the UN Test C.1 classification criteria, t</w:t>
            </w:r>
            <w:r w:rsidR="00E21BB8" w:rsidRPr="0066215F">
              <w:t xml:space="preserve">he test is considered </w:t>
            </w:r>
            <w:r w:rsidR="00E21BB8">
              <w:t xml:space="preserve">negative. The formulation IODIGUARD is not classified as corrosive to metals. </w:t>
            </w:r>
          </w:p>
        </w:tc>
        <w:tc>
          <w:tcPr>
            <w:tcW w:w="759" w:type="dxa"/>
            <w:vAlign w:val="center"/>
          </w:tcPr>
          <w:p w14:paraId="26B1A06B" w14:textId="77777777" w:rsidR="00E21BB8" w:rsidRPr="00A41B49" w:rsidRDefault="00E21BB8" w:rsidP="00E353FD">
            <w:pPr>
              <w:jc w:val="center"/>
            </w:pPr>
            <w:r w:rsidRPr="00A41B49">
              <w:t>N</w:t>
            </w:r>
          </w:p>
        </w:tc>
        <w:tc>
          <w:tcPr>
            <w:tcW w:w="1357" w:type="dxa"/>
          </w:tcPr>
          <w:p w14:paraId="0763F754" w14:textId="77777777" w:rsidR="00E21BB8" w:rsidRPr="00A41B49" w:rsidRDefault="00E21BB8" w:rsidP="00E353FD">
            <w:r w:rsidRPr="00A41B49">
              <w:t>Conte E., 2016</w:t>
            </w:r>
          </w:p>
        </w:tc>
        <w:tc>
          <w:tcPr>
            <w:tcW w:w="2264" w:type="dxa"/>
          </w:tcPr>
          <w:p w14:paraId="6BD0EB16" w14:textId="19BFBAF0" w:rsidR="00E353FD" w:rsidRDefault="00E21BB8" w:rsidP="007763D2">
            <w:pPr>
              <w:jc w:val="both"/>
            </w:pPr>
            <w:r w:rsidRPr="00A41B49">
              <w:t>The product</w:t>
            </w:r>
            <w:r>
              <w:t xml:space="preserve"> </w:t>
            </w:r>
            <w:r w:rsidR="00E353FD">
              <w:t xml:space="preserve">IODIGUARD was tested. </w:t>
            </w:r>
          </w:p>
          <w:p w14:paraId="6B735144" w14:textId="6D6FCB33" w:rsidR="00310491" w:rsidRDefault="00310491" w:rsidP="007763D2">
            <w:pPr>
              <w:jc w:val="both"/>
            </w:pPr>
            <w:r>
              <w:t>The content of iodine</w:t>
            </w:r>
            <w:r w:rsidR="00D85802">
              <w:t xml:space="preserve"> is a little higher in IODIGUARD (min. 1,13% vs. 0,089% in ALGOFILM) and the pH is almost the same (4,0 for IODIGUARD, 3,84 for ALGOFILM).</w:t>
            </w:r>
          </w:p>
          <w:p w14:paraId="4DE5A41D" w14:textId="77777777" w:rsidR="00E21BB8" w:rsidRDefault="00E353FD" w:rsidP="007763D2">
            <w:pPr>
              <w:jc w:val="both"/>
            </w:pPr>
            <w:r>
              <w:t xml:space="preserve">Therefore, </w:t>
            </w:r>
            <w:r w:rsidR="00E21BB8">
              <w:t>ALGOFILM</w:t>
            </w:r>
            <w:r w:rsidR="00E21BB8" w:rsidRPr="00A41B49">
              <w:t xml:space="preserve"> is not </w:t>
            </w:r>
            <w:r>
              <w:t xml:space="preserve">expected to be </w:t>
            </w:r>
            <w:r w:rsidR="00E21BB8" w:rsidRPr="00A41B49">
              <w:t>classified corrosive</w:t>
            </w:r>
            <w:r w:rsidR="00E21BB8">
              <w:t xml:space="preserve"> to metals</w:t>
            </w:r>
            <w:r w:rsidR="00E21BB8" w:rsidRPr="00A41B49">
              <w:t xml:space="preserve"> according to CLP regulation.</w:t>
            </w:r>
          </w:p>
          <w:p w14:paraId="5B12B22F" w14:textId="77777777" w:rsidR="00AD7B19" w:rsidRDefault="00AD7B19" w:rsidP="007763D2">
            <w:pPr>
              <w:jc w:val="both"/>
            </w:pPr>
          </w:p>
          <w:p w14:paraId="2113F3D6" w14:textId="19EAB8DF" w:rsidR="00AD7B19" w:rsidRPr="00A41B49" w:rsidRDefault="00AD7B19" w:rsidP="007763D2">
            <w:pPr>
              <w:jc w:val="both"/>
            </w:pPr>
            <w:r>
              <w:t>Please refer to the Confidential annex for further comments.</w:t>
            </w:r>
          </w:p>
        </w:tc>
      </w:tr>
      <w:tr w:rsidR="00E21BB8" w:rsidRPr="00A41B49" w14:paraId="27A7ABD5" w14:textId="77777777" w:rsidTr="00154253">
        <w:trPr>
          <w:trHeight w:val="1152"/>
        </w:trPr>
        <w:tc>
          <w:tcPr>
            <w:tcW w:w="2791" w:type="dxa"/>
          </w:tcPr>
          <w:p w14:paraId="20C14558" w14:textId="77777777" w:rsidR="00E21BB8" w:rsidRPr="00A41B49" w:rsidRDefault="00E21BB8" w:rsidP="00E353FD">
            <w:r w:rsidRPr="00A41B49">
              <w:t>Auto-ignition temperatures of products (liquids and gases)</w:t>
            </w:r>
          </w:p>
        </w:tc>
        <w:tc>
          <w:tcPr>
            <w:tcW w:w="1509" w:type="dxa"/>
          </w:tcPr>
          <w:p w14:paraId="318E0621" w14:textId="14B1039B" w:rsidR="00E21BB8" w:rsidRPr="00A41B49" w:rsidRDefault="008D6BE8" w:rsidP="00E353FD">
            <w:r>
              <w:t>Statement</w:t>
            </w:r>
          </w:p>
        </w:tc>
        <w:tc>
          <w:tcPr>
            <w:tcW w:w="1508" w:type="dxa"/>
          </w:tcPr>
          <w:p w14:paraId="308DEC91" w14:textId="77777777" w:rsidR="00E21BB8" w:rsidRPr="00A41B49" w:rsidRDefault="00E21BB8" w:rsidP="00E353FD"/>
        </w:tc>
        <w:tc>
          <w:tcPr>
            <w:tcW w:w="4673" w:type="dxa"/>
          </w:tcPr>
          <w:p w14:paraId="645C5C5F" w14:textId="688E2B3E" w:rsidR="00D85802" w:rsidRDefault="00E21BB8" w:rsidP="007763D2">
            <w:pPr>
              <w:jc w:val="both"/>
            </w:pPr>
            <w:r w:rsidRPr="00A41B49">
              <w:t xml:space="preserve">Waived on the basis of the </w:t>
            </w:r>
            <w:r w:rsidR="00AD7B19">
              <w:t>composition of the product.</w:t>
            </w:r>
          </w:p>
          <w:p w14:paraId="4FB94294" w14:textId="521AAC99" w:rsidR="00E21BB8" w:rsidRPr="00A41B49" w:rsidRDefault="00E21BB8" w:rsidP="007763D2">
            <w:pPr>
              <w:jc w:val="both"/>
            </w:pPr>
            <w:r w:rsidRPr="00A41B49">
              <w:t>(see justification and manual classification according to annex I of CLP in sections 12 and 13). See details in confidential part.</w:t>
            </w:r>
          </w:p>
        </w:tc>
        <w:tc>
          <w:tcPr>
            <w:tcW w:w="759" w:type="dxa"/>
            <w:vAlign w:val="center"/>
          </w:tcPr>
          <w:p w14:paraId="113C01AF" w14:textId="77777777" w:rsidR="00E21BB8" w:rsidRPr="00A41B49" w:rsidRDefault="00E21BB8" w:rsidP="00E353FD">
            <w:pPr>
              <w:jc w:val="center"/>
            </w:pPr>
          </w:p>
        </w:tc>
        <w:tc>
          <w:tcPr>
            <w:tcW w:w="1357" w:type="dxa"/>
          </w:tcPr>
          <w:p w14:paraId="461948DA" w14:textId="77777777" w:rsidR="00E21BB8" w:rsidRPr="00A41B49" w:rsidRDefault="00E21BB8" w:rsidP="00E353FD"/>
        </w:tc>
        <w:tc>
          <w:tcPr>
            <w:tcW w:w="2264" w:type="dxa"/>
          </w:tcPr>
          <w:p w14:paraId="530CA876" w14:textId="77777777" w:rsidR="00E21BB8" w:rsidRPr="00A41B49" w:rsidRDefault="00E21BB8" w:rsidP="00E353FD">
            <w:r w:rsidRPr="00A41B49">
              <w:t>Acceptable</w:t>
            </w:r>
          </w:p>
        </w:tc>
      </w:tr>
      <w:tr w:rsidR="00E21BB8" w:rsidRPr="00A41B49" w14:paraId="711BC145" w14:textId="77777777" w:rsidTr="00154253">
        <w:trPr>
          <w:trHeight w:val="367"/>
        </w:trPr>
        <w:tc>
          <w:tcPr>
            <w:tcW w:w="2791" w:type="dxa"/>
          </w:tcPr>
          <w:p w14:paraId="6677D29C" w14:textId="77777777" w:rsidR="00E21BB8" w:rsidRPr="00A41B49" w:rsidRDefault="00E21BB8" w:rsidP="00E353FD">
            <w:r w:rsidRPr="00A41B49">
              <w:lastRenderedPageBreak/>
              <w:t>Relative self-ignition temperature for solids</w:t>
            </w:r>
          </w:p>
        </w:tc>
        <w:tc>
          <w:tcPr>
            <w:tcW w:w="1509" w:type="dxa"/>
          </w:tcPr>
          <w:p w14:paraId="1DD78869" w14:textId="77777777" w:rsidR="00E21BB8" w:rsidRPr="00A41B49" w:rsidRDefault="00E21BB8" w:rsidP="00E353FD"/>
        </w:tc>
        <w:tc>
          <w:tcPr>
            <w:tcW w:w="1508" w:type="dxa"/>
          </w:tcPr>
          <w:p w14:paraId="7098E089" w14:textId="77777777" w:rsidR="00E21BB8" w:rsidRPr="00A41B49" w:rsidRDefault="00E21BB8" w:rsidP="00E353FD"/>
        </w:tc>
        <w:tc>
          <w:tcPr>
            <w:tcW w:w="4673" w:type="dxa"/>
          </w:tcPr>
          <w:p w14:paraId="33EAD10B" w14:textId="77777777" w:rsidR="00E21BB8" w:rsidRPr="00A41B49" w:rsidRDefault="00E21BB8" w:rsidP="00E353FD">
            <w:r w:rsidRPr="00A41B49">
              <w:rPr>
                <w:rFonts w:cs="Arial"/>
              </w:rPr>
              <w:t>Not relevant</w:t>
            </w:r>
          </w:p>
        </w:tc>
        <w:tc>
          <w:tcPr>
            <w:tcW w:w="759" w:type="dxa"/>
            <w:vAlign w:val="center"/>
          </w:tcPr>
          <w:p w14:paraId="526274C7" w14:textId="77777777" w:rsidR="00E21BB8" w:rsidRPr="00A41B49" w:rsidRDefault="00E21BB8" w:rsidP="00E353FD">
            <w:pPr>
              <w:jc w:val="center"/>
            </w:pPr>
          </w:p>
        </w:tc>
        <w:tc>
          <w:tcPr>
            <w:tcW w:w="1357" w:type="dxa"/>
          </w:tcPr>
          <w:p w14:paraId="2626D1B5" w14:textId="77777777" w:rsidR="00E21BB8" w:rsidRPr="00A41B49" w:rsidRDefault="00E21BB8" w:rsidP="00E353FD"/>
        </w:tc>
        <w:tc>
          <w:tcPr>
            <w:tcW w:w="2264" w:type="dxa"/>
          </w:tcPr>
          <w:p w14:paraId="3A47D74F" w14:textId="77777777" w:rsidR="00E21BB8" w:rsidRPr="00A41B49" w:rsidRDefault="00E21BB8" w:rsidP="00E353FD"/>
        </w:tc>
      </w:tr>
      <w:tr w:rsidR="00E21BB8" w:rsidRPr="00A41B49" w14:paraId="6E99FC10" w14:textId="77777777" w:rsidTr="00154253">
        <w:trPr>
          <w:trHeight w:val="66"/>
        </w:trPr>
        <w:tc>
          <w:tcPr>
            <w:tcW w:w="2791" w:type="dxa"/>
          </w:tcPr>
          <w:p w14:paraId="50D27086" w14:textId="77777777" w:rsidR="00E21BB8" w:rsidRPr="00A41B49" w:rsidRDefault="00E21BB8" w:rsidP="00E353FD">
            <w:r w:rsidRPr="00A41B49">
              <w:t>Dust explosion hazard</w:t>
            </w:r>
          </w:p>
        </w:tc>
        <w:tc>
          <w:tcPr>
            <w:tcW w:w="1509" w:type="dxa"/>
          </w:tcPr>
          <w:p w14:paraId="34339348" w14:textId="77777777" w:rsidR="00E21BB8" w:rsidRPr="00A41B49" w:rsidRDefault="00E21BB8" w:rsidP="00E353FD"/>
        </w:tc>
        <w:tc>
          <w:tcPr>
            <w:tcW w:w="1508" w:type="dxa"/>
          </w:tcPr>
          <w:p w14:paraId="39A5F963" w14:textId="77777777" w:rsidR="00E21BB8" w:rsidRPr="00A41B49" w:rsidRDefault="00E21BB8" w:rsidP="00E353FD"/>
        </w:tc>
        <w:tc>
          <w:tcPr>
            <w:tcW w:w="4673" w:type="dxa"/>
          </w:tcPr>
          <w:p w14:paraId="2F5D28B4" w14:textId="77777777" w:rsidR="00E21BB8" w:rsidRPr="00A41B49" w:rsidRDefault="00E21BB8" w:rsidP="00E353FD">
            <w:r w:rsidRPr="00A41B49">
              <w:rPr>
                <w:rFonts w:cs="Arial"/>
              </w:rPr>
              <w:t>Not relevant</w:t>
            </w:r>
          </w:p>
        </w:tc>
        <w:tc>
          <w:tcPr>
            <w:tcW w:w="759" w:type="dxa"/>
            <w:vAlign w:val="center"/>
          </w:tcPr>
          <w:p w14:paraId="23EF3DC9" w14:textId="77777777" w:rsidR="00E21BB8" w:rsidRPr="00A41B49" w:rsidRDefault="00E21BB8" w:rsidP="00E353FD">
            <w:pPr>
              <w:jc w:val="center"/>
            </w:pPr>
          </w:p>
        </w:tc>
        <w:tc>
          <w:tcPr>
            <w:tcW w:w="1357" w:type="dxa"/>
          </w:tcPr>
          <w:p w14:paraId="2C220AEF" w14:textId="77777777" w:rsidR="00E21BB8" w:rsidRPr="00A41B49" w:rsidRDefault="00E21BB8" w:rsidP="00E353FD"/>
        </w:tc>
        <w:tc>
          <w:tcPr>
            <w:tcW w:w="2264" w:type="dxa"/>
          </w:tcPr>
          <w:p w14:paraId="310A2E2B" w14:textId="63474750" w:rsidR="00E21BB8" w:rsidRPr="00A41B49" w:rsidRDefault="00E21BB8" w:rsidP="00E353FD"/>
        </w:tc>
      </w:tr>
    </w:tbl>
    <w:p w14:paraId="7FCF8FB7" w14:textId="77777777" w:rsidR="009D0C0B" w:rsidRDefault="009D0C0B" w:rsidP="00AB1CDB">
      <w:pPr>
        <w:rPr>
          <w:rFonts w:eastAsia="Calibri"/>
          <w:lang w:eastAsia="en-US"/>
        </w:rPr>
      </w:pPr>
    </w:p>
    <w:tbl>
      <w:tblPr>
        <w:tblW w:w="14855" w:type="dxa"/>
        <w:tblInd w:w="-5" w:type="dxa"/>
        <w:tblLayout w:type="fixed"/>
        <w:tblLook w:val="0000" w:firstRow="0" w:lastRow="0" w:firstColumn="0" w:lastColumn="0" w:noHBand="0" w:noVBand="0"/>
      </w:tblPr>
      <w:tblGrid>
        <w:gridCol w:w="14855"/>
      </w:tblGrid>
      <w:tr w:rsidR="009D0C0B" w14:paraId="415FC333" w14:textId="77777777" w:rsidTr="00154253">
        <w:trPr>
          <w:trHeight w:val="254"/>
        </w:trPr>
        <w:tc>
          <w:tcPr>
            <w:tcW w:w="14855" w:type="dxa"/>
            <w:tcBorders>
              <w:top w:val="single" w:sz="4" w:space="0" w:color="000000"/>
              <w:left w:val="single" w:sz="4" w:space="0" w:color="000000"/>
              <w:bottom w:val="single" w:sz="6" w:space="0" w:color="000000"/>
              <w:right w:val="single" w:sz="6" w:space="0" w:color="000000"/>
            </w:tcBorders>
            <w:shd w:val="clear" w:color="auto" w:fill="CCFFCC"/>
          </w:tcPr>
          <w:p w14:paraId="58C96620"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00032D5A" w14:textId="77777777" w:rsidTr="00154253">
        <w:trPr>
          <w:trHeight w:val="287"/>
        </w:trPr>
        <w:tc>
          <w:tcPr>
            <w:tcW w:w="14855" w:type="dxa"/>
            <w:tcBorders>
              <w:top w:val="single" w:sz="6" w:space="0" w:color="000000"/>
              <w:left w:val="single" w:sz="4" w:space="0" w:color="000000"/>
              <w:bottom w:val="single" w:sz="6" w:space="0" w:color="000000"/>
              <w:right w:val="single" w:sz="6" w:space="0" w:color="000000"/>
            </w:tcBorders>
            <w:shd w:val="clear" w:color="auto" w:fill="auto"/>
          </w:tcPr>
          <w:p w14:paraId="11D052BF" w14:textId="38A3D8A2" w:rsidR="009D0C0B" w:rsidRDefault="00FE5190">
            <w:pPr>
              <w:snapToGrid w:val="0"/>
              <w:spacing w:line="260" w:lineRule="atLeast"/>
              <w:rPr>
                <w:rFonts w:eastAsia="Calibri"/>
                <w:b/>
                <w:bCs/>
                <w:lang w:eastAsia="en-US"/>
              </w:rPr>
            </w:pPr>
            <w:r w:rsidRPr="00C775F6">
              <w:rPr>
                <w:lang w:val="en-US"/>
              </w:rPr>
              <w:t xml:space="preserve">The product is not classified </w:t>
            </w:r>
            <w:r w:rsidRPr="007D48DC">
              <w:rPr>
                <w:lang w:val="en-US"/>
              </w:rPr>
              <w:t>regarding any physical</w:t>
            </w:r>
            <w:r w:rsidRPr="00C775F6">
              <w:rPr>
                <w:lang w:val="en-US"/>
              </w:rPr>
              <w:t xml:space="preserve"> hazards.</w:t>
            </w:r>
          </w:p>
        </w:tc>
      </w:tr>
    </w:tbl>
    <w:p w14:paraId="14EF7F82" w14:textId="4E57767D" w:rsidR="009D0C0B" w:rsidRDefault="009D0C0B">
      <w:pPr>
        <w:pStyle w:val="Absatz"/>
        <w:rPr>
          <w:rFonts w:eastAsia="Calibri"/>
          <w:lang w:eastAsia="en-US"/>
        </w:rPr>
      </w:pPr>
    </w:p>
    <w:p w14:paraId="28915563" w14:textId="77777777" w:rsidR="003D41CE" w:rsidRDefault="003D41CE">
      <w:pPr>
        <w:pStyle w:val="Absatz"/>
        <w:rPr>
          <w:rFonts w:eastAsia="Calibri"/>
          <w:lang w:eastAsia="en-US"/>
        </w:rPr>
        <w:sectPr w:rsidR="003D41CE" w:rsidSect="007763D2">
          <w:pgSz w:w="16838" w:h="11906" w:orient="landscape"/>
          <w:pgMar w:top="1418" w:right="1021" w:bottom="709" w:left="1021" w:header="709" w:footer="709" w:gutter="0"/>
          <w:cols w:space="708"/>
          <w:docGrid w:linePitch="360"/>
        </w:sectPr>
      </w:pPr>
    </w:p>
    <w:p w14:paraId="0C69720E" w14:textId="63575629" w:rsidR="00FD1859" w:rsidRDefault="00FD1859">
      <w:pPr>
        <w:pStyle w:val="Absatz"/>
        <w:rPr>
          <w:rFonts w:eastAsia="Calibri"/>
          <w:lang w:eastAsia="en-US"/>
        </w:rPr>
      </w:pPr>
    </w:p>
    <w:p w14:paraId="5B69FB0A" w14:textId="7E420678" w:rsidR="00FD1859" w:rsidRDefault="00FD1859" w:rsidP="00680CE7">
      <w:pPr>
        <w:pStyle w:val="Absatz"/>
        <w:ind w:left="0"/>
        <w:rPr>
          <w:rFonts w:eastAsia="Calibri"/>
          <w:lang w:eastAsia="en-US"/>
        </w:rPr>
      </w:pPr>
    </w:p>
    <w:p w14:paraId="42FB5F57" w14:textId="56C6F929" w:rsidR="009D0C0B" w:rsidRDefault="00FA480B" w:rsidP="00FD1859">
      <w:pPr>
        <w:pStyle w:val="Titre3"/>
        <w:tabs>
          <w:tab w:val="clear" w:pos="568"/>
        </w:tabs>
      </w:pPr>
      <w:bookmarkStart w:id="58" w:name="_Toc74732478"/>
      <w:r>
        <w:t>Methods for detection and identification</w:t>
      </w:r>
      <w:bookmarkEnd w:id="58"/>
    </w:p>
    <w:p w14:paraId="5B302A44" w14:textId="757BDD86" w:rsidR="00E353FD" w:rsidRPr="00A83816" w:rsidRDefault="00E353FD" w:rsidP="00E353FD">
      <w:pPr>
        <w:rPr>
          <w:b/>
          <w:u w:val="single"/>
        </w:rPr>
      </w:pPr>
      <w:r w:rsidRPr="00A83816">
        <w:rPr>
          <w:b/>
          <w:u w:val="single"/>
        </w:rPr>
        <w:t>Iodine</w:t>
      </w:r>
    </w:p>
    <w:p w14:paraId="61D2651E" w14:textId="77777777" w:rsidR="00E353FD" w:rsidRDefault="00E353FD" w:rsidP="00E353FD">
      <w:pPr>
        <w:rPr>
          <w:b/>
        </w:rPr>
      </w:pPr>
    </w:p>
    <w:p w14:paraId="5F6D14D2" w14:textId="77777777" w:rsidR="00E353FD" w:rsidRDefault="00E353FD" w:rsidP="00E353FD">
      <w:pPr>
        <w:rPr>
          <w:b/>
        </w:rPr>
      </w:pPr>
    </w:p>
    <w:p w14:paraId="76C4AA35" w14:textId="6B5037BA" w:rsidR="00E353FD" w:rsidRPr="00A83816" w:rsidRDefault="00E353FD" w:rsidP="00E353FD">
      <w:pPr>
        <w:rPr>
          <w:b/>
        </w:rPr>
      </w:pPr>
      <w:r w:rsidRPr="00A83816">
        <w:rPr>
          <w:b/>
        </w:rPr>
        <w:t xml:space="preserve">Analytical method for determination of </w:t>
      </w:r>
      <w:r w:rsidR="00FD1859">
        <w:rPr>
          <w:b/>
        </w:rPr>
        <w:t>iodine</w:t>
      </w:r>
      <w:r w:rsidRPr="00A83816">
        <w:rPr>
          <w:b/>
        </w:rPr>
        <w:t xml:space="preserve"> in the biocidal product </w:t>
      </w:r>
    </w:p>
    <w:p w14:paraId="0D70AE71" w14:textId="77777777" w:rsidR="00FD1859" w:rsidRDefault="00FD1859" w:rsidP="00FD1859">
      <w:pPr>
        <w:rPr>
          <w:bCs/>
        </w:rPr>
      </w:pPr>
      <w:r>
        <w:rPr>
          <w:bCs/>
        </w:rPr>
        <w:t>Stability studies have been performed at two different laboratories: Laboratoire Solutio and Défitraces. Both laboratories have validated the method used for determination of the iodine content in the Algofilm product.</w:t>
      </w:r>
    </w:p>
    <w:p w14:paraId="36E0E26B" w14:textId="77777777" w:rsidR="00FD1859" w:rsidRDefault="00FD1859" w:rsidP="00FD1859">
      <w:pPr>
        <w:rPr>
          <w:bCs/>
        </w:rPr>
      </w:pPr>
    </w:p>
    <w:p w14:paraId="6C5AF3A4" w14:textId="77777777" w:rsidR="00FD1859" w:rsidRPr="004653C7" w:rsidRDefault="00FD1859" w:rsidP="00FD1859">
      <w:pPr>
        <w:rPr>
          <w:bCs/>
          <w:u w:val="single"/>
        </w:rPr>
      </w:pPr>
      <w:r>
        <w:rPr>
          <w:bCs/>
          <w:u w:val="single"/>
        </w:rPr>
        <w:t>Method from Laboratoire Solutio</w:t>
      </w:r>
    </w:p>
    <w:p w14:paraId="71C29F00" w14:textId="77777777" w:rsidR="00E353FD" w:rsidRPr="00EF7882" w:rsidRDefault="00E353FD" w:rsidP="00E353FD">
      <w:r w:rsidRPr="00EF7882">
        <w:t>This analytical method is based on European Pharmacopoeia and provided in the CAR of the active substance for determining the active substance (total available Iodine) and relevant component in the biocidal product.</w:t>
      </w:r>
    </w:p>
    <w:p w14:paraId="525AA4A1" w14:textId="77777777" w:rsidR="00E353FD" w:rsidRDefault="00E353FD" w:rsidP="00E353FD"/>
    <w:tbl>
      <w:tblPr>
        <w:tblW w:w="14900"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2945"/>
        <w:gridCol w:w="11955"/>
      </w:tblGrid>
      <w:tr w:rsidR="00E353FD" w:rsidRPr="00A41B49" w14:paraId="5AF642ED" w14:textId="77777777" w:rsidTr="00680CE7">
        <w:trPr>
          <w:trHeight w:val="230"/>
        </w:trPr>
        <w:tc>
          <w:tcPr>
            <w:tcW w:w="2945" w:type="dxa"/>
            <w:tcBorders>
              <w:right w:val="single" w:sz="4" w:space="0" w:color="auto"/>
            </w:tcBorders>
            <w:shd w:val="clear" w:color="auto" w:fill="auto"/>
          </w:tcPr>
          <w:p w14:paraId="7A6AA866" w14:textId="77777777" w:rsidR="00E353FD" w:rsidRPr="00A41B49" w:rsidRDefault="00E353FD" w:rsidP="00E353FD">
            <w:pPr>
              <w:pStyle w:val="OECD-table"/>
              <w:rPr>
                <w:rFonts w:ascii="Verdana" w:hAnsi="Verdana"/>
                <w:b/>
                <w:sz w:val="20"/>
                <w:szCs w:val="20"/>
              </w:rPr>
            </w:pPr>
            <w:r w:rsidRPr="00A41B49">
              <w:rPr>
                <w:rFonts w:ascii="Verdana" w:hAnsi="Verdana"/>
                <w:b/>
                <w:sz w:val="20"/>
                <w:szCs w:val="20"/>
              </w:rPr>
              <w:t>Report:</w:t>
            </w:r>
          </w:p>
        </w:tc>
        <w:tc>
          <w:tcPr>
            <w:tcW w:w="11955" w:type="dxa"/>
            <w:tcBorders>
              <w:left w:val="single" w:sz="4" w:space="0" w:color="auto"/>
            </w:tcBorders>
            <w:shd w:val="clear" w:color="auto" w:fill="auto"/>
          </w:tcPr>
          <w:p w14:paraId="68CB512E" w14:textId="77777777" w:rsidR="00E353FD" w:rsidRPr="00A41B49" w:rsidRDefault="00E353FD" w:rsidP="00E353FD">
            <w:pPr>
              <w:rPr>
                <w:lang w:val="fr-FR"/>
              </w:rPr>
            </w:pPr>
            <w:r w:rsidRPr="00A41B49">
              <w:rPr>
                <w:lang w:val="fr-FR"/>
              </w:rPr>
              <w:t>Morel A., 2015</w:t>
            </w:r>
          </w:p>
        </w:tc>
      </w:tr>
      <w:tr w:rsidR="00E353FD" w:rsidRPr="00D3140E" w14:paraId="753AFC9D" w14:textId="77777777" w:rsidTr="00680CE7">
        <w:trPr>
          <w:trHeight w:val="221"/>
        </w:trPr>
        <w:tc>
          <w:tcPr>
            <w:tcW w:w="2945" w:type="dxa"/>
            <w:tcBorders>
              <w:right w:val="single" w:sz="4" w:space="0" w:color="auto"/>
            </w:tcBorders>
            <w:shd w:val="clear" w:color="auto" w:fill="auto"/>
          </w:tcPr>
          <w:p w14:paraId="3472698C" w14:textId="77777777" w:rsidR="00E353FD" w:rsidRPr="00A41B49" w:rsidRDefault="00E353FD" w:rsidP="00E353FD">
            <w:pPr>
              <w:pStyle w:val="OECD-table"/>
              <w:jc w:val="both"/>
              <w:rPr>
                <w:rFonts w:ascii="Verdana" w:hAnsi="Verdana"/>
                <w:sz w:val="20"/>
                <w:szCs w:val="20"/>
                <w:lang w:val="fr-FR"/>
              </w:rPr>
            </w:pPr>
            <w:r w:rsidRPr="00A41B49">
              <w:rPr>
                <w:rFonts w:ascii="Verdana" w:hAnsi="Verdana"/>
                <w:sz w:val="20"/>
                <w:szCs w:val="20"/>
                <w:lang w:val="fr-FR"/>
              </w:rPr>
              <w:t>Title:</w:t>
            </w:r>
          </w:p>
        </w:tc>
        <w:tc>
          <w:tcPr>
            <w:tcW w:w="11955" w:type="dxa"/>
            <w:tcBorders>
              <w:left w:val="single" w:sz="4" w:space="0" w:color="auto"/>
            </w:tcBorders>
            <w:shd w:val="clear" w:color="auto" w:fill="auto"/>
          </w:tcPr>
          <w:p w14:paraId="2447E578" w14:textId="77777777" w:rsidR="00E353FD" w:rsidRPr="00A41B49" w:rsidRDefault="00E353FD" w:rsidP="00E353FD">
            <w:pPr>
              <w:autoSpaceDE w:val="0"/>
              <w:autoSpaceDN w:val="0"/>
              <w:adjustRightInd w:val="0"/>
              <w:rPr>
                <w:bCs/>
                <w:lang w:val="fr-FR"/>
              </w:rPr>
            </w:pPr>
            <w:r w:rsidRPr="00ED0799">
              <w:rPr>
                <w:color w:val="000000"/>
                <w:lang w:val="fr-FR"/>
              </w:rPr>
              <w:t>Rapport sur les essais de stabilité</w:t>
            </w:r>
            <w:r>
              <w:rPr>
                <w:color w:val="000000"/>
                <w:lang w:val="fr-FR"/>
              </w:rPr>
              <w:t> : ALGOFILM</w:t>
            </w:r>
          </w:p>
        </w:tc>
      </w:tr>
      <w:tr w:rsidR="00E353FD" w:rsidRPr="00A41B49" w14:paraId="0ECDE928" w14:textId="77777777" w:rsidTr="00680CE7">
        <w:trPr>
          <w:trHeight w:val="230"/>
        </w:trPr>
        <w:tc>
          <w:tcPr>
            <w:tcW w:w="2945" w:type="dxa"/>
            <w:tcBorders>
              <w:right w:val="single" w:sz="4" w:space="0" w:color="auto"/>
            </w:tcBorders>
            <w:shd w:val="clear" w:color="auto" w:fill="auto"/>
          </w:tcPr>
          <w:p w14:paraId="72FA12EF" w14:textId="77777777" w:rsidR="00E353FD" w:rsidRPr="00A41B49" w:rsidRDefault="00E353FD" w:rsidP="00E353FD">
            <w:pPr>
              <w:pStyle w:val="OECD-table"/>
              <w:rPr>
                <w:rFonts w:ascii="Verdana" w:hAnsi="Verdana"/>
                <w:sz w:val="20"/>
                <w:szCs w:val="20"/>
                <w:lang w:val="fr-FR"/>
              </w:rPr>
            </w:pPr>
            <w:r w:rsidRPr="00A41B49">
              <w:rPr>
                <w:rFonts w:ascii="Verdana" w:hAnsi="Verdana"/>
                <w:sz w:val="20"/>
                <w:szCs w:val="20"/>
                <w:lang w:val="fr-FR"/>
              </w:rPr>
              <w:t>Document No</w:t>
            </w:r>
          </w:p>
        </w:tc>
        <w:tc>
          <w:tcPr>
            <w:tcW w:w="11955" w:type="dxa"/>
            <w:tcBorders>
              <w:left w:val="single" w:sz="4" w:space="0" w:color="auto"/>
            </w:tcBorders>
            <w:shd w:val="clear" w:color="auto" w:fill="auto"/>
          </w:tcPr>
          <w:p w14:paraId="7EB55D6C" w14:textId="77777777" w:rsidR="00E353FD" w:rsidRPr="00A41B49" w:rsidRDefault="00E353FD" w:rsidP="00E353FD">
            <w:pPr>
              <w:pStyle w:val="OECD-table"/>
              <w:rPr>
                <w:rFonts w:ascii="Verdana" w:hAnsi="Verdana"/>
                <w:sz w:val="20"/>
                <w:szCs w:val="20"/>
                <w:lang w:val="fr-FR"/>
              </w:rPr>
            </w:pPr>
            <w:r w:rsidRPr="00A41B49">
              <w:rPr>
                <w:rFonts w:ascii="Verdana" w:hAnsi="Verdana"/>
                <w:sz w:val="20"/>
                <w:szCs w:val="20"/>
                <w:lang w:val="fr-FR"/>
              </w:rPr>
              <w:t>-</w:t>
            </w:r>
          </w:p>
        </w:tc>
      </w:tr>
      <w:tr w:rsidR="00E353FD" w:rsidRPr="00D3140E" w14:paraId="1691E311" w14:textId="77777777" w:rsidTr="00680CE7">
        <w:trPr>
          <w:trHeight w:val="426"/>
        </w:trPr>
        <w:tc>
          <w:tcPr>
            <w:tcW w:w="2945" w:type="dxa"/>
            <w:tcBorders>
              <w:right w:val="single" w:sz="4" w:space="0" w:color="auto"/>
            </w:tcBorders>
            <w:shd w:val="clear" w:color="auto" w:fill="auto"/>
          </w:tcPr>
          <w:p w14:paraId="0C764CD2" w14:textId="77777777" w:rsidR="00E353FD" w:rsidRPr="00A41B49" w:rsidRDefault="00E353FD" w:rsidP="00E353FD">
            <w:pPr>
              <w:pStyle w:val="OECD-table"/>
              <w:rPr>
                <w:rFonts w:ascii="Verdana" w:hAnsi="Verdana"/>
                <w:sz w:val="20"/>
                <w:szCs w:val="20"/>
                <w:lang w:val="fr-FR"/>
              </w:rPr>
            </w:pPr>
            <w:r w:rsidRPr="00A41B49">
              <w:rPr>
                <w:rFonts w:ascii="Verdana" w:hAnsi="Verdana"/>
                <w:sz w:val="20"/>
                <w:szCs w:val="20"/>
                <w:lang w:val="fr-FR"/>
              </w:rPr>
              <w:t>Test facility</w:t>
            </w:r>
          </w:p>
        </w:tc>
        <w:tc>
          <w:tcPr>
            <w:tcW w:w="11955" w:type="dxa"/>
            <w:tcBorders>
              <w:left w:val="single" w:sz="4" w:space="0" w:color="auto"/>
            </w:tcBorders>
            <w:shd w:val="clear" w:color="auto" w:fill="auto"/>
          </w:tcPr>
          <w:p w14:paraId="316DCAFD" w14:textId="77777777" w:rsidR="00E353FD" w:rsidRPr="00A41B49" w:rsidRDefault="00E353FD" w:rsidP="00E353FD">
            <w:pPr>
              <w:pStyle w:val="OECD-table"/>
              <w:rPr>
                <w:rFonts w:ascii="Verdana" w:hAnsi="Verdana"/>
                <w:sz w:val="20"/>
                <w:szCs w:val="20"/>
                <w:lang w:val="fr-FR"/>
              </w:rPr>
            </w:pPr>
            <w:r w:rsidRPr="00A41B49">
              <w:rPr>
                <w:rFonts w:ascii="Verdana" w:hAnsi="Verdana"/>
                <w:sz w:val="20"/>
                <w:szCs w:val="20"/>
                <w:lang w:val="fr-FR"/>
              </w:rPr>
              <w:t>Laboratoire Solutio</w:t>
            </w:r>
          </w:p>
          <w:p w14:paraId="5C111650" w14:textId="77777777" w:rsidR="00E353FD" w:rsidRPr="00A41B49" w:rsidRDefault="00E353FD" w:rsidP="00E353FD">
            <w:pPr>
              <w:pStyle w:val="OECD-table"/>
              <w:rPr>
                <w:rFonts w:ascii="Verdana" w:hAnsi="Verdana"/>
                <w:sz w:val="20"/>
                <w:szCs w:val="20"/>
                <w:lang w:val="fr-FR"/>
              </w:rPr>
            </w:pPr>
            <w:r w:rsidRPr="00A41B49">
              <w:rPr>
                <w:rFonts w:ascii="Verdana" w:hAnsi="Verdana"/>
                <w:sz w:val="20"/>
                <w:szCs w:val="20"/>
                <w:lang w:val="fr-FR"/>
              </w:rPr>
              <w:t xml:space="preserve">BP 147 – Les Chasses – </w:t>
            </w:r>
            <w:r w:rsidRPr="003F4FDD">
              <w:rPr>
                <w:rFonts w:ascii="Verdana" w:hAnsi="Verdana"/>
                <w:sz w:val="20"/>
                <w:szCs w:val="20"/>
                <w:lang w:val="fr-FR"/>
              </w:rPr>
              <w:t>26100 ROMANS SUR ISERE</w:t>
            </w:r>
            <w:r>
              <w:rPr>
                <w:rFonts w:ascii="Verdana" w:hAnsi="Verdana"/>
                <w:sz w:val="20"/>
                <w:szCs w:val="20"/>
                <w:lang w:val="fr-FR"/>
              </w:rPr>
              <w:t xml:space="preserve"> </w:t>
            </w:r>
            <w:r w:rsidRPr="00A41B49">
              <w:rPr>
                <w:rFonts w:ascii="Verdana" w:hAnsi="Verdana"/>
                <w:sz w:val="20"/>
                <w:szCs w:val="20"/>
                <w:lang w:val="fr-FR"/>
              </w:rPr>
              <w:t>- FRANCE</w:t>
            </w:r>
          </w:p>
        </w:tc>
      </w:tr>
      <w:tr w:rsidR="00E353FD" w:rsidRPr="00A41B49" w14:paraId="73171295" w14:textId="77777777" w:rsidTr="00680CE7">
        <w:trPr>
          <w:trHeight w:val="230"/>
        </w:trPr>
        <w:tc>
          <w:tcPr>
            <w:tcW w:w="2945" w:type="dxa"/>
            <w:tcBorders>
              <w:right w:val="single" w:sz="4" w:space="0" w:color="auto"/>
            </w:tcBorders>
            <w:shd w:val="clear" w:color="auto" w:fill="auto"/>
          </w:tcPr>
          <w:p w14:paraId="75C0BB25" w14:textId="77777777" w:rsidR="00E353FD" w:rsidRPr="00A41B49" w:rsidRDefault="00E353FD" w:rsidP="00E353FD">
            <w:pPr>
              <w:pStyle w:val="OECD-table"/>
              <w:rPr>
                <w:rFonts w:ascii="Verdana" w:hAnsi="Verdana"/>
                <w:sz w:val="20"/>
                <w:szCs w:val="20"/>
              </w:rPr>
            </w:pPr>
            <w:r w:rsidRPr="00A41B49">
              <w:rPr>
                <w:rFonts w:ascii="Verdana" w:hAnsi="Verdana"/>
                <w:sz w:val="20"/>
                <w:szCs w:val="20"/>
              </w:rPr>
              <w:t>Guidelines:</w:t>
            </w:r>
          </w:p>
        </w:tc>
        <w:tc>
          <w:tcPr>
            <w:tcW w:w="11955" w:type="dxa"/>
            <w:tcBorders>
              <w:left w:val="single" w:sz="4" w:space="0" w:color="auto"/>
            </w:tcBorders>
            <w:shd w:val="clear" w:color="auto" w:fill="auto"/>
          </w:tcPr>
          <w:p w14:paraId="7DD86E94" w14:textId="77777777" w:rsidR="00E353FD" w:rsidRPr="00A41B49" w:rsidRDefault="00E353FD" w:rsidP="00E353FD">
            <w:pPr>
              <w:pStyle w:val="OECD-table"/>
              <w:rPr>
                <w:rFonts w:ascii="Verdana" w:hAnsi="Verdana"/>
                <w:sz w:val="20"/>
                <w:szCs w:val="20"/>
              </w:rPr>
            </w:pPr>
            <w:r w:rsidRPr="00A41B49">
              <w:rPr>
                <w:rFonts w:ascii="Verdana" w:hAnsi="Verdana"/>
                <w:sz w:val="20"/>
                <w:szCs w:val="20"/>
              </w:rPr>
              <w:t>-</w:t>
            </w:r>
          </w:p>
        </w:tc>
      </w:tr>
      <w:tr w:rsidR="00E353FD" w:rsidRPr="00A41B49" w14:paraId="60434A29" w14:textId="77777777" w:rsidTr="00680CE7">
        <w:trPr>
          <w:trHeight w:val="221"/>
        </w:trPr>
        <w:tc>
          <w:tcPr>
            <w:tcW w:w="2945" w:type="dxa"/>
            <w:tcBorders>
              <w:right w:val="single" w:sz="4" w:space="0" w:color="auto"/>
            </w:tcBorders>
            <w:shd w:val="clear" w:color="auto" w:fill="auto"/>
          </w:tcPr>
          <w:p w14:paraId="5730D0D8" w14:textId="77777777" w:rsidR="00E353FD" w:rsidRPr="00A41B49" w:rsidRDefault="00E353FD" w:rsidP="00E353FD">
            <w:pPr>
              <w:pStyle w:val="OECD-table"/>
              <w:rPr>
                <w:rFonts w:ascii="Verdana" w:hAnsi="Verdana"/>
                <w:sz w:val="20"/>
                <w:szCs w:val="20"/>
              </w:rPr>
            </w:pPr>
            <w:r w:rsidRPr="00A41B49">
              <w:rPr>
                <w:rFonts w:ascii="Verdana" w:hAnsi="Verdana"/>
                <w:sz w:val="20"/>
                <w:szCs w:val="20"/>
              </w:rPr>
              <w:t>GLP</w:t>
            </w:r>
          </w:p>
        </w:tc>
        <w:tc>
          <w:tcPr>
            <w:tcW w:w="11955" w:type="dxa"/>
            <w:tcBorders>
              <w:left w:val="single" w:sz="4" w:space="0" w:color="auto"/>
            </w:tcBorders>
            <w:shd w:val="clear" w:color="auto" w:fill="auto"/>
          </w:tcPr>
          <w:p w14:paraId="06C8CBE8" w14:textId="77777777" w:rsidR="00E353FD" w:rsidRPr="00A41B49" w:rsidRDefault="00E353FD" w:rsidP="00E353FD">
            <w:pPr>
              <w:pStyle w:val="OECD-table"/>
              <w:rPr>
                <w:rFonts w:ascii="Verdana" w:hAnsi="Verdana"/>
                <w:sz w:val="20"/>
                <w:szCs w:val="20"/>
              </w:rPr>
            </w:pPr>
            <w:r w:rsidRPr="00A41B49">
              <w:rPr>
                <w:rFonts w:ascii="Verdana" w:hAnsi="Verdana"/>
                <w:sz w:val="20"/>
                <w:szCs w:val="20"/>
              </w:rPr>
              <w:t>No</w:t>
            </w:r>
          </w:p>
        </w:tc>
      </w:tr>
    </w:tbl>
    <w:p w14:paraId="108100A8" w14:textId="77777777" w:rsidR="00E353FD" w:rsidRDefault="00E353FD" w:rsidP="00E353FD"/>
    <w:p w14:paraId="4002E6E0" w14:textId="77777777" w:rsidR="00E353FD" w:rsidRPr="00EF7882" w:rsidRDefault="00E353FD" w:rsidP="00E353FD">
      <w:r w:rsidRPr="00EF7882">
        <w:t>According to European Pharmacopoeia, the active iodine is defined as the total of iodine substance (I</w:t>
      </w:r>
      <w:r w:rsidRPr="00EF7882">
        <w:rPr>
          <w:vertAlign w:val="subscript"/>
        </w:rPr>
        <w:t>2</w:t>
      </w:r>
      <w:r w:rsidRPr="00EF7882">
        <w:t>), free and complexed with the PVP.</w:t>
      </w:r>
    </w:p>
    <w:p w14:paraId="4A6001E8" w14:textId="77777777" w:rsidR="00E353FD" w:rsidRDefault="00E353FD" w:rsidP="00E353FD">
      <w:pPr>
        <w:rPr>
          <w:b/>
        </w:rPr>
      </w:pPr>
    </w:p>
    <w:p w14:paraId="6035F5A6" w14:textId="77777777" w:rsidR="00E353FD" w:rsidRPr="00A83816" w:rsidRDefault="00E353FD" w:rsidP="00E353FD">
      <w:pPr>
        <w:rPr>
          <w:b/>
        </w:rPr>
      </w:pPr>
      <w:r w:rsidRPr="00A83816">
        <w:rPr>
          <w:b/>
        </w:rPr>
        <w:t>Preparation of accuracy samples:</w:t>
      </w:r>
    </w:p>
    <w:p w14:paraId="111DCF61" w14:textId="77777777" w:rsidR="00E353FD" w:rsidRPr="00A41B49" w:rsidRDefault="00E353FD" w:rsidP="00E353FD">
      <w:r w:rsidRPr="00A41B49">
        <w:t>Weight 10g of IODIGUARD solution in a beaker. Added 100mL of distilled water and a magnet bar.</w:t>
      </w:r>
    </w:p>
    <w:p w14:paraId="3FA96932" w14:textId="77777777" w:rsidR="00E353FD" w:rsidRPr="00A41B49" w:rsidRDefault="00E353FD" w:rsidP="00E353FD">
      <w:r w:rsidRPr="00A41B49">
        <w:t>The determination of iodine is performed by a redox titration with sodium thiosulfate. The equation is:</w:t>
      </w:r>
    </w:p>
    <w:p w14:paraId="61357C67" w14:textId="77777777" w:rsidR="00E353FD" w:rsidRPr="00A41B49" w:rsidRDefault="00E353FD" w:rsidP="00E353FD">
      <w:pPr>
        <w:jc w:val="center"/>
      </w:pPr>
      <w:r w:rsidRPr="00A41B49">
        <w:t>I</w:t>
      </w:r>
      <w:r w:rsidRPr="00A41B49">
        <w:rPr>
          <w:vertAlign w:val="subscript"/>
        </w:rPr>
        <w:t>2</w:t>
      </w:r>
      <w:r w:rsidRPr="00A41B49">
        <w:t xml:space="preserve"> </w:t>
      </w:r>
      <w:r w:rsidRPr="00A41B49">
        <w:rPr>
          <w:vertAlign w:val="subscript"/>
        </w:rPr>
        <w:t xml:space="preserve">(aq) </w:t>
      </w:r>
      <w:r w:rsidRPr="00A41B49">
        <w:t>+ 2 S</w:t>
      </w:r>
      <w:r w:rsidRPr="00A41B49">
        <w:rPr>
          <w:vertAlign w:val="subscript"/>
        </w:rPr>
        <w:t>2</w:t>
      </w:r>
      <w:r w:rsidRPr="00A41B49">
        <w:t>O</w:t>
      </w:r>
      <w:r w:rsidRPr="00A41B49">
        <w:rPr>
          <w:vertAlign w:val="subscript"/>
        </w:rPr>
        <w:t>3</w:t>
      </w:r>
      <w:r w:rsidRPr="00A41B49">
        <w:rPr>
          <w:vertAlign w:val="superscript"/>
        </w:rPr>
        <w:t xml:space="preserve">2- </w:t>
      </w:r>
      <w:r w:rsidRPr="00A41B49">
        <w:rPr>
          <w:vertAlign w:val="subscript"/>
        </w:rPr>
        <w:t xml:space="preserve">(aq) </w:t>
      </w:r>
      <w:r w:rsidRPr="00A41B49">
        <w:t>= S</w:t>
      </w:r>
      <w:r w:rsidRPr="00A41B49">
        <w:rPr>
          <w:vertAlign w:val="subscript"/>
        </w:rPr>
        <w:t>4</w:t>
      </w:r>
      <w:r w:rsidRPr="00A41B49">
        <w:t>O</w:t>
      </w:r>
      <w:r w:rsidRPr="00A41B49">
        <w:rPr>
          <w:vertAlign w:val="subscript"/>
        </w:rPr>
        <w:t>6</w:t>
      </w:r>
      <w:r w:rsidRPr="00A41B49">
        <w:rPr>
          <w:vertAlign w:val="superscript"/>
        </w:rPr>
        <w:t xml:space="preserve">2- </w:t>
      </w:r>
      <w:r w:rsidRPr="00A41B49">
        <w:rPr>
          <w:vertAlign w:val="subscript"/>
        </w:rPr>
        <w:t xml:space="preserve">(aq) </w:t>
      </w:r>
      <w:r w:rsidRPr="00A41B49">
        <w:t>+ 2 I</w:t>
      </w:r>
      <w:r w:rsidRPr="00A41B49">
        <w:rPr>
          <w:vertAlign w:val="superscript"/>
        </w:rPr>
        <w:t xml:space="preserve">- </w:t>
      </w:r>
      <w:r w:rsidRPr="00A41B49">
        <w:rPr>
          <w:vertAlign w:val="subscript"/>
        </w:rPr>
        <w:t>(aq)</w:t>
      </w:r>
    </w:p>
    <w:p w14:paraId="5BF26211" w14:textId="77777777" w:rsidR="00E353FD" w:rsidRDefault="00E353FD" w:rsidP="00E353FD">
      <w:pPr>
        <w:rPr>
          <w:b/>
        </w:rPr>
      </w:pPr>
    </w:p>
    <w:p w14:paraId="7CA92088" w14:textId="77777777" w:rsidR="00E353FD" w:rsidRDefault="00E353FD" w:rsidP="00E353FD">
      <w:pPr>
        <w:rPr>
          <w:b/>
        </w:rPr>
      </w:pPr>
    </w:p>
    <w:p w14:paraId="6FD1A304" w14:textId="66E72BD1" w:rsidR="00E353FD" w:rsidRPr="00A83816" w:rsidRDefault="00E353FD" w:rsidP="00E353FD">
      <w:pPr>
        <w:rPr>
          <w:b/>
        </w:rPr>
      </w:pPr>
      <w:r w:rsidRPr="00A83816">
        <w:rPr>
          <w:b/>
        </w:rPr>
        <w:t>Validation of the analytical method:</w:t>
      </w:r>
    </w:p>
    <w:tbl>
      <w:tblPr>
        <w:tblStyle w:val="TableNormal1"/>
        <w:tblW w:w="14898"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974"/>
        <w:gridCol w:w="2603"/>
        <w:gridCol w:w="10321"/>
      </w:tblGrid>
      <w:tr w:rsidR="00E353FD" w:rsidRPr="00A41B49" w14:paraId="03D351E2" w14:textId="77777777" w:rsidTr="00680CE7">
        <w:trPr>
          <w:cantSplit/>
          <w:trHeight w:val="531"/>
        </w:trPr>
        <w:tc>
          <w:tcPr>
            <w:tcW w:w="1974" w:type="dxa"/>
            <w:tcBorders>
              <w:top w:val="single" w:sz="6" w:space="0" w:color="auto"/>
              <w:left w:val="single" w:sz="6" w:space="0" w:color="auto"/>
              <w:bottom w:val="single" w:sz="6" w:space="0" w:color="auto"/>
              <w:right w:val="double" w:sz="4" w:space="0" w:color="auto"/>
            </w:tcBorders>
          </w:tcPr>
          <w:p w14:paraId="5867CE1B" w14:textId="77777777" w:rsidR="00E353FD" w:rsidRPr="00A41B49" w:rsidRDefault="00E353FD" w:rsidP="00E353FD">
            <w:pPr>
              <w:spacing w:line="288" w:lineRule="auto"/>
            </w:pPr>
            <w:r w:rsidRPr="00A41B49">
              <w:t>Specificity</w:t>
            </w:r>
          </w:p>
        </w:tc>
        <w:tc>
          <w:tcPr>
            <w:tcW w:w="12924" w:type="dxa"/>
            <w:gridSpan w:val="2"/>
            <w:tcBorders>
              <w:top w:val="single" w:sz="6" w:space="0" w:color="auto"/>
              <w:left w:val="double" w:sz="4" w:space="0" w:color="auto"/>
              <w:bottom w:val="single" w:sz="4" w:space="0" w:color="auto"/>
              <w:right w:val="single" w:sz="6" w:space="0" w:color="auto"/>
            </w:tcBorders>
          </w:tcPr>
          <w:p w14:paraId="215AD32D" w14:textId="77777777" w:rsidR="00E353FD" w:rsidRPr="00A41B49" w:rsidRDefault="00E353FD" w:rsidP="008E291D">
            <w:pPr>
              <w:spacing w:line="288" w:lineRule="auto"/>
              <w:jc w:val="both"/>
              <w:rPr>
                <w:lang w:val="en-US"/>
              </w:rPr>
            </w:pPr>
            <w:r w:rsidRPr="00A41B49">
              <w:rPr>
                <w:lang w:val="en-US"/>
              </w:rPr>
              <w:t>To demonstrate that the quantification of iodine is not affect</w:t>
            </w:r>
            <w:r>
              <w:rPr>
                <w:lang w:val="en-US"/>
              </w:rPr>
              <w:t>ed</w:t>
            </w:r>
            <w:r w:rsidRPr="00A41B49">
              <w:rPr>
                <w:lang w:val="en-US"/>
              </w:rPr>
              <w:t xml:space="preserve"> by other co-formulants present in the biocidal product, a blank (product without iodine) was quantify.</w:t>
            </w:r>
          </w:p>
          <w:p w14:paraId="3464385F" w14:textId="77777777" w:rsidR="00E353FD" w:rsidRPr="00A41B49" w:rsidRDefault="00E353FD" w:rsidP="00E353FD">
            <w:pPr>
              <w:spacing w:line="288" w:lineRule="auto"/>
              <w:rPr>
                <w:lang w:val="en-US"/>
              </w:rPr>
            </w:pPr>
            <w:r w:rsidRPr="00A41B49">
              <w:rPr>
                <w:lang w:val="en-US"/>
              </w:rPr>
              <w:t>No interference was found in the blank sample.</w:t>
            </w:r>
          </w:p>
        </w:tc>
      </w:tr>
      <w:tr w:rsidR="00E353FD" w:rsidRPr="00A41B49" w14:paraId="62D7EBF4" w14:textId="77777777" w:rsidTr="00680CE7">
        <w:trPr>
          <w:cantSplit/>
          <w:trHeight w:val="162"/>
        </w:trPr>
        <w:tc>
          <w:tcPr>
            <w:tcW w:w="1974" w:type="dxa"/>
            <w:tcBorders>
              <w:top w:val="single" w:sz="6" w:space="0" w:color="auto"/>
              <w:left w:val="single" w:sz="6" w:space="0" w:color="auto"/>
              <w:right w:val="double" w:sz="4" w:space="0" w:color="auto"/>
            </w:tcBorders>
            <w:hideMark/>
          </w:tcPr>
          <w:p w14:paraId="5CF8F582" w14:textId="77777777" w:rsidR="00E353FD" w:rsidRPr="00A41B49" w:rsidRDefault="00E353FD" w:rsidP="00E353FD">
            <w:pPr>
              <w:spacing w:line="288" w:lineRule="auto"/>
            </w:pPr>
            <w:r w:rsidRPr="00A41B49">
              <w:lastRenderedPageBreak/>
              <w:t>Linearity</w:t>
            </w:r>
          </w:p>
        </w:tc>
        <w:tc>
          <w:tcPr>
            <w:tcW w:w="12924" w:type="dxa"/>
            <w:gridSpan w:val="2"/>
            <w:tcBorders>
              <w:top w:val="single" w:sz="6" w:space="0" w:color="auto"/>
              <w:left w:val="double" w:sz="4" w:space="0" w:color="auto"/>
              <w:bottom w:val="single" w:sz="4" w:space="0" w:color="auto"/>
              <w:right w:val="single" w:sz="6" w:space="0" w:color="auto"/>
            </w:tcBorders>
            <w:hideMark/>
          </w:tcPr>
          <w:p w14:paraId="55EF7516" w14:textId="70AEA1DB" w:rsidR="00E353FD" w:rsidRPr="00A41B49" w:rsidRDefault="00E353FD" w:rsidP="00E353FD">
            <w:pPr>
              <w:spacing w:line="288" w:lineRule="auto"/>
              <w:rPr>
                <w:lang w:val="en-US"/>
              </w:rPr>
            </w:pPr>
            <w:r w:rsidRPr="00A41B49">
              <w:rPr>
                <w:lang w:val="en-US"/>
              </w:rPr>
              <w:t>11 samples were injected, covered the range from 0.00 to 20.0 g/L of PVPi (corresponding to 0.00 to 2020 ppm of active iodine)</w:t>
            </w:r>
          </w:p>
          <w:p w14:paraId="5E6BA64E" w14:textId="3916E692" w:rsidR="00E353FD" w:rsidRPr="00A41B49" w:rsidRDefault="00E353FD" w:rsidP="00B72962">
            <w:pPr>
              <w:spacing w:line="288" w:lineRule="auto"/>
              <w:rPr>
                <w:lang w:val="en-US"/>
              </w:rPr>
            </w:pPr>
            <w:r w:rsidRPr="00A41B49">
              <w:rPr>
                <w:lang w:val="en-US"/>
              </w:rPr>
              <w:t>R²=0.9959, Y=104.32X-41.136</w:t>
            </w:r>
          </w:p>
        </w:tc>
      </w:tr>
      <w:tr w:rsidR="00E353FD" w:rsidRPr="00A41B49" w14:paraId="15115203" w14:textId="77777777" w:rsidTr="00680CE7">
        <w:trPr>
          <w:cantSplit/>
          <w:trHeight w:val="38"/>
        </w:trPr>
        <w:tc>
          <w:tcPr>
            <w:tcW w:w="1974" w:type="dxa"/>
            <w:vMerge w:val="restart"/>
            <w:tcBorders>
              <w:top w:val="single" w:sz="6" w:space="0" w:color="auto"/>
              <w:left w:val="single" w:sz="6" w:space="0" w:color="auto"/>
              <w:bottom w:val="single" w:sz="6" w:space="0" w:color="auto"/>
              <w:right w:val="double" w:sz="4" w:space="0" w:color="auto"/>
            </w:tcBorders>
            <w:hideMark/>
          </w:tcPr>
          <w:p w14:paraId="1083E5E1" w14:textId="77777777" w:rsidR="00E353FD" w:rsidRPr="00A41B49" w:rsidRDefault="00E353FD" w:rsidP="00E353FD">
            <w:pPr>
              <w:spacing w:line="288" w:lineRule="auto"/>
            </w:pPr>
            <w:r w:rsidRPr="00A41B49">
              <w:t>Precision</w:t>
            </w:r>
          </w:p>
        </w:tc>
        <w:tc>
          <w:tcPr>
            <w:tcW w:w="12924" w:type="dxa"/>
            <w:gridSpan w:val="2"/>
            <w:tcBorders>
              <w:top w:val="single" w:sz="6" w:space="0" w:color="auto"/>
              <w:left w:val="double" w:sz="4" w:space="0" w:color="auto"/>
              <w:bottom w:val="single" w:sz="4" w:space="0" w:color="auto"/>
              <w:right w:val="single" w:sz="6" w:space="0" w:color="auto"/>
            </w:tcBorders>
            <w:hideMark/>
          </w:tcPr>
          <w:p w14:paraId="2F16B458" w14:textId="70E87FF8" w:rsidR="00E353FD" w:rsidRPr="00A41B49" w:rsidRDefault="00E353FD" w:rsidP="00B72962">
            <w:pPr>
              <w:spacing w:line="288" w:lineRule="auto"/>
              <w:rPr>
                <w:lang w:val="en-US"/>
              </w:rPr>
            </w:pPr>
            <w:r w:rsidRPr="00A41B49">
              <w:rPr>
                <w:lang w:val="en-US"/>
              </w:rPr>
              <w:t>Repeatability was evaluated with 10 independent determinations of the formulated product, no outlier.</w:t>
            </w:r>
          </w:p>
        </w:tc>
      </w:tr>
      <w:tr w:rsidR="00E353FD" w:rsidRPr="00A41B49" w14:paraId="45051FCC" w14:textId="77777777" w:rsidTr="00680CE7">
        <w:trPr>
          <w:cantSplit/>
          <w:trHeight w:val="186"/>
        </w:trPr>
        <w:tc>
          <w:tcPr>
            <w:tcW w:w="1974" w:type="dxa"/>
            <w:vMerge/>
            <w:tcBorders>
              <w:top w:val="single" w:sz="6" w:space="0" w:color="auto"/>
              <w:left w:val="single" w:sz="6" w:space="0" w:color="auto"/>
              <w:bottom w:val="single" w:sz="6" w:space="0" w:color="auto"/>
              <w:right w:val="double" w:sz="4" w:space="0" w:color="auto"/>
            </w:tcBorders>
            <w:vAlign w:val="center"/>
            <w:hideMark/>
          </w:tcPr>
          <w:p w14:paraId="5483FFDA" w14:textId="77777777" w:rsidR="00E353FD" w:rsidRPr="00A41B49" w:rsidRDefault="00E353FD" w:rsidP="00E353FD">
            <w:pPr>
              <w:rPr>
                <w:lang w:val="en-US"/>
              </w:rPr>
            </w:pPr>
          </w:p>
        </w:tc>
        <w:tc>
          <w:tcPr>
            <w:tcW w:w="2603" w:type="dxa"/>
            <w:tcBorders>
              <w:top w:val="single" w:sz="4" w:space="0" w:color="auto"/>
              <w:left w:val="double" w:sz="4" w:space="0" w:color="auto"/>
              <w:bottom w:val="single" w:sz="4" w:space="0" w:color="auto"/>
              <w:right w:val="single" w:sz="4" w:space="0" w:color="auto"/>
            </w:tcBorders>
            <w:hideMark/>
          </w:tcPr>
          <w:p w14:paraId="66FB21F7" w14:textId="77777777" w:rsidR="00E353FD" w:rsidRPr="00A41B49" w:rsidRDefault="00E353FD" w:rsidP="00E353FD">
            <w:pPr>
              <w:widowControl w:val="0"/>
              <w:spacing w:before="40" w:after="40"/>
            </w:pPr>
            <w:r w:rsidRPr="00A41B49">
              <w:t>Compound</w:t>
            </w:r>
          </w:p>
        </w:tc>
        <w:tc>
          <w:tcPr>
            <w:tcW w:w="10321" w:type="dxa"/>
            <w:tcBorders>
              <w:top w:val="single" w:sz="4" w:space="0" w:color="auto"/>
              <w:left w:val="single" w:sz="4" w:space="0" w:color="auto"/>
              <w:bottom w:val="single" w:sz="4" w:space="0" w:color="auto"/>
              <w:right w:val="single" w:sz="6" w:space="0" w:color="auto"/>
            </w:tcBorders>
            <w:hideMark/>
          </w:tcPr>
          <w:p w14:paraId="4B52DD6B" w14:textId="77777777" w:rsidR="00E353FD" w:rsidRPr="00A41B49" w:rsidRDefault="00E353FD" w:rsidP="00E353FD">
            <w:pPr>
              <w:spacing w:before="40" w:after="40" w:line="288" w:lineRule="auto"/>
            </w:pPr>
            <w:r w:rsidRPr="00A41B49">
              <w:t>Repeatability (RSD)</w:t>
            </w:r>
          </w:p>
        </w:tc>
      </w:tr>
      <w:tr w:rsidR="00E353FD" w:rsidRPr="00A41B49" w14:paraId="5203345B" w14:textId="77777777" w:rsidTr="00680CE7">
        <w:trPr>
          <w:cantSplit/>
          <w:trHeight w:val="210"/>
        </w:trPr>
        <w:tc>
          <w:tcPr>
            <w:tcW w:w="1974" w:type="dxa"/>
            <w:vMerge/>
            <w:tcBorders>
              <w:top w:val="single" w:sz="6" w:space="0" w:color="auto"/>
              <w:left w:val="single" w:sz="6" w:space="0" w:color="auto"/>
              <w:bottom w:val="single" w:sz="6" w:space="0" w:color="auto"/>
              <w:right w:val="double" w:sz="4" w:space="0" w:color="auto"/>
            </w:tcBorders>
            <w:vAlign w:val="center"/>
            <w:hideMark/>
          </w:tcPr>
          <w:p w14:paraId="70A1AB59" w14:textId="77777777" w:rsidR="00E353FD" w:rsidRPr="00A41B49" w:rsidRDefault="00E353FD" w:rsidP="00E353FD"/>
        </w:tc>
        <w:tc>
          <w:tcPr>
            <w:tcW w:w="2603" w:type="dxa"/>
            <w:tcBorders>
              <w:top w:val="single" w:sz="4" w:space="0" w:color="auto"/>
              <w:left w:val="double" w:sz="4" w:space="0" w:color="auto"/>
              <w:bottom w:val="single" w:sz="6" w:space="0" w:color="auto"/>
              <w:right w:val="single" w:sz="4" w:space="0" w:color="auto"/>
            </w:tcBorders>
            <w:hideMark/>
          </w:tcPr>
          <w:p w14:paraId="05377829" w14:textId="77777777" w:rsidR="00E353FD" w:rsidRPr="00A41B49" w:rsidRDefault="00E353FD" w:rsidP="00E353FD">
            <w:pPr>
              <w:widowControl w:val="0"/>
              <w:spacing w:before="96" w:after="96"/>
              <w:rPr>
                <w:lang w:val="fr-FR"/>
              </w:rPr>
            </w:pPr>
            <w:r w:rsidRPr="00A41B49">
              <w:rPr>
                <w:lang w:val="fr-FR"/>
              </w:rPr>
              <w:t>Iodine</w:t>
            </w:r>
          </w:p>
        </w:tc>
        <w:tc>
          <w:tcPr>
            <w:tcW w:w="10321" w:type="dxa"/>
            <w:tcBorders>
              <w:top w:val="single" w:sz="4" w:space="0" w:color="auto"/>
              <w:left w:val="single" w:sz="4" w:space="0" w:color="auto"/>
              <w:bottom w:val="single" w:sz="6" w:space="0" w:color="auto"/>
              <w:right w:val="single" w:sz="6" w:space="0" w:color="auto"/>
            </w:tcBorders>
            <w:hideMark/>
          </w:tcPr>
          <w:p w14:paraId="3C097611" w14:textId="0A973B3D" w:rsidR="00E353FD" w:rsidRPr="00A41B49" w:rsidRDefault="00E353FD" w:rsidP="00B72962">
            <w:pPr>
              <w:spacing w:before="40" w:after="40" w:line="288" w:lineRule="auto"/>
              <w:rPr>
                <w:color w:val="000000"/>
              </w:rPr>
            </w:pPr>
            <w:r w:rsidRPr="00A41B49">
              <w:t xml:space="preserve">RSD = </w:t>
            </w:r>
            <w:r>
              <w:t>1.1</w:t>
            </w:r>
            <w:r w:rsidRPr="00A41B49">
              <w:t>% &lt; 3.63% (RSD calculated with modified equation of Horwitz)</w:t>
            </w:r>
          </w:p>
        </w:tc>
      </w:tr>
      <w:tr w:rsidR="00E353FD" w:rsidRPr="00A41B49" w14:paraId="0B5F354E" w14:textId="77777777" w:rsidTr="00680CE7">
        <w:trPr>
          <w:cantSplit/>
          <w:trHeight w:val="363"/>
        </w:trPr>
        <w:tc>
          <w:tcPr>
            <w:tcW w:w="1974" w:type="dxa"/>
            <w:vMerge w:val="restart"/>
            <w:tcBorders>
              <w:top w:val="single" w:sz="6" w:space="0" w:color="auto"/>
              <w:left w:val="single" w:sz="6" w:space="0" w:color="auto"/>
              <w:bottom w:val="single" w:sz="6" w:space="0" w:color="auto"/>
              <w:right w:val="double" w:sz="4" w:space="0" w:color="auto"/>
            </w:tcBorders>
            <w:hideMark/>
          </w:tcPr>
          <w:p w14:paraId="5FFC5A27" w14:textId="77777777" w:rsidR="00E353FD" w:rsidRPr="00A41B49" w:rsidRDefault="00E353FD" w:rsidP="00E353FD">
            <w:pPr>
              <w:spacing w:line="288" w:lineRule="auto"/>
            </w:pPr>
            <w:r w:rsidRPr="00A41B49">
              <w:t>Accuracy</w:t>
            </w:r>
          </w:p>
        </w:tc>
        <w:tc>
          <w:tcPr>
            <w:tcW w:w="12924" w:type="dxa"/>
            <w:gridSpan w:val="2"/>
            <w:tcBorders>
              <w:top w:val="single" w:sz="6" w:space="0" w:color="auto"/>
              <w:left w:val="double" w:sz="4" w:space="0" w:color="auto"/>
              <w:bottom w:val="single" w:sz="4" w:space="0" w:color="auto"/>
              <w:right w:val="single" w:sz="6" w:space="0" w:color="auto"/>
            </w:tcBorders>
            <w:hideMark/>
          </w:tcPr>
          <w:p w14:paraId="6F1B74DD" w14:textId="6DAFEAD0" w:rsidR="00E353FD" w:rsidRPr="00A41B49" w:rsidRDefault="00E353FD" w:rsidP="00B72962">
            <w:pPr>
              <w:spacing w:line="288" w:lineRule="auto"/>
              <w:rPr>
                <w:lang w:val="en-US"/>
              </w:rPr>
            </w:pPr>
            <w:r w:rsidRPr="00A41B49">
              <w:rPr>
                <w:lang w:val="en-US"/>
              </w:rPr>
              <w:t xml:space="preserve">Accuracy was determined by analysis of 10 independent determinations in which known amounts of the reference substance were added to a blank formulation. The accuracy results are expressed as the recovery rate. </w:t>
            </w:r>
          </w:p>
        </w:tc>
      </w:tr>
      <w:tr w:rsidR="00E353FD" w:rsidRPr="00A41B49" w14:paraId="77B22101" w14:textId="77777777" w:rsidTr="00680CE7">
        <w:trPr>
          <w:cantSplit/>
          <w:trHeight w:val="118"/>
        </w:trPr>
        <w:tc>
          <w:tcPr>
            <w:tcW w:w="1974" w:type="dxa"/>
            <w:vMerge/>
            <w:tcBorders>
              <w:top w:val="single" w:sz="6" w:space="0" w:color="auto"/>
              <w:left w:val="single" w:sz="6" w:space="0" w:color="auto"/>
              <w:bottom w:val="single" w:sz="6" w:space="0" w:color="auto"/>
              <w:right w:val="double" w:sz="4" w:space="0" w:color="auto"/>
            </w:tcBorders>
            <w:vAlign w:val="center"/>
            <w:hideMark/>
          </w:tcPr>
          <w:p w14:paraId="5E8C9DEB" w14:textId="77777777" w:rsidR="00E353FD" w:rsidRPr="00A41B49" w:rsidRDefault="00E353FD" w:rsidP="00E353FD">
            <w:pPr>
              <w:rPr>
                <w:lang w:val="en-US"/>
              </w:rPr>
            </w:pPr>
          </w:p>
        </w:tc>
        <w:tc>
          <w:tcPr>
            <w:tcW w:w="2603" w:type="dxa"/>
            <w:tcBorders>
              <w:top w:val="single" w:sz="4" w:space="0" w:color="auto"/>
              <w:left w:val="double" w:sz="4" w:space="0" w:color="auto"/>
              <w:bottom w:val="single" w:sz="4" w:space="0" w:color="auto"/>
              <w:right w:val="single" w:sz="4" w:space="0" w:color="auto"/>
            </w:tcBorders>
            <w:hideMark/>
          </w:tcPr>
          <w:p w14:paraId="53931D22" w14:textId="77777777" w:rsidR="00E353FD" w:rsidRPr="00A41B49" w:rsidRDefault="00E353FD" w:rsidP="00E353FD">
            <w:pPr>
              <w:widowControl w:val="0"/>
            </w:pPr>
            <w:r w:rsidRPr="00A41B49">
              <w:t>Compound</w:t>
            </w:r>
          </w:p>
        </w:tc>
        <w:tc>
          <w:tcPr>
            <w:tcW w:w="10321" w:type="dxa"/>
            <w:tcBorders>
              <w:top w:val="single" w:sz="4" w:space="0" w:color="auto"/>
              <w:left w:val="single" w:sz="4" w:space="0" w:color="auto"/>
              <w:bottom w:val="single" w:sz="4" w:space="0" w:color="auto"/>
              <w:right w:val="single" w:sz="6" w:space="0" w:color="auto"/>
            </w:tcBorders>
            <w:hideMark/>
          </w:tcPr>
          <w:p w14:paraId="4DD1763F" w14:textId="77777777" w:rsidR="00E353FD" w:rsidRPr="00A41B49" w:rsidRDefault="00E353FD" w:rsidP="00E353FD">
            <w:pPr>
              <w:spacing w:line="288" w:lineRule="auto"/>
            </w:pPr>
            <w:r w:rsidRPr="00A41B49">
              <w:t>Accuracy (recovery )</w:t>
            </w:r>
          </w:p>
        </w:tc>
      </w:tr>
      <w:tr w:rsidR="00E353FD" w:rsidRPr="00A41B49" w14:paraId="2EFA2796" w14:textId="77777777" w:rsidTr="00680CE7">
        <w:trPr>
          <w:cantSplit/>
          <w:trHeight w:val="59"/>
        </w:trPr>
        <w:tc>
          <w:tcPr>
            <w:tcW w:w="1974" w:type="dxa"/>
            <w:vMerge/>
            <w:tcBorders>
              <w:top w:val="single" w:sz="6" w:space="0" w:color="auto"/>
              <w:left w:val="single" w:sz="6" w:space="0" w:color="auto"/>
              <w:bottom w:val="single" w:sz="6" w:space="0" w:color="auto"/>
              <w:right w:val="double" w:sz="4" w:space="0" w:color="auto"/>
            </w:tcBorders>
            <w:vAlign w:val="center"/>
            <w:hideMark/>
          </w:tcPr>
          <w:p w14:paraId="07A92691" w14:textId="77777777" w:rsidR="00E353FD" w:rsidRPr="00A41B49" w:rsidRDefault="00E353FD" w:rsidP="00E353FD"/>
        </w:tc>
        <w:tc>
          <w:tcPr>
            <w:tcW w:w="2603" w:type="dxa"/>
            <w:tcBorders>
              <w:top w:val="single" w:sz="4" w:space="0" w:color="auto"/>
              <w:left w:val="double" w:sz="4" w:space="0" w:color="auto"/>
              <w:bottom w:val="single" w:sz="6" w:space="0" w:color="auto"/>
              <w:right w:val="single" w:sz="4" w:space="0" w:color="auto"/>
            </w:tcBorders>
            <w:hideMark/>
          </w:tcPr>
          <w:p w14:paraId="7F393E3F" w14:textId="77777777" w:rsidR="00E353FD" w:rsidRPr="00A41B49" w:rsidRDefault="00E353FD" w:rsidP="00E353FD">
            <w:pPr>
              <w:widowControl w:val="0"/>
              <w:rPr>
                <w:lang w:val="fr-FR"/>
              </w:rPr>
            </w:pPr>
            <w:r w:rsidRPr="00A41B49">
              <w:rPr>
                <w:lang w:val="fr-FR"/>
              </w:rPr>
              <w:t>Iodine</w:t>
            </w:r>
          </w:p>
        </w:tc>
        <w:tc>
          <w:tcPr>
            <w:tcW w:w="10321" w:type="dxa"/>
            <w:tcBorders>
              <w:top w:val="single" w:sz="4" w:space="0" w:color="auto"/>
              <w:left w:val="single" w:sz="4" w:space="0" w:color="auto"/>
              <w:bottom w:val="single" w:sz="6" w:space="0" w:color="auto"/>
              <w:right w:val="single" w:sz="6" w:space="0" w:color="auto"/>
            </w:tcBorders>
            <w:hideMark/>
          </w:tcPr>
          <w:p w14:paraId="5215F238" w14:textId="5A648117" w:rsidR="00E353FD" w:rsidRPr="00A41B49" w:rsidRDefault="00E353FD" w:rsidP="00E353FD">
            <w:pPr>
              <w:spacing w:line="288" w:lineRule="auto"/>
              <w:rPr>
                <w:lang w:val="en-US"/>
              </w:rPr>
            </w:pPr>
            <w:r w:rsidRPr="00A41B49">
              <w:rPr>
                <w:spacing w:val="-2"/>
              </w:rPr>
              <w:t>100.0%</w:t>
            </w:r>
          </w:p>
        </w:tc>
      </w:tr>
    </w:tbl>
    <w:p w14:paraId="4DCD65C8" w14:textId="77777777" w:rsidR="00E353FD" w:rsidRDefault="00E353FD" w:rsidP="00E353FD">
      <w:pPr>
        <w:pStyle w:val="Absatz"/>
        <w:rPr>
          <w:lang w:val="de-DE"/>
        </w:rPr>
      </w:pPr>
    </w:p>
    <w:p w14:paraId="5BC67DA6" w14:textId="3ED1788A" w:rsidR="00E353FD" w:rsidRDefault="00E353FD" w:rsidP="00E353FD">
      <w:pPr>
        <w:spacing w:before="60" w:after="60"/>
        <w:rPr>
          <w:rFonts w:ascii="Arial" w:hAnsi="Arial" w:cs="Arial"/>
          <w:b/>
          <w:sz w:val="18"/>
        </w:rPr>
      </w:pPr>
    </w:p>
    <w:p w14:paraId="537941C3" w14:textId="77777777" w:rsidR="00FD1859" w:rsidRDefault="00FD1859" w:rsidP="00FD1859">
      <w:r>
        <w:rPr>
          <w:u w:val="single"/>
        </w:rPr>
        <w:t>Method from Défitraces</w:t>
      </w:r>
    </w:p>
    <w:tbl>
      <w:tblPr>
        <w:tblW w:w="1488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067"/>
        <w:gridCol w:w="11817"/>
      </w:tblGrid>
      <w:tr w:rsidR="00B72962" w:rsidRPr="00A41B49" w14:paraId="217E24BA" w14:textId="77777777" w:rsidTr="00680CE7">
        <w:trPr>
          <w:trHeight w:val="186"/>
        </w:trPr>
        <w:tc>
          <w:tcPr>
            <w:tcW w:w="3067" w:type="dxa"/>
            <w:tcBorders>
              <w:right w:val="single" w:sz="4" w:space="0" w:color="auto"/>
            </w:tcBorders>
            <w:shd w:val="clear" w:color="auto" w:fill="auto"/>
          </w:tcPr>
          <w:p w14:paraId="51116F83" w14:textId="77777777" w:rsidR="00B72962" w:rsidRPr="00A41B49" w:rsidRDefault="00B72962" w:rsidP="00261A29">
            <w:pPr>
              <w:pStyle w:val="OECD-table"/>
              <w:rPr>
                <w:rFonts w:ascii="Verdana" w:hAnsi="Verdana"/>
                <w:b/>
                <w:sz w:val="20"/>
                <w:szCs w:val="20"/>
              </w:rPr>
            </w:pPr>
            <w:r w:rsidRPr="00A41B49">
              <w:rPr>
                <w:rFonts w:ascii="Verdana" w:hAnsi="Verdana"/>
                <w:b/>
                <w:sz w:val="20"/>
                <w:szCs w:val="20"/>
              </w:rPr>
              <w:t>Report:</w:t>
            </w:r>
          </w:p>
        </w:tc>
        <w:tc>
          <w:tcPr>
            <w:tcW w:w="11817" w:type="dxa"/>
            <w:tcBorders>
              <w:left w:val="single" w:sz="4" w:space="0" w:color="auto"/>
            </w:tcBorders>
            <w:shd w:val="clear" w:color="auto" w:fill="auto"/>
          </w:tcPr>
          <w:p w14:paraId="24EFE057" w14:textId="3AEC7DD2" w:rsidR="00B72962" w:rsidRPr="00A41B49" w:rsidRDefault="00DA17DA" w:rsidP="00261A29">
            <w:pPr>
              <w:rPr>
                <w:lang w:val="fr-FR"/>
              </w:rPr>
            </w:pPr>
            <w:r>
              <w:rPr>
                <w:lang w:val="fr-FR"/>
              </w:rPr>
              <w:t>Ricau H.</w:t>
            </w:r>
            <w:r w:rsidR="00B72962">
              <w:rPr>
                <w:lang w:val="fr-FR"/>
              </w:rPr>
              <w:t>, 2020</w:t>
            </w:r>
          </w:p>
        </w:tc>
      </w:tr>
      <w:tr w:rsidR="00B72962" w:rsidRPr="00C1749F" w14:paraId="491329C4" w14:textId="77777777" w:rsidTr="00680CE7">
        <w:trPr>
          <w:trHeight w:val="178"/>
        </w:trPr>
        <w:tc>
          <w:tcPr>
            <w:tcW w:w="3067" w:type="dxa"/>
            <w:tcBorders>
              <w:right w:val="single" w:sz="4" w:space="0" w:color="auto"/>
            </w:tcBorders>
            <w:shd w:val="clear" w:color="auto" w:fill="auto"/>
          </w:tcPr>
          <w:p w14:paraId="7F53B31B" w14:textId="77777777" w:rsidR="00B72962" w:rsidRPr="00A41B49" w:rsidRDefault="00B72962" w:rsidP="00261A29">
            <w:pPr>
              <w:pStyle w:val="OECD-table"/>
              <w:jc w:val="both"/>
              <w:rPr>
                <w:rFonts w:ascii="Verdana" w:hAnsi="Verdana"/>
                <w:sz w:val="20"/>
                <w:szCs w:val="20"/>
                <w:lang w:val="fr-FR"/>
              </w:rPr>
            </w:pPr>
            <w:r w:rsidRPr="00A41B49">
              <w:rPr>
                <w:rFonts w:ascii="Verdana" w:hAnsi="Verdana"/>
                <w:sz w:val="20"/>
                <w:szCs w:val="20"/>
                <w:lang w:val="fr-FR"/>
              </w:rPr>
              <w:t>Title:</w:t>
            </w:r>
          </w:p>
        </w:tc>
        <w:tc>
          <w:tcPr>
            <w:tcW w:w="11817" w:type="dxa"/>
            <w:tcBorders>
              <w:left w:val="single" w:sz="4" w:space="0" w:color="auto"/>
            </w:tcBorders>
            <w:shd w:val="clear" w:color="auto" w:fill="auto"/>
          </w:tcPr>
          <w:p w14:paraId="490B1436" w14:textId="77777777" w:rsidR="00B72962" w:rsidRPr="00C1749F" w:rsidRDefault="00B72962" w:rsidP="00261A29">
            <w:pPr>
              <w:autoSpaceDE w:val="0"/>
              <w:autoSpaceDN w:val="0"/>
              <w:adjustRightInd w:val="0"/>
              <w:rPr>
                <w:bCs/>
                <w:lang w:val="en-US"/>
              </w:rPr>
            </w:pPr>
            <w:r w:rsidRPr="00C1749F">
              <w:rPr>
                <w:color w:val="000000"/>
                <w:lang w:val="en-US"/>
              </w:rPr>
              <w:t>Validation of the analytical method for the</w:t>
            </w:r>
            <w:r>
              <w:rPr>
                <w:color w:val="000000"/>
                <w:lang w:val="en-US"/>
              </w:rPr>
              <w:t xml:space="preserve"> </w:t>
            </w:r>
            <w:r w:rsidRPr="00C1749F">
              <w:rPr>
                <w:color w:val="000000"/>
                <w:lang w:val="en-US"/>
              </w:rPr>
              <w:t xml:space="preserve">determination of </w:t>
            </w:r>
            <w:r>
              <w:rPr>
                <w:color w:val="000000"/>
                <w:lang w:val="en-US"/>
              </w:rPr>
              <w:t xml:space="preserve">diode </w:t>
            </w:r>
            <w:r w:rsidRPr="00C1749F">
              <w:rPr>
                <w:color w:val="000000"/>
                <w:lang w:val="en-US"/>
              </w:rPr>
              <w:t>in IODIGUARD</w:t>
            </w:r>
          </w:p>
        </w:tc>
      </w:tr>
      <w:tr w:rsidR="00B72962" w:rsidRPr="00A41B49" w14:paraId="4E3ECF54" w14:textId="77777777" w:rsidTr="00680CE7">
        <w:trPr>
          <w:trHeight w:val="186"/>
        </w:trPr>
        <w:tc>
          <w:tcPr>
            <w:tcW w:w="3067" w:type="dxa"/>
            <w:tcBorders>
              <w:right w:val="single" w:sz="4" w:space="0" w:color="auto"/>
            </w:tcBorders>
            <w:shd w:val="clear" w:color="auto" w:fill="auto"/>
          </w:tcPr>
          <w:p w14:paraId="7F362F59" w14:textId="77777777" w:rsidR="00B72962" w:rsidRPr="00A41B49" w:rsidRDefault="00B72962" w:rsidP="00261A29">
            <w:pPr>
              <w:pStyle w:val="OECD-table"/>
              <w:rPr>
                <w:rFonts w:ascii="Verdana" w:hAnsi="Verdana"/>
                <w:sz w:val="20"/>
                <w:szCs w:val="20"/>
                <w:lang w:val="fr-FR"/>
              </w:rPr>
            </w:pPr>
            <w:r w:rsidRPr="00A41B49">
              <w:rPr>
                <w:rFonts w:ascii="Verdana" w:hAnsi="Verdana"/>
                <w:sz w:val="20"/>
                <w:szCs w:val="20"/>
                <w:lang w:val="fr-FR"/>
              </w:rPr>
              <w:t>Document No</w:t>
            </w:r>
          </w:p>
        </w:tc>
        <w:tc>
          <w:tcPr>
            <w:tcW w:w="11817" w:type="dxa"/>
            <w:tcBorders>
              <w:left w:val="single" w:sz="4" w:space="0" w:color="auto"/>
            </w:tcBorders>
            <w:shd w:val="clear" w:color="auto" w:fill="auto"/>
          </w:tcPr>
          <w:p w14:paraId="5CC35FCB" w14:textId="77777777" w:rsidR="00B72962" w:rsidRPr="00A41B49" w:rsidRDefault="00B72962" w:rsidP="00261A29">
            <w:pPr>
              <w:pStyle w:val="OECD-table"/>
              <w:rPr>
                <w:rFonts w:ascii="Verdana" w:hAnsi="Verdana"/>
                <w:sz w:val="20"/>
                <w:szCs w:val="20"/>
                <w:lang w:val="fr-FR"/>
              </w:rPr>
            </w:pPr>
            <w:r w:rsidRPr="00096A18">
              <w:rPr>
                <w:rFonts w:ascii="Verdana" w:hAnsi="Verdana"/>
                <w:sz w:val="20"/>
                <w:szCs w:val="20"/>
                <w:lang w:val="fr-FR"/>
              </w:rPr>
              <w:t>20-912017-002</w:t>
            </w:r>
          </w:p>
        </w:tc>
      </w:tr>
      <w:tr w:rsidR="00B72962" w:rsidRPr="00C1749F" w14:paraId="4E5EC116" w14:textId="77777777" w:rsidTr="00680CE7">
        <w:trPr>
          <w:trHeight w:val="344"/>
        </w:trPr>
        <w:tc>
          <w:tcPr>
            <w:tcW w:w="3067" w:type="dxa"/>
            <w:tcBorders>
              <w:right w:val="single" w:sz="4" w:space="0" w:color="auto"/>
            </w:tcBorders>
            <w:shd w:val="clear" w:color="auto" w:fill="auto"/>
          </w:tcPr>
          <w:p w14:paraId="5AA4A886" w14:textId="77777777" w:rsidR="00B72962" w:rsidRPr="00A41B49" w:rsidRDefault="00B72962" w:rsidP="00261A29">
            <w:pPr>
              <w:pStyle w:val="OECD-table"/>
              <w:rPr>
                <w:rFonts w:ascii="Verdana" w:hAnsi="Verdana"/>
                <w:sz w:val="20"/>
                <w:szCs w:val="20"/>
                <w:lang w:val="fr-FR"/>
              </w:rPr>
            </w:pPr>
            <w:r w:rsidRPr="00A41B49">
              <w:rPr>
                <w:rFonts w:ascii="Verdana" w:hAnsi="Verdana"/>
                <w:sz w:val="20"/>
                <w:szCs w:val="20"/>
                <w:lang w:val="fr-FR"/>
              </w:rPr>
              <w:t>Test facility</w:t>
            </w:r>
          </w:p>
        </w:tc>
        <w:tc>
          <w:tcPr>
            <w:tcW w:w="11817" w:type="dxa"/>
            <w:tcBorders>
              <w:left w:val="single" w:sz="4" w:space="0" w:color="auto"/>
            </w:tcBorders>
            <w:shd w:val="clear" w:color="auto" w:fill="auto"/>
          </w:tcPr>
          <w:p w14:paraId="79E202CE" w14:textId="77777777" w:rsidR="00B72962" w:rsidRPr="00096A18" w:rsidRDefault="00B72962" w:rsidP="00261A29">
            <w:pPr>
              <w:pStyle w:val="OECD-table"/>
              <w:rPr>
                <w:rFonts w:ascii="Verdana" w:hAnsi="Verdana"/>
                <w:sz w:val="20"/>
                <w:szCs w:val="20"/>
                <w:lang w:val="fr-FR"/>
              </w:rPr>
            </w:pPr>
            <w:r w:rsidRPr="00096A18">
              <w:rPr>
                <w:rFonts w:ascii="Verdana" w:hAnsi="Verdana"/>
                <w:sz w:val="20"/>
                <w:szCs w:val="20"/>
                <w:lang w:val="fr-FR"/>
              </w:rPr>
              <w:t>DEFITRACES</w:t>
            </w:r>
          </w:p>
          <w:p w14:paraId="6E9288C7" w14:textId="77777777" w:rsidR="00B72962" w:rsidRPr="00096A18" w:rsidRDefault="00B72962" w:rsidP="00261A29">
            <w:pPr>
              <w:pStyle w:val="OECD-table"/>
              <w:rPr>
                <w:rFonts w:ascii="Verdana" w:hAnsi="Verdana"/>
                <w:sz w:val="20"/>
                <w:szCs w:val="20"/>
                <w:lang w:val="fr-FR"/>
              </w:rPr>
            </w:pPr>
            <w:r w:rsidRPr="00096A18">
              <w:rPr>
                <w:rFonts w:ascii="Verdana" w:hAnsi="Verdana"/>
                <w:sz w:val="20"/>
                <w:szCs w:val="20"/>
                <w:lang w:val="fr-FR"/>
              </w:rPr>
              <w:t>Z.A. des Andrés</w:t>
            </w:r>
          </w:p>
          <w:p w14:paraId="06962286" w14:textId="77777777" w:rsidR="00B72962" w:rsidRPr="00096A18" w:rsidRDefault="00B72962" w:rsidP="00261A29">
            <w:pPr>
              <w:pStyle w:val="OECD-table"/>
              <w:rPr>
                <w:rFonts w:ascii="Verdana" w:hAnsi="Verdana"/>
                <w:sz w:val="20"/>
                <w:szCs w:val="20"/>
                <w:lang w:val="fr-FR"/>
              </w:rPr>
            </w:pPr>
            <w:r w:rsidRPr="00096A18">
              <w:rPr>
                <w:rFonts w:ascii="Verdana" w:hAnsi="Verdana"/>
                <w:sz w:val="20"/>
                <w:szCs w:val="20"/>
                <w:lang w:val="fr-FR"/>
              </w:rPr>
              <w:t>150, rue Pré-Magne</w:t>
            </w:r>
          </w:p>
          <w:p w14:paraId="48B71544" w14:textId="77777777" w:rsidR="00B72962" w:rsidRPr="00096A18" w:rsidRDefault="00B72962" w:rsidP="00261A29">
            <w:pPr>
              <w:pStyle w:val="OECD-table"/>
              <w:rPr>
                <w:rFonts w:ascii="Verdana" w:hAnsi="Verdana"/>
                <w:sz w:val="20"/>
                <w:szCs w:val="20"/>
                <w:lang w:val="fr-FR"/>
              </w:rPr>
            </w:pPr>
            <w:r w:rsidRPr="00096A18">
              <w:rPr>
                <w:rFonts w:ascii="Verdana" w:hAnsi="Verdana"/>
                <w:sz w:val="20"/>
                <w:szCs w:val="20"/>
                <w:lang w:val="fr-FR"/>
              </w:rPr>
              <w:t>69126 BRINDAS</w:t>
            </w:r>
          </w:p>
          <w:p w14:paraId="32B7C073" w14:textId="77777777" w:rsidR="00B72962" w:rsidRPr="00A41B49" w:rsidRDefault="00B72962" w:rsidP="00261A29">
            <w:pPr>
              <w:pStyle w:val="OECD-table"/>
              <w:rPr>
                <w:rFonts w:ascii="Verdana" w:hAnsi="Verdana"/>
                <w:sz w:val="20"/>
                <w:szCs w:val="20"/>
                <w:lang w:val="fr-FR"/>
              </w:rPr>
            </w:pPr>
            <w:r w:rsidRPr="00096A18">
              <w:rPr>
                <w:rFonts w:ascii="Verdana" w:hAnsi="Verdana"/>
                <w:sz w:val="20"/>
                <w:szCs w:val="20"/>
                <w:lang w:val="fr-FR"/>
              </w:rPr>
              <w:t>FRANCE</w:t>
            </w:r>
          </w:p>
        </w:tc>
      </w:tr>
      <w:tr w:rsidR="00B72962" w:rsidRPr="00A41B49" w14:paraId="66770020" w14:textId="77777777" w:rsidTr="00680CE7">
        <w:trPr>
          <w:trHeight w:val="186"/>
        </w:trPr>
        <w:tc>
          <w:tcPr>
            <w:tcW w:w="3067" w:type="dxa"/>
            <w:tcBorders>
              <w:right w:val="single" w:sz="4" w:space="0" w:color="auto"/>
            </w:tcBorders>
            <w:shd w:val="clear" w:color="auto" w:fill="auto"/>
          </w:tcPr>
          <w:p w14:paraId="24224382" w14:textId="77777777" w:rsidR="00B72962" w:rsidRPr="00A41B49" w:rsidRDefault="00B72962" w:rsidP="00261A29">
            <w:pPr>
              <w:pStyle w:val="OECD-table"/>
              <w:rPr>
                <w:rFonts w:ascii="Verdana" w:hAnsi="Verdana"/>
                <w:sz w:val="20"/>
                <w:szCs w:val="20"/>
              </w:rPr>
            </w:pPr>
            <w:r w:rsidRPr="00A41B49">
              <w:rPr>
                <w:rFonts w:ascii="Verdana" w:hAnsi="Verdana"/>
                <w:sz w:val="20"/>
                <w:szCs w:val="20"/>
              </w:rPr>
              <w:t>Guidelines:</w:t>
            </w:r>
          </w:p>
        </w:tc>
        <w:tc>
          <w:tcPr>
            <w:tcW w:w="11817" w:type="dxa"/>
            <w:tcBorders>
              <w:left w:val="single" w:sz="4" w:space="0" w:color="auto"/>
            </w:tcBorders>
            <w:shd w:val="clear" w:color="auto" w:fill="auto"/>
          </w:tcPr>
          <w:p w14:paraId="518495E3" w14:textId="77777777" w:rsidR="00B72962" w:rsidRPr="00A41B49" w:rsidRDefault="00B72962" w:rsidP="00261A29">
            <w:pPr>
              <w:pStyle w:val="OECD-table"/>
              <w:rPr>
                <w:rFonts w:ascii="Verdana" w:hAnsi="Verdana"/>
                <w:sz w:val="20"/>
                <w:szCs w:val="20"/>
              </w:rPr>
            </w:pPr>
            <w:r w:rsidRPr="00A41B49">
              <w:rPr>
                <w:rFonts w:ascii="Verdana" w:hAnsi="Verdana"/>
                <w:sz w:val="20"/>
                <w:szCs w:val="20"/>
              </w:rPr>
              <w:t>-</w:t>
            </w:r>
          </w:p>
        </w:tc>
      </w:tr>
      <w:tr w:rsidR="00B72962" w:rsidRPr="00A41B49" w14:paraId="07869A5C" w14:textId="77777777" w:rsidTr="00680CE7">
        <w:trPr>
          <w:trHeight w:val="178"/>
        </w:trPr>
        <w:tc>
          <w:tcPr>
            <w:tcW w:w="3067" w:type="dxa"/>
            <w:tcBorders>
              <w:right w:val="single" w:sz="4" w:space="0" w:color="auto"/>
            </w:tcBorders>
            <w:shd w:val="clear" w:color="auto" w:fill="auto"/>
          </w:tcPr>
          <w:p w14:paraId="7E4CC395" w14:textId="77777777" w:rsidR="00B72962" w:rsidRPr="00A41B49" w:rsidRDefault="00B72962" w:rsidP="00261A29">
            <w:pPr>
              <w:pStyle w:val="OECD-table"/>
              <w:rPr>
                <w:rFonts w:ascii="Verdana" w:hAnsi="Verdana"/>
                <w:sz w:val="20"/>
                <w:szCs w:val="20"/>
              </w:rPr>
            </w:pPr>
            <w:r w:rsidRPr="00A41B49">
              <w:rPr>
                <w:rFonts w:ascii="Verdana" w:hAnsi="Verdana"/>
                <w:sz w:val="20"/>
                <w:szCs w:val="20"/>
              </w:rPr>
              <w:t>GLP</w:t>
            </w:r>
          </w:p>
        </w:tc>
        <w:tc>
          <w:tcPr>
            <w:tcW w:w="11817" w:type="dxa"/>
            <w:tcBorders>
              <w:left w:val="single" w:sz="4" w:space="0" w:color="auto"/>
            </w:tcBorders>
            <w:shd w:val="clear" w:color="auto" w:fill="auto"/>
          </w:tcPr>
          <w:p w14:paraId="61F823E9" w14:textId="77777777" w:rsidR="00B72962" w:rsidRPr="00A41B49" w:rsidRDefault="00B72962" w:rsidP="00261A29">
            <w:pPr>
              <w:pStyle w:val="OECD-table"/>
              <w:rPr>
                <w:rFonts w:ascii="Verdana" w:hAnsi="Verdana"/>
                <w:sz w:val="20"/>
                <w:szCs w:val="20"/>
              </w:rPr>
            </w:pPr>
            <w:r>
              <w:rPr>
                <w:rFonts w:ascii="Verdana" w:hAnsi="Verdana"/>
                <w:sz w:val="20"/>
                <w:szCs w:val="20"/>
              </w:rPr>
              <w:t>Yes</w:t>
            </w:r>
          </w:p>
        </w:tc>
      </w:tr>
    </w:tbl>
    <w:p w14:paraId="0FB5782A" w14:textId="77777777" w:rsidR="00B72962" w:rsidRDefault="00B72962" w:rsidP="00680CE7">
      <w:pPr>
        <w:jc w:val="both"/>
      </w:pPr>
    </w:p>
    <w:tbl>
      <w:tblPr>
        <w:tblW w:w="1488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067"/>
        <w:gridCol w:w="11817"/>
      </w:tblGrid>
      <w:tr w:rsidR="00B72962" w:rsidRPr="00A41B49" w14:paraId="2FA88F6F" w14:textId="77777777" w:rsidTr="00261A29">
        <w:trPr>
          <w:trHeight w:val="186"/>
        </w:trPr>
        <w:tc>
          <w:tcPr>
            <w:tcW w:w="3067" w:type="dxa"/>
            <w:tcBorders>
              <w:right w:val="single" w:sz="4" w:space="0" w:color="auto"/>
            </w:tcBorders>
            <w:shd w:val="clear" w:color="auto" w:fill="auto"/>
          </w:tcPr>
          <w:p w14:paraId="00B4A93C" w14:textId="77777777" w:rsidR="00B72962" w:rsidRPr="00A41B49" w:rsidRDefault="00B72962" w:rsidP="00261A29">
            <w:pPr>
              <w:pStyle w:val="OECD-table"/>
              <w:rPr>
                <w:rFonts w:ascii="Verdana" w:hAnsi="Verdana"/>
                <w:b/>
                <w:sz w:val="20"/>
                <w:szCs w:val="20"/>
              </w:rPr>
            </w:pPr>
            <w:r w:rsidRPr="00A41B49">
              <w:rPr>
                <w:rFonts w:ascii="Verdana" w:hAnsi="Verdana"/>
                <w:b/>
                <w:sz w:val="20"/>
                <w:szCs w:val="20"/>
              </w:rPr>
              <w:lastRenderedPageBreak/>
              <w:t>Report:</w:t>
            </w:r>
          </w:p>
        </w:tc>
        <w:tc>
          <w:tcPr>
            <w:tcW w:w="11817" w:type="dxa"/>
            <w:tcBorders>
              <w:left w:val="single" w:sz="4" w:space="0" w:color="auto"/>
            </w:tcBorders>
            <w:shd w:val="clear" w:color="auto" w:fill="auto"/>
          </w:tcPr>
          <w:p w14:paraId="2DCD14ED" w14:textId="66BBFDA6" w:rsidR="00B72962" w:rsidRPr="00A41B49" w:rsidRDefault="002C4B6A" w:rsidP="00261A29">
            <w:pPr>
              <w:rPr>
                <w:lang w:val="fr-FR"/>
              </w:rPr>
            </w:pPr>
            <w:r>
              <w:rPr>
                <w:lang w:val="fr-FR"/>
              </w:rPr>
              <w:t>Ricau H.</w:t>
            </w:r>
            <w:r w:rsidR="00B72962">
              <w:rPr>
                <w:lang w:val="fr-FR"/>
              </w:rPr>
              <w:t>, 2020</w:t>
            </w:r>
          </w:p>
        </w:tc>
      </w:tr>
      <w:tr w:rsidR="00B72962" w:rsidRPr="00C1749F" w14:paraId="2C630176" w14:textId="77777777" w:rsidTr="00261A29">
        <w:trPr>
          <w:trHeight w:val="178"/>
        </w:trPr>
        <w:tc>
          <w:tcPr>
            <w:tcW w:w="3067" w:type="dxa"/>
            <w:tcBorders>
              <w:right w:val="single" w:sz="4" w:space="0" w:color="auto"/>
            </w:tcBorders>
            <w:shd w:val="clear" w:color="auto" w:fill="auto"/>
          </w:tcPr>
          <w:p w14:paraId="7093514D" w14:textId="77777777" w:rsidR="00B72962" w:rsidRPr="00A41B49" w:rsidRDefault="00B72962" w:rsidP="00261A29">
            <w:pPr>
              <w:pStyle w:val="OECD-table"/>
              <w:jc w:val="both"/>
              <w:rPr>
                <w:rFonts w:ascii="Verdana" w:hAnsi="Verdana"/>
                <w:sz w:val="20"/>
                <w:szCs w:val="20"/>
                <w:lang w:val="fr-FR"/>
              </w:rPr>
            </w:pPr>
            <w:r w:rsidRPr="00A41B49">
              <w:rPr>
                <w:rFonts w:ascii="Verdana" w:hAnsi="Verdana"/>
                <w:sz w:val="20"/>
                <w:szCs w:val="20"/>
                <w:lang w:val="fr-FR"/>
              </w:rPr>
              <w:t>Title:</w:t>
            </w:r>
          </w:p>
        </w:tc>
        <w:tc>
          <w:tcPr>
            <w:tcW w:w="11817" w:type="dxa"/>
            <w:tcBorders>
              <w:left w:val="single" w:sz="4" w:space="0" w:color="auto"/>
            </w:tcBorders>
            <w:shd w:val="clear" w:color="auto" w:fill="auto"/>
          </w:tcPr>
          <w:p w14:paraId="5EA2F377" w14:textId="497E29BF" w:rsidR="00B72962" w:rsidRPr="00C1749F" w:rsidRDefault="00B72962" w:rsidP="00B72962">
            <w:pPr>
              <w:autoSpaceDE w:val="0"/>
              <w:autoSpaceDN w:val="0"/>
              <w:adjustRightInd w:val="0"/>
              <w:rPr>
                <w:bCs/>
                <w:lang w:val="en-US"/>
              </w:rPr>
            </w:pPr>
            <w:r w:rsidRPr="00C1749F">
              <w:rPr>
                <w:color w:val="000000"/>
                <w:lang w:val="en-US"/>
              </w:rPr>
              <w:t>Validation of the analytical method for the</w:t>
            </w:r>
            <w:r>
              <w:rPr>
                <w:color w:val="000000"/>
                <w:lang w:val="en-US"/>
              </w:rPr>
              <w:t xml:space="preserve"> </w:t>
            </w:r>
            <w:r w:rsidRPr="00C1749F">
              <w:rPr>
                <w:color w:val="000000"/>
                <w:lang w:val="en-US"/>
              </w:rPr>
              <w:t xml:space="preserve">determination of </w:t>
            </w:r>
            <w:r>
              <w:rPr>
                <w:color w:val="000000"/>
                <w:lang w:val="en-US"/>
              </w:rPr>
              <w:t xml:space="preserve">diode </w:t>
            </w:r>
            <w:r w:rsidRPr="00C1749F">
              <w:rPr>
                <w:color w:val="000000"/>
                <w:lang w:val="en-US"/>
              </w:rPr>
              <w:t>in</w:t>
            </w:r>
            <w:r>
              <w:rPr>
                <w:color w:val="000000"/>
                <w:lang w:val="en-US"/>
              </w:rPr>
              <w:t xml:space="preserve"> ALGOFILM</w:t>
            </w:r>
          </w:p>
        </w:tc>
      </w:tr>
      <w:tr w:rsidR="00B72962" w:rsidRPr="00A41B49" w14:paraId="227FB8D9" w14:textId="77777777" w:rsidTr="00261A29">
        <w:trPr>
          <w:trHeight w:val="186"/>
        </w:trPr>
        <w:tc>
          <w:tcPr>
            <w:tcW w:w="3067" w:type="dxa"/>
            <w:tcBorders>
              <w:right w:val="single" w:sz="4" w:space="0" w:color="auto"/>
            </w:tcBorders>
            <w:shd w:val="clear" w:color="auto" w:fill="auto"/>
          </w:tcPr>
          <w:p w14:paraId="6D3BCE8D" w14:textId="77777777" w:rsidR="00B72962" w:rsidRPr="00A41B49" w:rsidRDefault="00B72962" w:rsidP="00261A29">
            <w:pPr>
              <w:pStyle w:val="OECD-table"/>
              <w:rPr>
                <w:rFonts w:ascii="Verdana" w:hAnsi="Verdana"/>
                <w:sz w:val="20"/>
                <w:szCs w:val="20"/>
                <w:lang w:val="fr-FR"/>
              </w:rPr>
            </w:pPr>
            <w:r w:rsidRPr="00A41B49">
              <w:rPr>
                <w:rFonts w:ascii="Verdana" w:hAnsi="Verdana"/>
                <w:sz w:val="20"/>
                <w:szCs w:val="20"/>
                <w:lang w:val="fr-FR"/>
              </w:rPr>
              <w:t>Document No</w:t>
            </w:r>
          </w:p>
        </w:tc>
        <w:tc>
          <w:tcPr>
            <w:tcW w:w="11817" w:type="dxa"/>
            <w:tcBorders>
              <w:left w:val="single" w:sz="4" w:space="0" w:color="auto"/>
            </w:tcBorders>
            <w:shd w:val="clear" w:color="auto" w:fill="auto"/>
          </w:tcPr>
          <w:p w14:paraId="2A6FEA64" w14:textId="01078D7E" w:rsidR="00B72962" w:rsidRPr="00A41B49" w:rsidRDefault="00B72962" w:rsidP="00261A29">
            <w:pPr>
              <w:pStyle w:val="OECD-table"/>
              <w:rPr>
                <w:rFonts w:ascii="Verdana" w:hAnsi="Verdana"/>
                <w:sz w:val="20"/>
                <w:szCs w:val="20"/>
                <w:lang w:val="fr-FR"/>
              </w:rPr>
            </w:pPr>
            <w:r>
              <w:rPr>
                <w:rFonts w:ascii="Verdana" w:hAnsi="Verdana"/>
                <w:sz w:val="20"/>
                <w:szCs w:val="20"/>
                <w:lang w:val="fr-FR"/>
              </w:rPr>
              <w:t>20-912017-006</w:t>
            </w:r>
          </w:p>
        </w:tc>
      </w:tr>
      <w:tr w:rsidR="00B72962" w:rsidRPr="00C1749F" w14:paraId="0B09D414" w14:textId="77777777" w:rsidTr="00261A29">
        <w:trPr>
          <w:trHeight w:val="344"/>
        </w:trPr>
        <w:tc>
          <w:tcPr>
            <w:tcW w:w="3067" w:type="dxa"/>
            <w:tcBorders>
              <w:right w:val="single" w:sz="4" w:space="0" w:color="auto"/>
            </w:tcBorders>
            <w:shd w:val="clear" w:color="auto" w:fill="auto"/>
          </w:tcPr>
          <w:p w14:paraId="18E3315B" w14:textId="77777777" w:rsidR="00B72962" w:rsidRPr="00A41B49" w:rsidRDefault="00B72962" w:rsidP="00261A29">
            <w:pPr>
              <w:pStyle w:val="OECD-table"/>
              <w:rPr>
                <w:rFonts w:ascii="Verdana" w:hAnsi="Verdana"/>
                <w:sz w:val="20"/>
                <w:szCs w:val="20"/>
                <w:lang w:val="fr-FR"/>
              </w:rPr>
            </w:pPr>
            <w:r w:rsidRPr="00A41B49">
              <w:rPr>
                <w:rFonts w:ascii="Verdana" w:hAnsi="Verdana"/>
                <w:sz w:val="20"/>
                <w:szCs w:val="20"/>
                <w:lang w:val="fr-FR"/>
              </w:rPr>
              <w:t>Test facility</w:t>
            </w:r>
          </w:p>
        </w:tc>
        <w:tc>
          <w:tcPr>
            <w:tcW w:w="11817" w:type="dxa"/>
            <w:tcBorders>
              <w:left w:val="single" w:sz="4" w:space="0" w:color="auto"/>
            </w:tcBorders>
            <w:shd w:val="clear" w:color="auto" w:fill="auto"/>
          </w:tcPr>
          <w:p w14:paraId="5EE91F56" w14:textId="77777777" w:rsidR="00B72962" w:rsidRPr="00096A18" w:rsidRDefault="00B72962" w:rsidP="00261A29">
            <w:pPr>
              <w:pStyle w:val="OECD-table"/>
              <w:rPr>
                <w:rFonts w:ascii="Verdana" w:hAnsi="Verdana"/>
                <w:sz w:val="20"/>
                <w:szCs w:val="20"/>
                <w:lang w:val="fr-FR"/>
              </w:rPr>
            </w:pPr>
            <w:r w:rsidRPr="00096A18">
              <w:rPr>
                <w:rFonts w:ascii="Verdana" w:hAnsi="Verdana"/>
                <w:sz w:val="20"/>
                <w:szCs w:val="20"/>
                <w:lang w:val="fr-FR"/>
              </w:rPr>
              <w:t>DEFITRACES</w:t>
            </w:r>
          </w:p>
          <w:p w14:paraId="306417AF" w14:textId="77777777" w:rsidR="00B72962" w:rsidRPr="00096A18" w:rsidRDefault="00B72962" w:rsidP="00261A29">
            <w:pPr>
              <w:pStyle w:val="OECD-table"/>
              <w:rPr>
                <w:rFonts w:ascii="Verdana" w:hAnsi="Verdana"/>
                <w:sz w:val="20"/>
                <w:szCs w:val="20"/>
                <w:lang w:val="fr-FR"/>
              </w:rPr>
            </w:pPr>
            <w:r w:rsidRPr="00096A18">
              <w:rPr>
                <w:rFonts w:ascii="Verdana" w:hAnsi="Verdana"/>
                <w:sz w:val="20"/>
                <w:szCs w:val="20"/>
                <w:lang w:val="fr-FR"/>
              </w:rPr>
              <w:t>Z.A. des Andrés</w:t>
            </w:r>
          </w:p>
          <w:p w14:paraId="0AED6E91" w14:textId="77777777" w:rsidR="00B72962" w:rsidRPr="00096A18" w:rsidRDefault="00B72962" w:rsidP="00261A29">
            <w:pPr>
              <w:pStyle w:val="OECD-table"/>
              <w:rPr>
                <w:rFonts w:ascii="Verdana" w:hAnsi="Verdana"/>
                <w:sz w:val="20"/>
                <w:szCs w:val="20"/>
                <w:lang w:val="fr-FR"/>
              </w:rPr>
            </w:pPr>
            <w:r w:rsidRPr="00096A18">
              <w:rPr>
                <w:rFonts w:ascii="Verdana" w:hAnsi="Verdana"/>
                <w:sz w:val="20"/>
                <w:szCs w:val="20"/>
                <w:lang w:val="fr-FR"/>
              </w:rPr>
              <w:t>150, rue Pré-Magne</w:t>
            </w:r>
          </w:p>
          <w:p w14:paraId="51B769EC" w14:textId="77777777" w:rsidR="00B72962" w:rsidRPr="00096A18" w:rsidRDefault="00B72962" w:rsidP="00261A29">
            <w:pPr>
              <w:pStyle w:val="OECD-table"/>
              <w:rPr>
                <w:rFonts w:ascii="Verdana" w:hAnsi="Verdana"/>
                <w:sz w:val="20"/>
                <w:szCs w:val="20"/>
                <w:lang w:val="fr-FR"/>
              </w:rPr>
            </w:pPr>
            <w:r w:rsidRPr="00096A18">
              <w:rPr>
                <w:rFonts w:ascii="Verdana" w:hAnsi="Verdana"/>
                <w:sz w:val="20"/>
                <w:szCs w:val="20"/>
                <w:lang w:val="fr-FR"/>
              </w:rPr>
              <w:t>69126 BRINDAS</w:t>
            </w:r>
          </w:p>
          <w:p w14:paraId="046753E3" w14:textId="77777777" w:rsidR="00B72962" w:rsidRPr="00A41B49" w:rsidRDefault="00B72962" w:rsidP="00261A29">
            <w:pPr>
              <w:pStyle w:val="OECD-table"/>
              <w:rPr>
                <w:rFonts w:ascii="Verdana" w:hAnsi="Verdana"/>
                <w:sz w:val="20"/>
                <w:szCs w:val="20"/>
                <w:lang w:val="fr-FR"/>
              </w:rPr>
            </w:pPr>
            <w:r w:rsidRPr="00096A18">
              <w:rPr>
                <w:rFonts w:ascii="Verdana" w:hAnsi="Verdana"/>
                <w:sz w:val="20"/>
                <w:szCs w:val="20"/>
                <w:lang w:val="fr-FR"/>
              </w:rPr>
              <w:t>FRANCE</w:t>
            </w:r>
          </w:p>
        </w:tc>
      </w:tr>
      <w:tr w:rsidR="00B72962" w:rsidRPr="00A41B49" w14:paraId="71F470E7" w14:textId="77777777" w:rsidTr="00261A29">
        <w:trPr>
          <w:trHeight w:val="186"/>
        </w:trPr>
        <w:tc>
          <w:tcPr>
            <w:tcW w:w="3067" w:type="dxa"/>
            <w:tcBorders>
              <w:right w:val="single" w:sz="4" w:space="0" w:color="auto"/>
            </w:tcBorders>
            <w:shd w:val="clear" w:color="auto" w:fill="auto"/>
          </w:tcPr>
          <w:p w14:paraId="1319C7FA" w14:textId="77777777" w:rsidR="00B72962" w:rsidRPr="00A41B49" w:rsidRDefault="00B72962" w:rsidP="00261A29">
            <w:pPr>
              <w:pStyle w:val="OECD-table"/>
              <w:rPr>
                <w:rFonts w:ascii="Verdana" w:hAnsi="Verdana"/>
                <w:sz w:val="20"/>
                <w:szCs w:val="20"/>
              </w:rPr>
            </w:pPr>
            <w:r w:rsidRPr="00A41B49">
              <w:rPr>
                <w:rFonts w:ascii="Verdana" w:hAnsi="Verdana"/>
                <w:sz w:val="20"/>
                <w:szCs w:val="20"/>
              </w:rPr>
              <w:t>Guidelines:</w:t>
            </w:r>
          </w:p>
        </w:tc>
        <w:tc>
          <w:tcPr>
            <w:tcW w:w="11817" w:type="dxa"/>
            <w:tcBorders>
              <w:left w:val="single" w:sz="4" w:space="0" w:color="auto"/>
            </w:tcBorders>
            <w:shd w:val="clear" w:color="auto" w:fill="auto"/>
          </w:tcPr>
          <w:p w14:paraId="5F198AF3" w14:textId="77777777" w:rsidR="00B72962" w:rsidRPr="00A41B49" w:rsidRDefault="00B72962" w:rsidP="00261A29">
            <w:pPr>
              <w:pStyle w:val="OECD-table"/>
              <w:rPr>
                <w:rFonts w:ascii="Verdana" w:hAnsi="Verdana"/>
                <w:sz w:val="20"/>
                <w:szCs w:val="20"/>
              </w:rPr>
            </w:pPr>
            <w:r w:rsidRPr="00A41B49">
              <w:rPr>
                <w:rFonts w:ascii="Verdana" w:hAnsi="Verdana"/>
                <w:sz w:val="20"/>
                <w:szCs w:val="20"/>
              </w:rPr>
              <w:t>-</w:t>
            </w:r>
          </w:p>
        </w:tc>
      </w:tr>
      <w:tr w:rsidR="00B72962" w:rsidRPr="00A41B49" w14:paraId="6D678720" w14:textId="77777777" w:rsidTr="00261A29">
        <w:trPr>
          <w:trHeight w:val="178"/>
        </w:trPr>
        <w:tc>
          <w:tcPr>
            <w:tcW w:w="3067" w:type="dxa"/>
            <w:tcBorders>
              <w:right w:val="single" w:sz="4" w:space="0" w:color="auto"/>
            </w:tcBorders>
            <w:shd w:val="clear" w:color="auto" w:fill="auto"/>
          </w:tcPr>
          <w:p w14:paraId="499C4BF2" w14:textId="77777777" w:rsidR="00B72962" w:rsidRPr="00A41B49" w:rsidRDefault="00B72962" w:rsidP="00261A29">
            <w:pPr>
              <w:pStyle w:val="OECD-table"/>
              <w:rPr>
                <w:rFonts w:ascii="Verdana" w:hAnsi="Verdana"/>
                <w:sz w:val="20"/>
                <w:szCs w:val="20"/>
              </w:rPr>
            </w:pPr>
            <w:r w:rsidRPr="00A41B49">
              <w:rPr>
                <w:rFonts w:ascii="Verdana" w:hAnsi="Verdana"/>
                <w:sz w:val="20"/>
                <w:szCs w:val="20"/>
              </w:rPr>
              <w:t>GLP</w:t>
            </w:r>
          </w:p>
        </w:tc>
        <w:tc>
          <w:tcPr>
            <w:tcW w:w="11817" w:type="dxa"/>
            <w:tcBorders>
              <w:left w:val="single" w:sz="4" w:space="0" w:color="auto"/>
            </w:tcBorders>
            <w:shd w:val="clear" w:color="auto" w:fill="auto"/>
          </w:tcPr>
          <w:p w14:paraId="0C1A70D6" w14:textId="77777777" w:rsidR="00B72962" w:rsidRPr="00A41B49" w:rsidRDefault="00B72962" w:rsidP="00261A29">
            <w:pPr>
              <w:pStyle w:val="OECD-table"/>
              <w:rPr>
                <w:rFonts w:ascii="Verdana" w:hAnsi="Verdana"/>
                <w:sz w:val="20"/>
                <w:szCs w:val="20"/>
              </w:rPr>
            </w:pPr>
            <w:r>
              <w:rPr>
                <w:rFonts w:ascii="Verdana" w:hAnsi="Verdana"/>
                <w:sz w:val="20"/>
                <w:szCs w:val="20"/>
              </w:rPr>
              <w:t>Yes</w:t>
            </w:r>
          </w:p>
        </w:tc>
      </w:tr>
    </w:tbl>
    <w:p w14:paraId="6DDCADA7" w14:textId="6DC73E7F" w:rsidR="00FD1859" w:rsidRDefault="00FD1859" w:rsidP="00680CE7">
      <w:pPr>
        <w:jc w:val="both"/>
      </w:pPr>
      <w:r>
        <w:t>The validation of the method for the determination of iodine in the Algofilm was performed in two steps. First, a full validation was performed on the product Iodiguard, whose composition is close to that of the Algofilm (H. Ricau, 2020, Report No. 20-912017-002). This validation included the determination of the linearity, specificity, accuracy and precision of the method. Then, an additional validation was carried out on the Algofilm by assessment of the specificity and accuracy of the method on this test item (H. Ricau, 2020, Report No. 20-912017-006).</w:t>
      </w:r>
    </w:p>
    <w:p w14:paraId="45FEDB60" w14:textId="77777777" w:rsidR="00FD1859" w:rsidRDefault="00FD1859" w:rsidP="00680CE7">
      <w:pPr>
        <w:jc w:val="both"/>
      </w:pPr>
    </w:p>
    <w:p w14:paraId="5D32C784" w14:textId="77777777" w:rsidR="00FD1859" w:rsidRDefault="00FD1859" w:rsidP="00680CE7">
      <w:pPr>
        <w:jc w:val="both"/>
      </w:pPr>
      <w:r>
        <w:rPr>
          <w:i/>
          <w:iCs/>
        </w:rPr>
        <w:t>Principle of the method</w:t>
      </w:r>
    </w:p>
    <w:p w14:paraId="001D0466" w14:textId="77777777" w:rsidR="00FD1859" w:rsidRDefault="00FD1859" w:rsidP="00680CE7">
      <w:pPr>
        <w:jc w:val="both"/>
      </w:pPr>
      <w:r>
        <w:t>Iodine</w:t>
      </w:r>
      <w:r w:rsidRPr="00AE0EE1">
        <w:t xml:space="preserve"> is analysed and quantified by titration with sodium thiosulfate</w:t>
      </w:r>
      <w:r>
        <w:t>:</w:t>
      </w:r>
    </w:p>
    <w:p w14:paraId="743E70AD" w14:textId="77777777" w:rsidR="00FD1859" w:rsidRDefault="00FD1859" w:rsidP="00680CE7">
      <w:pPr>
        <w:jc w:val="both"/>
      </w:pPr>
      <w:r>
        <w:t>I</w:t>
      </w:r>
      <w:r>
        <w:rPr>
          <w:vertAlign w:val="subscript"/>
        </w:rPr>
        <w:t>2</w:t>
      </w:r>
      <w:r>
        <w:t xml:space="preserve"> + 2 Na</w:t>
      </w:r>
      <w:r>
        <w:rPr>
          <w:vertAlign w:val="subscript"/>
        </w:rPr>
        <w:t>2</w:t>
      </w:r>
      <w:r>
        <w:t>S</w:t>
      </w:r>
      <w:r>
        <w:rPr>
          <w:vertAlign w:val="subscript"/>
        </w:rPr>
        <w:t>2</w:t>
      </w:r>
      <w:r>
        <w:t>O</w:t>
      </w:r>
      <w:r>
        <w:rPr>
          <w:vertAlign w:val="subscript"/>
        </w:rPr>
        <w:t>3</w:t>
      </w:r>
      <w:r>
        <w:t xml:space="preserve"> </w:t>
      </w:r>
      <w:r>
        <w:sym w:font="Wingdings" w:char="F0E0"/>
      </w:r>
      <w:r>
        <w:t xml:space="preserve"> 2 NaI + Na</w:t>
      </w:r>
      <w:r>
        <w:rPr>
          <w:vertAlign w:val="subscript"/>
        </w:rPr>
        <w:t>2</w:t>
      </w:r>
      <w:r>
        <w:t>S</w:t>
      </w:r>
      <w:r>
        <w:rPr>
          <w:vertAlign w:val="subscript"/>
        </w:rPr>
        <w:t>4</w:t>
      </w:r>
      <w:r>
        <w:t>O</w:t>
      </w:r>
      <w:r>
        <w:rPr>
          <w:vertAlign w:val="subscript"/>
        </w:rPr>
        <w:t>6</w:t>
      </w:r>
      <w:r>
        <w:t>.</w:t>
      </w:r>
    </w:p>
    <w:p w14:paraId="1A75A2D3" w14:textId="77777777" w:rsidR="00FD1859" w:rsidRDefault="00FD1859" w:rsidP="00680CE7">
      <w:pPr>
        <w:jc w:val="both"/>
      </w:pPr>
    </w:p>
    <w:p w14:paraId="2DF431D3" w14:textId="77777777" w:rsidR="00FD1859" w:rsidRDefault="00FD1859" w:rsidP="00680CE7">
      <w:pPr>
        <w:jc w:val="both"/>
      </w:pPr>
      <w:r>
        <w:t>A quantity of about 4.0 g of the test item was weighed into a 250-mL beaker. Volumes of 10 mL of a potassium iodide solution at 10% and 100 mL of buffer solution at pH 5 were added. The solution was magnetically stirred until homogenisation. The solution was titrated with a sodium thiosulphate solution at 0.005N and the values of the potential were taken at each addition. The point of equivalence was indicated by a potential jump.</w:t>
      </w:r>
    </w:p>
    <w:p w14:paraId="0C2835D6" w14:textId="77777777" w:rsidR="00FD1859" w:rsidRDefault="00FD1859" w:rsidP="00FD1859"/>
    <w:p w14:paraId="7DA5FF79" w14:textId="77777777" w:rsidR="00FD1859" w:rsidRDefault="00FD1859" w:rsidP="00FD1859">
      <w:pPr>
        <w:rPr>
          <w:i/>
          <w:iCs/>
        </w:rPr>
      </w:pPr>
      <w:r>
        <w:rPr>
          <w:i/>
          <w:iCs/>
        </w:rPr>
        <w:t>Validation of the analytical method</w:t>
      </w:r>
    </w:p>
    <w:p w14:paraId="6446AFA7" w14:textId="77777777" w:rsidR="00FD1859" w:rsidRPr="006B6683" w:rsidRDefault="00FD1859" w:rsidP="00FD1859"/>
    <w:tbl>
      <w:tblPr>
        <w:tblStyle w:val="TableNormal1"/>
        <w:tblW w:w="12378"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630"/>
        <w:gridCol w:w="10748"/>
      </w:tblGrid>
      <w:tr w:rsidR="00FD1859" w:rsidRPr="00A41B49" w14:paraId="169AE873" w14:textId="77777777" w:rsidTr="00680CE7">
        <w:trPr>
          <w:cantSplit/>
          <w:trHeight w:val="33"/>
          <w:jc w:val="center"/>
        </w:trPr>
        <w:tc>
          <w:tcPr>
            <w:tcW w:w="12378" w:type="dxa"/>
            <w:gridSpan w:val="2"/>
            <w:tcBorders>
              <w:top w:val="single" w:sz="6" w:space="0" w:color="auto"/>
              <w:left w:val="single" w:sz="6" w:space="0" w:color="auto"/>
              <w:bottom w:val="single" w:sz="6" w:space="0" w:color="auto"/>
              <w:right w:val="single" w:sz="6" w:space="0" w:color="auto"/>
            </w:tcBorders>
          </w:tcPr>
          <w:p w14:paraId="06CD8CB0" w14:textId="77777777" w:rsidR="00FD1859" w:rsidRPr="006B6683" w:rsidRDefault="00FD1859" w:rsidP="003D41CE">
            <w:pPr>
              <w:spacing w:line="288" w:lineRule="auto"/>
              <w:rPr>
                <w:b/>
                <w:bCs/>
                <w:lang w:val="en-US"/>
              </w:rPr>
            </w:pPr>
            <w:r w:rsidRPr="006B6683">
              <w:rPr>
                <w:b/>
                <w:bCs/>
                <w:lang w:val="en-US"/>
              </w:rPr>
              <w:t>Test item = Iodiguard</w:t>
            </w:r>
          </w:p>
        </w:tc>
      </w:tr>
      <w:tr w:rsidR="00FD1859" w:rsidRPr="006B6683" w14:paraId="698323FC" w14:textId="77777777" w:rsidTr="00680CE7">
        <w:trPr>
          <w:cantSplit/>
          <w:trHeight w:val="183"/>
          <w:jc w:val="center"/>
        </w:trPr>
        <w:tc>
          <w:tcPr>
            <w:tcW w:w="1630" w:type="dxa"/>
            <w:tcBorders>
              <w:top w:val="single" w:sz="6" w:space="0" w:color="auto"/>
              <w:left w:val="single" w:sz="6" w:space="0" w:color="auto"/>
              <w:right w:val="double" w:sz="4" w:space="0" w:color="auto"/>
            </w:tcBorders>
            <w:hideMark/>
          </w:tcPr>
          <w:p w14:paraId="4FD43335" w14:textId="77777777" w:rsidR="00FD1859" w:rsidRPr="00A41B49" w:rsidRDefault="00FD1859" w:rsidP="003D41CE">
            <w:pPr>
              <w:spacing w:line="288" w:lineRule="auto"/>
            </w:pPr>
            <w:r w:rsidRPr="00A41B49">
              <w:t>Linearity</w:t>
            </w:r>
          </w:p>
        </w:tc>
        <w:tc>
          <w:tcPr>
            <w:tcW w:w="10748" w:type="dxa"/>
            <w:tcBorders>
              <w:top w:val="single" w:sz="6" w:space="0" w:color="auto"/>
              <w:left w:val="double" w:sz="4" w:space="0" w:color="auto"/>
              <w:bottom w:val="single" w:sz="4" w:space="0" w:color="auto"/>
              <w:right w:val="single" w:sz="6" w:space="0" w:color="auto"/>
            </w:tcBorders>
          </w:tcPr>
          <w:p w14:paraId="1ABD5145" w14:textId="77777777" w:rsidR="00FD1859" w:rsidRDefault="00FD1859" w:rsidP="003D41CE">
            <w:pPr>
              <w:spacing w:line="288" w:lineRule="auto"/>
              <w:rPr>
                <w:lang w:val="en-US"/>
              </w:rPr>
            </w:pPr>
            <w:r>
              <w:rPr>
                <w:lang w:val="en-US"/>
              </w:rPr>
              <w:t>5 concentrations were analysed. Linearity was shown between 2.01 and 6.12 mg of iodine.</w:t>
            </w:r>
          </w:p>
          <w:p w14:paraId="6BE395D0" w14:textId="77777777" w:rsidR="00FD1859" w:rsidRDefault="00FD1859" w:rsidP="003D41CE">
            <w:pPr>
              <w:spacing w:line="288" w:lineRule="auto"/>
              <w:rPr>
                <w:lang w:val="fr-BE"/>
              </w:rPr>
            </w:pPr>
            <w:r w:rsidRPr="006B6683">
              <w:rPr>
                <w:lang w:val="fr-BE"/>
              </w:rPr>
              <w:t xml:space="preserve">Calibration curve: </w:t>
            </w:r>
            <w:r w:rsidRPr="00A345EE">
              <w:rPr>
                <w:lang w:val="fr-BE"/>
              </w:rPr>
              <w:t>Veq = 1.5776 x Q + 0.0473</w:t>
            </w:r>
          </w:p>
          <w:p w14:paraId="14F72CEC" w14:textId="77777777" w:rsidR="00FD1859" w:rsidRPr="006B6683" w:rsidRDefault="00FD1859" w:rsidP="003D41CE">
            <w:pPr>
              <w:spacing w:line="288" w:lineRule="auto"/>
              <w:rPr>
                <w:lang w:val="en-US"/>
              </w:rPr>
            </w:pPr>
            <w:r>
              <w:rPr>
                <w:lang w:val="fr-BE"/>
              </w:rPr>
              <w:t>r = 0.9998</w:t>
            </w:r>
          </w:p>
        </w:tc>
      </w:tr>
      <w:tr w:rsidR="00FD1859" w:rsidRPr="00A41B49" w14:paraId="020D617A" w14:textId="77777777" w:rsidTr="00680CE7">
        <w:trPr>
          <w:cantSplit/>
          <w:trHeight w:val="1087"/>
          <w:jc w:val="center"/>
        </w:trPr>
        <w:tc>
          <w:tcPr>
            <w:tcW w:w="1630" w:type="dxa"/>
            <w:tcBorders>
              <w:top w:val="single" w:sz="6" w:space="0" w:color="auto"/>
              <w:left w:val="single" w:sz="6" w:space="0" w:color="auto"/>
              <w:bottom w:val="single" w:sz="6" w:space="0" w:color="auto"/>
              <w:right w:val="double" w:sz="4" w:space="0" w:color="auto"/>
            </w:tcBorders>
            <w:hideMark/>
          </w:tcPr>
          <w:p w14:paraId="67087AF9" w14:textId="77777777" w:rsidR="00FD1859" w:rsidRPr="00A41B49" w:rsidRDefault="00FD1859" w:rsidP="003D41CE">
            <w:pPr>
              <w:spacing w:line="288" w:lineRule="auto"/>
            </w:pPr>
            <w:r w:rsidRPr="00A41B49">
              <w:lastRenderedPageBreak/>
              <w:t>Precision</w:t>
            </w:r>
          </w:p>
        </w:tc>
        <w:tc>
          <w:tcPr>
            <w:tcW w:w="10748" w:type="dxa"/>
            <w:tcBorders>
              <w:top w:val="single" w:sz="6" w:space="0" w:color="auto"/>
              <w:left w:val="double" w:sz="4" w:space="0" w:color="auto"/>
              <w:right w:val="single" w:sz="6" w:space="0" w:color="auto"/>
            </w:tcBorders>
          </w:tcPr>
          <w:p w14:paraId="4B628909" w14:textId="77777777" w:rsidR="00FD1859" w:rsidRDefault="00FD1859" w:rsidP="003D41CE">
            <w:pPr>
              <w:spacing w:line="288" w:lineRule="auto"/>
              <w:rPr>
                <w:lang w:val="en-US"/>
              </w:rPr>
            </w:pPr>
            <w:r w:rsidRPr="00A345EE">
              <w:rPr>
                <w:lang w:val="en-US"/>
              </w:rPr>
              <w:t>The precision was determined by analysing five test item solutions. The content of</w:t>
            </w:r>
            <w:r>
              <w:rPr>
                <w:lang w:val="en-US"/>
              </w:rPr>
              <w:t xml:space="preserve"> </w:t>
            </w:r>
            <w:r w:rsidRPr="00A345EE">
              <w:rPr>
                <w:lang w:val="en-US"/>
              </w:rPr>
              <w:t>diiode for each analysis was calculated. Then, the average value of the content, the standard</w:t>
            </w:r>
            <w:r>
              <w:rPr>
                <w:lang w:val="en-US"/>
              </w:rPr>
              <w:t xml:space="preserve"> </w:t>
            </w:r>
            <w:r w:rsidRPr="00A345EE">
              <w:rPr>
                <w:lang w:val="en-US"/>
              </w:rPr>
              <w:t>deviation and the Relative Standard Deviation (R.S.D.) were calculated.</w:t>
            </w:r>
          </w:p>
          <w:p w14:paraId="1E2FEB4C" w14:textId="77777777" w:rsidR="00FD1859" w:rsidRDefault="00FD1859" w:rsidP="003D41CE">
            <w:pPr>
              <w:spacing w:line="288" w:lineRule="auto"/>
              <w:rPr>
                <w:lang w:val="en-US"/>
              </w:rPr>
            </w:pPr>
            <w:r>
              <w:rPr>
                <w:lang w:val="en-US"/>
              </w:rPr>
              <w:t>Mean = 0.105% w/w</w:t>
            </w:r>
          </w:p>
          <w:p w14:paraId="73864B8D" w14:textId="77777777" w:rsidR="00FD1859" w:rsidRPr="00A41B49" w:rsidRDefault="00FD1859" w:rsidP="003D41CE">
            <w:pPr>
              <w:spacing w:line="288" w:lineRule="auto"/>
              <w:rPr>
                <w:lang w:val="en-US"/>
              </w:rPr>
            </w:pPr>
            <w:r>
              <w:rPr>
                <w:lang w:val="en-US"/>
              </w:rPr>
              <w:t>RSD = 0.66% &lt; Horwitz value = 3.76%</w:t>
            </w:r>
          </w:p>
        </w:tc>
      </w:tr>
      <w:tr w:rsidR="00FD1859" w:rsidRPr="00A41B49" w14:paraId="6CB565CC" w14:textId="77777777" w:rsidTr="00680CE7">
        <w:trPr>
          <w:cantSplit/>
          <w:trHeight w:val="66"/>
          <w:jc w:val="center"/>
        </w:trPr>
        <w:tc>
          <w:tcPr>
            <w:tcW w:w="12378" w:type="dxa"/>
            <w:gridSpan w:val="2"/>
            <w:tcBorders>
              <w:top w:val="single" w:sz="6" w:space="0" w:color="auto"/>
              <w:left w:val="single" w:sz="6" w:space="0" w:color="auto"/>
              <w:bottom w:val="single" w:sz="6" w:space="0" w:color="auto"/>
              <w:right w:val="single" w:sz="6" w:space="0" w:color="auto"/>
            </w:tcBorders>
            <w:vAlign w:val="center"/>
          </w:tcPr>
          <w:p w14:paraId="56614588" w14:textId="77777777" w:rsidR="00FD1859" w:rsidRPr="006B6683" w:rsidRDefault="00FD1859" w:rsidP="003D41CE">
            <w:pPr>
              <w:spacing w:line="288" w:lineRule="auto"/>
              <w:rPr>
                <w:b/>
                <w:bCs/>
                <w:spacing w:val="-2"/>
              </w:rPr>
            </w:pPr>
            <w:r w:rsidRPr="006B6683">
              <w:rPr>
                <w:b/>
                <w:bCs/>
                <w:spacing w:val="-2"/>
              </w:rPr>
              <w:t>Test item = Algofilm</w:t>
            </w:r>
          </w:p>
        </w:tc>
      </w:tr>
      <w:tr w:rsidR="00FD1859" w:rsidRPr="00A41B49" w14:paraId="762D4354" w14:textId="77777777" w:rsidTr="00680CE7">
        <w:trPr>
          <w:cantSplit/>
          <w:trHeight w:val="597"/>
          <w:jc w:val="center"/>
        </w:trPr>
        <w:tc>
          <w:tcPr>
            <w:tcW w:w="1630" w:type="dxa"/>
            <w:tcBorders>
              <w:top w:val="single" w:sz="6" w:space="0" w:color="auto"/>
              <w:left w:val="single" w:sz="6" w:space="0" w:color="auto"/>
              <w:bottom w:val="single" w:sz="6" w:space="0" w:color="auto"/>
              <w:right w:val="double" w:sz="4" w:space="0" w:color="auto"/>
            </w:tcBorders>
          </w:tcPr>
          <w:p w14:paraId="060F2977" w14:textId="77777777" w:rsidR="00FD1859" w:rsidRPr="00A41B49" w:rsidRDefault="00FD1859" w:rsidP="003D41CE">
            <w:pPr>
              <w:spacing w:line="288" w:lineRule="auto"/>
            </w:pPr>
            <w:r w:rsidRPr="00A41B49">
              <w:t>Specificity</w:t>
            </w:r>
          </w:p>
        </w:tc>
        <w:tc>
          <w:tcPr>
            <w:tcW w:w="10748" w:type="dxa"/>
            <w:tcBorders>
              <w:top w:val="single" w:sz="6" w:space="0" w:color="auto"/>
              <w:left w:val="double" w:sz="4" w:space="0" w:color="auto"/>
              <w:bottom w:val="single" w:sz="4" w:space="0" w:color="auto"/>
              <w:right w:val="single" w:sz="6" w:space="0" w:color="auto"/>
            </w:tcBorders>
          </w:tcPr>
          <w:p w14:paraId="0EB67281" w14:textId="77777777" w:rsidR="00FD1859" w:rsidRPr="006737F2" w:rsidRDefault="00FD1859" w:rsidP="003D41CE">
            <w:pPr>
              <w:spacing w:line="288" w:lineRule="auto"/>
              <w:rPr>
                <w:lang w:val="en-US"/>
              </w:rPr>
            </w:pPr>
            <w:r w:rsidRPr="006737F2">
              <w:rPr>
                <w:lang w:val="en-US"/>
              </w:rPr>
              <w:t>To define the specificity of the analytical method, the following solutions were</w:t>
            </w:r>
            <w:r>
              <w:rPr>
                <w:lang w:val="en-US"/>
              </w:rPr>
              <w:t xml:space="preserve"> </w:t>
            </w:r>
            <w:r w:rsidRPr="006737F2">
              <w:rPr>
                <w:lang w:val="en-US"/>
              </w:rPr>
              <w:t>analysed:</w:t>
            </w:r>
          </w:p>
          <w:p w14:paraId="08538227" w14:textId="77777777" w:rsidR="00FD1859" w:rsidRPr="006737F2" w:rsidRDefault="00FD1859" w:rsidP="003D41CE">
            <w:pPr>
              <w:spacing w:line="288" w:lineRule="auto"/>
              <w:rPr>
                <w:lang w:val="en-US"/>
              </w:rPr>
            </w:pPr>
            <w:r w:rsidRPr="006737F2">
              <w:rPr>
                <w:lang w:val="en-US"/>
              </w:rPr>
              <w:t>- Solvent blank</w:t>
            </w:r>
          </w:p>
          <w:p w14:paraId="06B4C9FE" w14:textId="77777777" w:rsidR="00FD1859" w:rsidRPr="006737F2" w:rsidRDefault="00FD1859" w:rsidP="003D41CE">
            <w:pPr>
              <w:spacing w:line="288" w:lineRule="auto"/>
              <w:rPr>
                <w:lang w:val="en-US"/>
              </w:rPr>
            </w:pPr>
            <w:r w:rsidRPr="006737F2">
              <w:rPr>
                <w:lang w:val="en-US"/>
              </w:rPr>
              <w:t>- Formulation blank</w:t>
            </w:r>
          </w:p>
          <w:p w14:paraId="60B5D51C" w14:textId="77777777" w:rsidR="00FD1859" w:rsidRPr="006737F2" w:rsidRDefault="00FD1859" w:rsidP="003D41CE">
            <w:pPr>
              <w:spacing w:line="288" w:lineRule="auto"/>
              <w:rPr>
                <w:lang w:val="en-US"/>
              </w:rPr>
            </w:pPr>
            <w:r w:rsidRPr="006737F2">
              <w:rPr>
                <w:lang w:val="en-US"/>
              </w:rPr>
              <w:t>- Formulation blank with L-(+)-lactic acid</w:t>
            </w:r>
          </w:p>
          <w:p w14:paraId="3ABD8A15" w14:textId="77777777" w:rsidR="00FD1859" w:rsidRPr="006737F2" w:rsidRDefault="00FD1859" w:rsidP="003D41CE">
            <w:pPr>
              <w:spacing w:line="288" w:lineRule="auto"/>
              <w:rPr>
                <w:lang w:val="en-US"/>
              </w:rPr>
            </w:pPr>
            <w:r w:rsidRPr="006737F2">
              <w:rPr>
                <w:lang w:val="en-US"/>
              </w:rPr>
              <w:t>- Reference item</w:t>
            </w:r>
          </w:p>
          <w:p w14:paraId="14672B96" w14:textId="77777777" w:rsidR="00FD1859" w:rsidRDefault="00FD1859" w:rsidP="003D41CE">
            <w:pPr>
              <w:spacing w:line="288" w:lineRule="auto"/>
              <w:rPr>
                <w:lang w:val="en-US"/>
              </w:rPr>
            </w:pPr>
            <w:r w:rsidRPr="006737F2">
              <w:rPr>
                <w:lang w:val="en-US"/>
              </w:rPr>
              <w:t>- Test item</w:t>
            </w:r>
          </w:p>
          <w:p w14:paraId="7B40872A" w14:textId="77777777" w:rsidR="00FD1859" w:rsidRDefault="00FD1859" w:rsidP="00680CE7">
            <w:pPr>
              <w:spacing w:line="288" w:lineRule="auto"/>
              <w:jc w:val="both"/>
              <w:rPr>
                <w:lang w:val="en-US"/>
              </w:rPr>
            </w:pPr>
            <w:r w:rsidRPr="006737F2">
              <w:rPr>
                <w:lang w:val="en-US"/>
              </w:rPr>
              <w:t>For the reference item and the test item, nearly the same volume of the sodium</w:t>
            </w:r>
            <w:r>
              <w:rPr>
                <w:lang w:val="en-US"/>
              </w:rPr>
              <w:t xml:space="preserve"> </w:t>
            </w:r>
            <w:r w:rsidRPr="006737F2">
              <w:rPr>
                <w:lang w:val="en-US"/>
              </w:rPr>
              <w:t>thiosulfate solution at 0.005N was necessary to reach the end point of the titration.</w:t>
            </w:r>
            <w:r>
              <w:rPr>
                <w:lang w:val="en-US"/>
              </w:rPr>
              <w:t xml:space="preserve"> </w:t>
            </w:r>
            <w:r w:rsidRPr="006737F2">
              <w:rPr>
                <w:lang w:val="en-US"/>
              </w:rPr>
              <w:t>For the solvent blank and the formulation blank</w:t>
            </w:r>
            <w:r>
              <w:rPr>
                <w:lang w:val="en-US"/>
              </w:rPr>
              <w:t>s</w:t>
            </w:r>
            <w:r w:rsidRPr="006737F2">
              <w:rPr>
                <w:lang w:val="en-US"/>
              </w:rPr>
              <w:t>, a volume of reagent was found</w:t>
            </w:r>
            <w:r>
              <w:rPr>
                <w:lang w:val="en-US"/>
              </w:rPr>
              <w:t xml:space="preserve"> </w:t>
            </w:r>
            <w:r w:rsidRPr="006737F2">
              <w:rPr>
                <w:lang w:val="en-US"/>
              </w:rPr>
              <w:t>during the titration with the sodium thiosulfate solution at 0.005N.</w:t>
            </w:r>
            <w:r>
              <w:rPr>
                <w:lang w:val="en-US"/>
              </w:rPr>
              <w:t xml:space="preserve"> </w:t>
            </w:r>
            <w:r w:rsidRPr="006737F2">
              <w:rPr>
                <w:lang w:val="en-US"/>
              </w:rPr>
              <w:t>As these volumes were less than 3% of the volume found during the titration of the</w:t>
            </w:r>
            <w:r>
              <w:rPr>
                <w:lang w:val="en-US"/>
              </w:rPr>
              <w:t xml:space="preserve"> </w:t>
            </w:r>
            <w:r w:rsidRPr="006737F2">
              <w:rPr>
                <w:lang w:val="en-US"/>
              </w:rPr>
              <w:t>test item this volume was not taken into account in the calculation</w:t>
            </w:r>
          </w:p>
          <w:p w14:paraId="5DA03CF8" w14:textId="77777777" w:rsidR="00B72962" w:rsidRDefault="00B72962" w:rsidP="00680CE7">
            <w:pPr>
              <w:spacing w:line="288" w:lineRule="auto"/>
              <w:jc w:val="both"/>
              <w:rPr>
                <w:lang w:val="en-US"/>
              </w:rPr>
            </w:pPr>
            <w:r>
              <w:rPr>
                <w:lang w:val="en-US"/>
              </w:rPr>
              <w:t>Solvent blank: 0.1mL</w:t>
            </w:r>
          </w:p>
          <w:p w14:paraId="6DB52536" w14:textId="77777777" w:rsidR="00B72962" w:rsidRDefault="0042590C" w:rsidP="00680CE7">
            <w:pPr>
              <w:spacing w:line="288" w:lineRule="auto"/>
              <w:jc w:val="both"/>
              <w:rPr>
                <w:lang w:val="en-US"/>
              </w:rPr>
            </w:pPr>
            <w:r>
              <w:rPr>
                <w:lang w:val="en-US"/>
              </w:rPr>
              <w:t>Test item: 4.8mL</w:t>
            </w:r>
          </w:p>
          <w:p w14:paraId="54FFD8CE" w14:textId="0CC83739" w:rsidR="0042590C" w:rsidRPr="00A41B49" w:rsidRDefault="0042590C" w:rsidP="00680CE7">
            <w:pPr>
              <w:spacing w:line="288" w:lineRule="auto"/>
              <w:jc w:val="both"/>
              <w:rPr>
                <w:lang w:val="en-US"/>
              </w:rPr>
            </w:pPr>
            <w:r>
              <w:rPr>
                <w:lang w:val="en-US"/>
              </w:rPr>
              <w:t>Reference item: 7mL</w:t>
            </w:r>
          </w:p>
        </w:tc>
      </w:tr>
      <w:tr w:rsidR="00FD1859" w:rsidRPr="00A41B49" w14:paraId="4EA68BDB" w14:textId="77777777" w:rsidTr="00680CE7">
        <w:trPr>
          <w:cantSplit/>
          <w:trHeight w:val="468"/>
          <w:jc w:val="center"/>
        </w:trPr>
        <w:tc>
          <w:tcPr>
            <w:tcW w:w="1630" w:type="dxa"/>
            <w:tcBorders>
              <w:top w:val="single" w:sz="6" w:space="0" w:color="auto"/>
              <w:left w:val="single" w:sz="6" w:space="0" w:color="auto"/>
              <w:bottom w:val="single" w:sz="6" w:space="0" w:color="auto"/>
              <w:right w:val="double" w:sz="4" w:space="0" w:color="auto"/>
            </w:tcBorders>
            <w:hideMark/>
          </w:tcPr>
          <w:p w14:paraId="417CEE51" w14:textId="77777777" w:rsidR="00FD1859" w:rsidRPr="00A41B49" w:rsidRDefault="00FD1859" w:rsidP="003D41CE">
            <w:pPr>
              <w:spacing w:line="288" w:lineRule="auto"/>
            </w:pPr>
            <w:r w:rsidRPr="00A41B49">
              <w:t>Accuracy</w:t>
            </w:r>
          </w:p>
        </w:tc>
        <w:tc>
          <w:tcPr>
            <w:tcW w:w="10748" w:type="dxa"/>
            <w:tcBorders>
              <w:top w:val="single" w:sz="6" w:space="0" w:color="auto"/>
              <w:left w:val="double" w:sz="4" w:space="0" w:color="auto"/>
              <w:right w:val="single" w:sz="6" w:space="0" w:color="auto"/>
            </w:tcBorders>
          </w:tcPr>
          <w:p w14:paraId="70CF7C8E" w14:textId="77777777" w:rsidR="00FD1859" w:rsidRDefault="00FD1859" w:rsidP="003D41CE">
            <w:pPr>
              <w:spacing w:line="288" w:lineRule="auto"/>
              <w:rPr>
                <w:lang w:val="en-US"/>
              </w:rPr>
            </w:pPr>
            <w:r w:rsidRPr="006737F2">
              <w:rPr>
                <w:lang w:val="en-US"/>
              </w:rPr>
              <w:t>To define the accuracy of the method, two reconstituted samples of the test item were</w:t>
            </w:r>
            <w:r>
              <w:rPr>
                <w:lang w:val="en-US"/>
              </w:rPr>
              <w:t xml:space="preserve"> </w:t>
            </w:r>
            <w:r w:rsidRPr="006737F2">
              <w:rPr>
                <w:lang w:val="en-US"/>
              </w:rPr>
              <w:t>analysed.</w:t>
            </w:r>
          </w:p>
          <w:p w14:paraId="62EA3956" w14:textId="77777777" w:rsidR="00FD1859" w:rsidRPr="00A41B49" w:rsidRDefault="00FD1859" w:rsidP="003D41CE">
            <w:pPr>
              <w:spacing w:line="288" w:lineRule="auto"/>
              <w:rPr>
                <w:lang w:val="en-US"/>
              </w:rPr>
            </w:pPr>
            <w:r>
              <w:rPr>
                <w:lang w:val="en-US"/>
              </w:rPr>
              <w:t>The mean recovery was found to be 101.9%.</w:t>
            </w:r>
          </w:p>
        </w:tc>
      </w:tr>
    </w:tbl>
    <w:p w14:paraId="665034D0" w14:textId="77777777" w:rsidR="00FD1859" w:rsidRPr="00A345EE" w:rsidRDefault="00FD1859" w:rsidP="00FD1859"/>
    <w:p w14:paraId="2E06EAC0" w14:textId="273C6D7B" w:rsidR="00FD1859" w:rsidRDefault="00FD1859" w:rsidP="00FD1859">
      <w:pPr>
        <w:spacing w:before="60" w:after="60"/>
        <w:rPr>
          <w:rFonts w:ascii="Arial" w:hAnsi="Arial" w:cs="Arial"/>
          <w:b/>
          <w:sz w:val="18"/>
        </w:rPr>
      </w:pPr>
    </w:p>
    <w:p w14:paraId="5440CEF1" w14:textId="7E90F1DA" w:rsidR="0042590C" w:rsidRDefault="0042590C" w:rsidP="00FD1859">
      <w:pPr>
        <w:spacing w:before="60" w:after="60"/>
        <w:rPr>
          <w:rFonts w:ascii="Arial" w:hAnsi="Arial" w:cs="Arial"/>
          <w:b/>
          <w:sz w:val="18"/>
        </w:rPr>
      </w:pPr>
    </w:p>
    <w:p w14:paraId="199B4583" w14:textId="1E0F5D5B" w:rsidR="0042590C" w:rsidRDefault="0042590C" w:rsidP="00FD1859">
      <w:pPr>
        <w:spacing w:before="60" w:after="60"/>
        <w:rPr>
          <w:rFonts w:ascii="Arial" w:hAnsi="Arial" w:cs="Arial"/>
          <w:b/>
          <w:sz w:val="18"/>
        </w:rPr>
      </w:pPr>
    </w:p>
    <w:p w14:paraId="4E7D36E9" w14:textId="447F9EE3" w:rsidR="0042590C" w:rsidRDefault="0042590C" w:rsidP="00FD1859">
      <w:pPr>
        <w:spacing w:before="60" w:after="60"/>
        <w:rPr>
          <w:rFonts w:ascii="Arial" w:hAnsi="Arial" w:cs="Arial"/>
          <w:b/>
          <w:sz w:val="18"/>
        </w:rPr>
      </w:pPr>
    </w:p>
    <w:p w14:paraId="6EFF3AC9" w14:textId="696C984C" w:rsidR="0042590C" w:rsidRDefault="0042590C" w:rsidP="00FD1859">
      <w:pPr>
        <w:spacing w:before="60" w:after="60"/>
        <w:rPr>
          <w:rFonts w:ascii="Arial" w:hAnsi="Arial" w:cs="Arial"/>
          <w:b/>
          <w:sz w:val="18"/>
        </w:rPr>
      </w:pPr>
    </w:p>
    <w:p w14:paraId="061B979F" w14:textId="1A9FBBB3" w:rsidR="0042590C" w:rsidRDefault="0042590C" w:rsidP="00FD1859">
      <w:pPr>
        <w:spacing w:before="60" w:after="60"/>
        <w:rPr>
          <w:rFonts w:ascii="Arial" w:hAnsi="Arial" w:cs="Arial"/>
          <w:b/>
          <w:sz w:val="18"/>
        </w:rPr>
      </w:pPr>
    </w:p>
    <w:p w14:paraId="7CF0871C" w14:textId="361D34A6" w:rsidR="0042590C" w:rsidRDefault="0042590C" w:rsidP="00FD1859">
      <w:pPr>
        <w:spacing w:before="60" w:after="60"/>
        <w:rPr>
          <w:rFonts w:ascii="Arial" w:hAnsi="Arial" w:cs="Arial"/>
          <w:b/>
          <w:sz w:val="18"/>
        </w:rPr>
      </w:pPr>
    </w:p>
    <w:p w14:paraId="19798DAA" w14:textId="6D5B09D7" w:rsidR="0042590C" w:rsidRDefault="0042590C" w:rsidP="00FD1859">
      <w:pPr>
        <w:spacing w:before="60" w:after="60"/>
        <w:rPr>
          <w:rFonts w:ascii="Arial" w:hAnsi="Arial" w:cs="Arial"/>
          <w:b/>
          <w:sz w:val="18"/>
        </w:rPr>
      </w:pPr>
    </w:p>
    <w:p w14:paraId="58956807" w14:textId="77777777" w:rsidR="0042590C" w:rsidRDefault="0042590C" w:rsidP="00FD1859">
      <w:pPr>
        <w:spacing w:before="60" w:after="60"/>
        <w:rPr>
          <w:rFonts w:ascii="Arial" w:hAnsi="Arial" w:cs="Arial"/>
          <w:b/>
          <w:sz w:val="18"/>
        </w:rPr>
      </w:pPr>
    </w:p>
    <w:p w14:paraId="5A68A3C3" w14:textId="08E6891F" w:rsidR="00FD1859" w:rsidRDefault="00FD1859" w:rsidP="00680CE7">
      <w:pPr>
        <w:jc w:val="both"/>
        <w:rPr>
          <w:b/>
        </w:rPr>
      </w:pPr>
      <w:r w:rsidRPr="00A83816">
        <w:rPr>
          <w:b/>
        </w:rPr>
        <w:lastRenderedPageBreak/>
        <w:t xml:space="preserve">Analytical method for determination of </w:t>
      </w:r>
      <w:r>
        <w:rPr>
          <w:b/>
        </w:rPr>
        <w:t>iodide</w:t>
      </w:r>
      <w:r w:rsidRPr="00A83816">
        <w:rPr>
          <w:b/>
        </w:rPr>
        <w:t xml:space="preserve"> in the biocidal product</w:t>
      </w:r>
    </w:p>
    <w:p w14:paraId="0F272F80" w14:textId="77777777" w:rsidR="0042590C" w:rsidRDefault="0042590C" w:rsidP="00680CE7">
      <w:pPr>
        <w:jc w:val="both"/>
        <w:rPr>
          <w:b/>
        </w:rPr>
      </w:pPr>
    </w:p>
    <w:tbl>
      <w:tblPr>
        <w:tblW w:w="1488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067"/>
        <w:gridCol w:w="11817"/>
      </w:tblGrid>
      <w:tr w:rsidR="0042590C" w:rsidRPr="00A41B49" w14:paraId="384E897F" w14:textId="77777777" w:rsidTr="00261A29">
        <w:trPr>
          <w:trHeight w:val="186"/>
        </w:trPr>
        <w:tc>
          <w:tcPr>
            <w:tcW w:w="3067" w:type="dxa"/>
            <w:tcBorders>
              <w:right w:val="single" w:sz="4" w:space="0" w:color="auto"/>
            </w:tcBorders>
            <w:shd w:val="clear" w:color="auto" w:fill="auto"/>
          </w:tcPr>
          <w:p w14:paraId="7A5D7916" w14:textId="77777777" w:rsidR="0042590C" w:rsidRPr="00A41B49" w:rsidRDefault="0042590C" w:rsidP="00261A29">
            <w:pPr>
              <w:pStyle w:val="OECD-table"/>
              <w:rPr>
                <w:rFonts w:ascii="Verdana" w:hAnsi="Verdana"/>
                <w:b/>
                <w:sz w:val="20"/>
                <w:szCs w:val="20"/>
              </w:rPr>
            </w:pPr>
            <w:r w:rsidRPr="00A41B49">
              <w:rPr>
                <w:rFonts w:ascii="Verdana" w:hAnsi="Verdana"/>
                <w:b/>
                <w:sz w:val="20"/>
                <w:szCs w:val="20"/>
              </w:rPr>
              <w:t>Report:</w:t>
            </w:r>
          </w:p>
        </w:tc>
        <w:tc>
          <w:tcPr>
            <w:tcW w:w="11817" w:type="dxa"/>
            <w:tcBorders>
              <w:left w:val="single" w:sz="4" w:space="0" w:color="auto"/>
            </w:tcBorders>
            <w:shd w:val="clear" w:color="auto" w:fill="auto"/>
          </w:tcPr>
          <w:p w14:paraId="6EFB4337" w14:textId="7174DC47" w:rsidR="0042590C" w:rsidRPr="00A41B49" w:rsidRDefault="002C4B6A" w:rsidP="00261A29">
            <w:pPr>
              <w:rPr>
                <w:lang w:val="fr-FR"/>
              </w:rPr>
            </w:pPr>
            <w:r>
              <w:rPr>
                <w:lang w:val="fr-FR"/>
              </w:rPr>
              <w:t>Ricau H.</w:t>
            </w:r>
            <w:r w:rsidR="0042590C">
              <w:rPr>
                <w:lang w:val="fr-FR"/>
              </w:rPr>
              <w:t>, 2020</w:t>
            </w:r>
          </w:p>
        </w:tc>
      </w:tr>
      <w:tr w:rsidR="0042590C" w:rsidRPr="00C1749F" w14:paraId="69C567C6" w14:textId="77777777" w:rsidTr="00261A29">
        <w:trPr>
          <w:trHeight w:val="178"/>
        </w:trPr>
        <w:tc>
          <w:tcPr>
            <w:tcW w:w="3067" w:type="dxa"/>
            <w:tcBorders>
              <w:right w:val="single" w:sz="4" w:space="0" w:color="auto"/>
            </w:tcBorders>
            <w:shd w:val="clear" w:color="auto" w:fill="auto"/>
          </w:tcPr>
          <w:p w14:paraId="37FD91FF" w14:textId="77777777" w:rsidR="0042590C" w:rsidRPr="00A41B49" w:rsidRDefault="0042590C" w:rsidP="00261A29">
            <w:pPr>
              <w:pStyle w:val="OECD-table"/>
              <w:jc w:val="both"/>
              <w:rPr>
                <w:rFonts w:ascii="Verdana" w:hAnsi="Verdana"/>
                <w:sz w:val="20"/>
                <w:szCs w:val="20"/>
                <w:lang w:val="fr-FR"/>
              </w:rPr>
            </w:pPr>
            <w:r w:rsidRPr="00A41B49">
              <w:rPr>
                <w:rFonts w:ascii="Verdana" w:hAnsi="Verdana"/>
                <w:sz w:val="20"/>
                <w:szCs w:val="20"/>
                <w:lang w:val="fr-FR"/>
              </w:rPr>
              <w:t>Title:</w:t>
            </w:r>
          </w:p>
        </w:tc>
        <w:tc>
          <w:tcPr>
            <w:tcW w:w="11817" w:type="dxa"/>
            <w:tcBorders>
              <w:left w:val="single" w:sz="4" w:space="0" w:color="auto"/>
            </w:tcBorders>
            <w:shd w:val="clear" w:color="auto" w:fill="auto"/>
          </w:tcPr>
          <w:p w14:paraId="15D6BAB5" w14:textId="588B7A98" w:rsidR="0042590C" w:rsidRPr="00C1749F" w:rsidRDefault="0042590C" w:rsidP="0042590C">
            <w:pPr>
              <w:autoSpaceDE w:val="0"/>
              <w:autoSpaceDN w:val="0"/>
              <w:adjustRightInd w:val="0"/>
              <w:rPr>
                <w:bCs/>
                <w:lang w:val="en-US"/>
              </w:rPr>
            </w:pPr>
            <w:r w:rsidRPr="0042590C">
              <w:rPr>
                <w:color w:val="000000"/>
                <w:lang w:val="en-US"/>
              </w:rPr>
              <w:t>Validation of the analytical method for the</w:t>
            </w:r>
            <w:r>
              <w:rPr>
                <w:color w:val="000000"/>
                <w:lang w:val="en-US"/>
              </w:rPr>
              <w:t xml:space="preserve"> </w:t>
            </w:r>
            <w:r w:rsidRPr="0042590C">
              <w:rPr>
                <w:color w:val="000000"/>
                <w:lang w:val="en-US"/>
              </w:rPr>
              <w:t>determination of iodide</w:t>
            </w:r>
            <w:r>
              <w:rPr>
                <w:color w:val="000000"/>
                <w:lang w:val="en-US"/>
              </w:rPr>
              <w:t xml:space="preserve"> </w:t>
            </w:r>
            <w:r w:rsidRPr="0042590C">
              <w:rPr>
                <w:color w:val="000000"/>
                <w:lang w:val="en-US"/>
              </w:rPr>
              <w:t>in IODIGUARD</w:t>
            </w:r>
          </w:p>
        </w:tc>
      </w:tr>
      <w:tr w:rsidR="0042590C" w:rsidRPr="00A41B49" w14:paraId="41E1F4A6" w14:textId="77777777" w:rsidTr="00261A29">
        <w:trPr>
          <w:trHeight w:val="186"/>
        </w:trPr>
        <w:tc>
          <w:tcPr>
            <w:tcW w:w="3067" w:type="dxa"/>
            <w:tcBorders>
              <w:right w:val="single" w:sz="4" w:space="0" w:color="auto"/>
            </w:tcBorders>
            <w:shd w:val="clear" w:color="auto" w:fill="auto"/>
          </w:tcPr>
          <w:p w14:paraId="552B15B5" w14:textId="77777777" w:rsidR="0042590C" w:rsidRPr="00A41B49" w:rsidRDefault="0042590C" w:rsidP="00261A29">
            <w:pPr>
              <w:pStyle w:val="OECD-table"/>
              <w:rPr>
                <w:rFonts w:ascii="Verdana" w:hAnsi="Verdana"/>
                <w:sz w:val="20"/>
                <w:szCs w:val="20"/>
                <w:lang w:val="fr-FR"/>
              </w:rPr>
            </w:pPr>
            <w:r w:rsidRPr="00A41B49">
              <w:rPr>
                <w:rFonts w:ascii="Verdana" w:hAnsi="Verdana"/>
                <w:sz w:val="20"/>
                <w:szCs w:val="20"/>
                <w:lang w:val="fr-FR"/>
              </w:rPr>
              <w:t>Document No</w:t>
            </w:r>
          </w:p>
        </w:tc>
        <w:tc>
          <w:tcPr>
            <w:tcW w:w="11817" w:type="dxa"/>
            <w:tcBorders>
              <w:left w:val="single" w:sz="4" w:space="0" w:color="auto"/>
            </w:tcBorders>
            <w:shd w:val="clear" w:color="auto" w:fill="auto"/>
          </w:tcPr>
          <w:p w14:paraId="70ECA77A" w14:textId="08B16038" w:rsidR="0042590C" w:rsidRPr="00A41B49" w:rsidRDefault="0042590C" w:rsidP="00261A29">
            <w:pPr>
              <w:pStyle w:val="OECD-table"/>
              <w:rPr>
                <w:rFonts w:ascii="Verdana" w:hAnsi="Verdana"/>
                <w:sz w:val="20"/>
                <w:szCs w:val="20"/>
                <w:lang w:val="fr-FR"/>
              </w:rPr>
            </w:pPr>
            <w:r>
              <w:rPr>
                <w:rFonts w:ascii="Verdana" w:hAnsi="Verdana"/>
                <w:sz w:val="20"/>
                <w:szCs w:val="20"/>
                <w:lang w:val="fr-FR"/>
              </w:rPr>
              <w:t>20-912017-001</w:t>
            </w:r>
          </w:p>
        </w:tc>
      </w:tr>
      <w:tr w:rsidR="0042590C" w:rsidRPr="00C1749F" w14:paraId="10B42F0F" w14:textId="77777777" w:rsidTr="00261A29">
        <w:trPr>
          <w:trHeight w:val="344"/>
        </w:trPr>
        <w:tc>
          <w:tcPr>
            <w:tcW w:w="3067" w:type="dxa"/>
            <w:tcBorders>
              <w:right w:val="single" w:sz="4" w:space="0" w:color="auto"/>
            </w:tcBorders>
            <w:shd w:val="clear" w:color="auto" w:fill="auto"/>
          </w:tcPr>
          <w:p w14:paraId="14734B91" w14:textId="77777777" w:rsidR="0042590C" w:rsidRPr="00A41B49" w:rsidRDefault="0042590C" w:rsidP="00261A29">
            <w:pPr>
              <w:pStyle w:val="OECD-table"/>
              <w:rPr>
                <w:rFonts w:ascii="Verdana" w:hAnsi="Verdana"/>
                <w:sz w:val="20"/>
                <w:szCs w:val="20"/>
                <w:lang w:val="fr-FR"/>
              </w:rPr>
            </w:pPr>
            <w:r w:rsidRPr="00A41B49">
              <w:rPr>
                <w:rFonts w:ascii="Verdana" w:hAnsi="Verdana"/>
                <w:sz w:val="20"/>
                <w:szCs w:val="20"/>
                <w:lang w:val="fr-FR"/>
              </w:rPr>
              <w:t>Test facility</w:t>
            </w:r>
          </w:p>
        </w:tc>
        <w:tc>
          <w:tcPr>
            <w:tcW w:w="11817" w:type="dxa"/>
            <w:tcBorders>
              <w:left w:val="single" w:sz="4" w:space="0" w:color="auto"/>
            </w:tcBorders>
            <w:shd w:val="clear" w:color="auto" w:fill="auto"/>
          </w:tcPr>
          <w:p w14:paraId="2626A330" w14:textId="77777777" w:rsidR="0042590C" w:rsidRPr="00096A18" w:rsidRDefault="0042590C" w:rsidP="00261A29">
            <w:pPr>
              <w:pStyle w:val="OECD-table"/>
              <w:rPr>
                <w:rFonts w:ascii="Verdana" w:hAnsi="Verdana"/>
                <w:sz w:val="20"/>
                <w:szCs w:val="20"/>
                <w:lang w:val="fr-FR"/>
              </w:rPr>
            </w:pPr>
            <w:r w:rsidRPr="00096A18">
              <w:rPr>
                <w:rFonts w:ascii="Verdana" w:hAnsi="Verdana"/>
                <w:sz w:val="20"/>
                <w:szCs w:val="20"/>
                <w:lang w:val="fr-FR"/>
              </w:rPr>
              <w:t>DEFITRACES</w:t>
            </w:r>
          </w:p>
          <w:p w14:paraId="334F340B" w14:textId="77777777" w:rsidR="0042590C" w:rsidRPr="00096A18" w:rsidRDefault="0042590C" w:rsidP="00261A29">
            <w:pPr>
              <w:pStyle w:val="OECD-table"/>
              <w:rPr>
                <w:rFonts w:ascii="Verdana" w:hAnsi="Verdana"/>
                <w:sz w:val="20"/>
                <w:szCs w:val="20"/>
                <w:lang w:val="fr-FR"/>
              </w:rPr>
            </w:pPr>
            <w:r w:rsidRPr="00096A18">
              <w:rPr>
                <w:rFonts w:ascii="Verdana" w:hAnsi="Verdana"/>
                <w:sz w:val="20"/>
                <w:szCs w:val="20"/>
                <w:lang w:val="fr-FR"/>
              </w:rPr>
              <w:t>Z.A. des Andrés</w:t>
            </w:r>
          </w:p>
          <w:p w14:paraId="008C480A" w14:textId="77777777" w:rsidR="0042590C" w:rsidRPr="00096A18" w:rsidRDefault="0042590C" w:rsidP="00261A29">
            <w:pPr>
              <w:pStyle w:val="OECD-table"/>
              <w:rPr>
                <w:rFonts w:ascii="Verdana" w:hAnsi="Verdana"/>
                <w:sz w:val="20"/>
                <w:szCs w:val="20"/>
                <w:lang w:val="fr-FR"/>
              </w:rPr>
            </w:pPr>
            <w:r w:rsidRPr="00096A18">
              <w:rPr>
                <w:rFonts w:ascii="Verdana" w:hAnsi="Verdana"/>
                <w:sz w:val="20"/>
                <w:szCs w:val="20"/>
                <w:lang w:val="fr-FR"/>
              </w:rPr>
              <w:t>150, rue Pré-Magne</w:t>
            </w:r>
          </w:p>
          <w:p w14:paraId="20B46A65" w14:textId="77777777" w:rsidR="0042590C" w:rsidRPr="00096A18" w:rsidRDefault="0042590C" w:rsidP="00261A29">
            <w:pPr>
              <w:pStyle w:val="OECD-table"/>
              <w:rPr>
                <w:rFonts w:ascii="Verdana" w:hAnsi="Verdana"/>
                <w:sz w:val="20"/>
                <w:szCs w:val="20"/>
                <w:lang w:val="fr-FR"/>
              </w:rPr>
            </w:pPr>
            <w:r w:rsidRPr="00096A18">
              <w:rPr>
                <w:rFonts w:ascii="Verdana" w:hAnsi="Verdana"/>
                <w:sz w:val="20"/>
                <w:szCs w:val="20"/>
                <w:lang w:val="fr-FR"/>
              </w:rPr>
              <w:t>69126 BRINDAS</w:t>
            </w:r>
          </w:p>
          <w:p w14:paraId="44627876" w14:textId="77777777" w:rsidR="0042590C" w:rsidRPr="00A41B49" w:rsidRDefault="0042590C" w:rsidP="00261A29">
            <w:pPr>
              <w:pStyle w:val="OECD-table"/>
              <w:rPr>
                <w:rFonts w:ascii="Verdana" w:hAnsi="Verdana"/>
                <w:sz w:val="20"/>
                <w:szCs w:val="20"/>
                <w:lang w:val="fr-FR"/>
              </w:rPr>
            </w:pPr>
            <w:r w:rsidRPr="00096A18">
              <w:rPr>
                <w:rFonts w:ascii="Verdana" w:hAnsi="Verdana"/>
                <w:sz w:val="20"/>
                <w:szCs w:val="20"/>
                <w:lang w:val="fr-FR"/>
              </w:rPr>
              <w:t>FRANCE</w:t>
            </w:r>
          </w:p>
        </w:tc>
      </w:tr>
      <w:tr w:rsidR="0042590C" w:rsidRPr="00A41B49" w14:paraId="43277AFC" w14:textId="77777777" w:rsidTr="00261A29">
        <w:trPr>
          <w:trHeight w:val="186"/>
        </w:trPr>
        <w:tc>
          <w:tcPr>
            <w:tcW w:w="3067" w:type="dxa"/>
            <w:tcBorders>
              <w:right w:val="single" w:sz="4" w:space="0" w:color="auto"/>
            </w:tcBorders>
            <w:shd w:val="clear" w:color="auto" w:fill="auto"/>
          </w:tcPr>
          <w:p w14:paraId="6B7E08B2" w14:textId="77777777" w:rsidR="0042590C" w:rsidRPr="00A41B49" w:rsidRDefault="0042590C" w:rsidP="00261A29">
            <w:pPr>
              <w:pStyle w:val="OECD-table"/>
              <w:rPr>
                <w:rFonts w:ascii="Verdana" w:hAnsi="Verdana"/>
                <w:sz w:val="20"/>
                <w:szCs w:val="20"/>
              </w:rPr>
            </w:pPr>
            <w:r w:rsidRPr="00A41B49">
              <w:rPr>
                <w:rFonts w:ascii="Verdana" w:hAnsi="Verdana"/>
                <w:sz w:val="20"/>
                <w:szCs w:val="20"/>
              </w:rPr>
              <w:t>Guidelines:</w:t>
            </w:r>
          </w:p>
        </w:tc>
        <w:tc>
          <w:tcPr>
            <w:tcW w:w="11817" w:type="dxa"/>
            <w:tcBorders>
              <w:left w:val="single" w:sz="4" w:space="0" w:color="auto"/>
            </w:tcBorders>
            <w:shd w:val="clear" w:color="auto" w:fill="auto"/>
          </w:tcPr>
          <w:p w14:paraId="5D2081FC" w14:textId="77777777" w:rsidR="0042590C" w:rsidRPr="00A41B49" w:rsidRDefault="0042590C" w:rsidP="00261A29">
            <w:pPr>
              <w:pStyle w:val="OECD-table"/>
              <w:rPr>
                <w:rFonts w:ascii="Verdana" w:hAnsi="Verdana"/>
                <w:sz w:val="20"/>
                <w:szCs w:val="20"/>
              </w:rPr>
            </w:pPr>
            <w:r w:rsidRPr="00A41B49">
              <w:rPr>
                <w:rFonts w:ascii="Verdana" w:hAnsi="Verdana"/>
                <w:sz w:val="20"/>
                <w:szCs w:val="20"/>
              </w:rPr>
              <w:t>-</w:t>
            </w:r>
          </w:p>
        </w:tc>
      </w:tr>
      <w:tr w:rsidR="0042590C" w:rsidRPr="00A41B49" w14:paraId="1B8B7929" w14:textId="77777777" w:rsidTr="00261A29">
        <w:trPr>
          <w:trHeight w:val="178"/>
        </w:trPr>
        <w:tc>
          <w:tcPr>
            <w:tcW w:w="3067" w:type="dxa"/>
            <w:tcBorders>
              <w:right w:val="single" w:sz="4" w:space="0" w:color="auto"/>
            </w:tcBorders>
            <w:shd w:val="clear" w:color="auto" w:fill="auto"/>
          </w:tcPr>
          <w:p w14:paraId="5CA5F89A" w14:textId="77777777" w:rsidR="0042590C" w:rsidRPr="00A41B49" w:rsidRDefault="0042590C" w:rsidP="00261A29">
            <w:pPr>
              <w:pStyle w:val="OECD-table"/>
              <w:rPr>
                <w:rFonts w:ascii="Verdana" w:hAnsi="Verdana"/>
                <w:sz w:val="20"/>
                <w:szCs w:val="20"/>
              </w:rPr>
            </w:pPr>
            <w:r w:rsidRPr="00A41B49">
              <w:rPr>
                <w:rFonts w:ascii="Verdana" w:hAnsi="Verdana"/>
                <w:sz w:val="20"/>
                <w:szCs w:val="20"/>
              </w:rPr>
              <w:t>GLP</w:t>
            </w:r>
          </w:p>
        </w:tc>
        <w:tc>
          <w:tcPr>
            <w:tcW w:w="11817" w:type="dxa"/>
            <w:tcBorders>
              <w:left w:val="single" w:sz="4" w:space="0" w:color="auto"/>
            </w:tcBorders>
            <w:shd w:val="clear" w:color="auto" w:fill="auto"/>
          </w:tcPr>
          <w:p w14:paraId="663F0ABA" w14:textId="77777777" w:rsidR="0042590C" w:rsidRPr="00A41B49" w:rsidRDefault="0042590C" w:rsidP="00261A29">
            <w:pPr>
              <w:pStyle w:val="OECD-table"/>
              <w:rPr>
                <w:rFonts w:ascii="Verdana" w:hAnsi="Verdana"/>
                <w:sz w:val="20"/>
                <w:szCs w:val="20"/>
              </w:rPr>
            </w:pPr>
            <w:r>
              <w:rPr>
                <w:rFonts w:ascii="Verdana" w:hAnsi="Verdana"/>
                <w:sz w:val="20"/>
                <w:szCs w:val="20"/>
              </w:rPr>
              <w:t>Yes</w:t>
            </w:r>
          </w:p>
        </w:tc>
      </w:tr>
    </w:tbl>
    <w:p w14:paraId="099BDB9A" w14:textId="77777777" w:rsidR="0042590C" w:rsidRDefault="0042590C" w:rsidP="00680CE7">
      <w:pPr>
        <w:jc w:val="both"/>
        <w:rPr>
          <w:bCs/>
        </w:rPr>
      </w:pPr>
    </w:p>
    <w:tbl>
      <w:tblPr>
        <w:tblW w:w="1488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067"/>
        <w:gridCol w:w="11817"/>
      </w:tblGrid>
      <w:tr w:rsidR="0042590C" w:rsidRPr="00A41B49" w14:paraId="2C1A6780" w14:textId="77777777" w:rsidTr="00261A29">
        <w:trPr>
          <w:trHeight w:val="186"/>
        </w:trPr>
        <w:tc>
          <w:tcPr>
            <w:tcW w:w="3067" w:type="dxa"/>
            <w:tcBorders>
              <w:right w:val="single" w:sz="4" w:space="0" w:color="auto"/>
            </w:tcBorders>
            <w:shd w:val="clear" w:color="auto" w:fill="auto"/>
          </w:tcPr>
          <w:p w14:paraId="2288A62C" w14:textId="77777777" w:rsidR="0042590C" w:rsidRPr="00A41B49" w:rsidRDefault="0042590C" w:rsidP="00261A29">
            <w:pPr>
              <w:pStyle w:val="OECD-table"/>
              <w:rPr>
                <w:rFonts w:ascii="Verdana" w:hAnsi="Verdana"/>
                <w:b/>
                <w:sz w:val="20"/>
                <w:szCs w:val="20"/>
              </w:rPr>
            </w:pPr>
            <w:r w:rsidRPr="00A41B49">
              <w:rPr>
                <w:rFonts w:ascii="Verdana" w:hAnsi="Verdana"/>
                <w:b/>
                <w:sz w:val="20"/>
                <w:szCs w:val="20"/>
              </w:rPr>
              <w:t>Report:</w:t>
            </w:r>
          </w:p>
        </w:tc>
        <w:tc>
          <w:tcPr>
            <w:tcW w:w="11817" w:type="dxa"/>
            <w:tcBorders>
              <w:left w:val="single" w:sz="4" w:space="0" w:color="auto"/>
            </w:tcBorders>
            <w:shd w:val="clear" w:color="auto" w:fill="auto"/>
          </w:tcPr>
          <w:p w14:paraId="6F5BB422" w14:textId="4FA0E117" w:rsidR="0042590C" w:rsidRPr="00A41B49" w:rsidRDefault="002C4B6A" w:rsidP="00261A29">
            <w:pPr>
              <w:rPr>
                <w:lang w:val="fr-FR"/>
              </w:rPr>
            </w:pPr>
            <w:r>
              <w:rPr>
                <w:lang w:val="fr-FR"/>
              </w:rPr>
              <w:t>Ricau H.</w:t>
            </w:r>
            <w:r w:rsidR="0042590C">
              <w:rPr>
                <w:lang w:val="fr-FR"/>
              </w:rPr>
              <w:t>, 2020</w:t>
            </w:r>
          </w:p>
        </w:tc>
      </w:tr>
      <w:tr w:rsidR="0042590C" w:rsidRPr="00C1749F" w14:paraId="72D3652D" w14:textId="77777777" w:rsidTr="00261A29">
        <w:trPr>
          <w:trHeight w:val="178"/>
        </w:trPr>
        <w:tc>
          <w:tcPr>
            <w:tcW w:w="3067" w:type="dxa"/>
            <w:tcBorders>
              <w:right w:val="single" w:sz="4" w:space="0" w:color="auto"/>
            </w:tcBorders>
            <w:shd w:val="clear" w:color="auto" w:fill="auto"/>
          </w:tcPr>
          <w:p w14:paraId="0C0169C0" w14:textId="77777777" w:rsidR="0042590C" w:rsidRPr="00A41B49" w:rsidRDefault="0042590C" w:rsidP="00261A29">
            <w:pPr>
              <w:pStyle w:val="OECD-table"/>
              <w:jc w:val="both"/>
              <w:rPr>
                <w:rFonts w:ascii="Verdana" w:hAnsi="Verdana"/>
                <w:sz w:val="20"/>
                <w:szCs w:val="20"/>
                <w:lang w:val="fr-FR"/>
              </w:rPr>
            </w:pPr>
            <w:r w:rsidRPr="00A41B49">
              <w:rPr>
                <w:rFonts w:ascii="Verdana" w:hAnsi="Verdana"/>
                <w:sz w:val="20"/>
                <w:szCs w:val="20"/>
                <w:lang w:val="fr-FR"/>
              </w:rPr>
              <w:t>Title:</w:t>
            </w:r>
          </w:p>
        </w:tc>
        <w:tc>
          <w:tcPr>
            <w:tcW w:w="11817" w:type="dxa"/>
            <w:tcBorders>
              <w:left w:val="single" w:sz="4" w:space="0" w:color="auto"/>
            </w:tcBorders>
            <w:shd w:val="clear" w:color="auto" w:fill="auto"/>
          </w:tcPr>
          <w:p w14:paraId="2D42B2D5" w14:textId="0A98C9B3" w:rsidR="0042590C" w:rsidRPr="00C1749F" w:rsidRDefault="0042590C" w:rsidP="0042590C">
            <w:pPr>
              <w:autoSpaceDE w:val="0"/>
              <w:autoSpaceDN w:val="0"/>
              <w:adjustRightInd w:val="0"/>
              <w:rPr>
                <w:bCs/>
                <w:lang w:val="en-US"/>
              </w:rPr>
            </w:pPr>
            <w:r w:rsidRPr="0042590C">
              <w:rPr>
                <w:color w:val="000000"/>
                <w:lang w:val="en-US"/>
              </w:rPr>
              <w:t>Validation of the analytical method for the</w:t>
            </w:r>
            <w:r>
              <w:rPr>
                <w:color w:val="000000"/>
                <w:lang w:val="en-US"/>
              </w:rPr>
              <w:t xml:space="preserve"> </w:t>
            </w:r>
            <w:r w:rsidRPr="0042590C">
              <w:rPr>
                <w:color w:val="000000"/>
                <w:lang w:val="en-US"/>
              </w:rPr>
              <w:t>determination of iodide</w:t>
            </w:r>
            <w:r>
              <w:rPr>
                <w:color w:val="000000"/>
                <w:lang w:val="en-US"/>
              </w:rPr>
              <w:t xml:space="preserve"> </w:t>
            </w:r>
            <w:r w:rsidRPr="0042590C">
              <w:rPr>
                <w:color w:val="000000"/>
                <w:lang w:val="en-US"/>
              </w:rPr>
              <w:t xml:space="preserve">in </w:t>
            </w:r>
            <w:r>
              <w:rPr>
                <w:color w:val="000000"/>
                <w:lang w:val="en-US"/>
              </w:rPr>
              <w:t>ALGOFILM</w:t>
            </w:r>
          </w:p>
        </w:tc>
      </w:tr>
      <w:tr w:rsidR="0042590C" w:rsidRPr="00A41B49" w14:paraId="54682C86" w14:textId="77777777" w:rsidTr="00261A29">
        <w:trPr>
          <w:trHeight w:val="186"/>
        </w:trPr>
        <w:tc>
          <w:tcPr>
            <w:tcW w:w="3067" w:type="dxa"/>
            <w:tcBorders>
              <w:right w:val="single" w:sz="4" w:space="0" w:color="auto"/>
            </w:tcBorders>
            <w:shd w:val="clear" w:color="auto" w:fill="auto"/>
          </w:tcPr>
          <w:p w14:paraId="32DD5A59" w14:textId="77777777" w:rsidR="0042590C" w:rsidRPr="00A41B49" w:rsidRDefault="0042590C" w:rsidP="00261A29">
            <w:pPr>
              <w:pStyle w:val="OECD-table"/>
              <w:rPr>
                <w:rFonts w:ascii="Verdana" w:hAnsi="Verdana"/>
                <w:sz w:val="20"/>
                <w:szCs w:val="20"/>
                <w:lang w:val="fr-FR"/>
              </w:rPr>
            </w:pPr>
            <w:r w:rsidRPr="00A41B49">
              <w:rPr>
                <w:rFonts w:ascii="Verdana" w:hAnsi="Verdana"/>
                <w:sz w:val="20"/>
                <w:szCs w:val="20"/>
                <w:lang w:val="fr-FR"/>
              </w:rPr>
              <w:t>Document No</w:t>
            </w:r>
          </w:p>
        </w:tc>
        <w:tc>
          <w:tcPr>
            <w:tcW w:w="11817" w:type="dxa"/>
            <w:tcBorders>
              <w:left w:val="single" w:sz="4" w:space="0" w:color="auto"/>
            </w:tcBorders>
            <w:shd w:val="clear" w:color="auto" w:fill="auto"/>
          </w:tcPr>
          <w:p w14:paraId="70DFCA7E" w14:textId="75A8EE67" w:rsidR="0042590C" w:rsidRPr="00A41B49" w:rsidRDefault="0042590C" w:rsidP="00261A29">
            <w:pPr>
              <w:pStyle w:val="OECD-table"/>
              <w:rPr>
                <w:rFonts w:ascii="Verdana" w:hAnsi="Verdana"/>
                <w:sz w:val="20"/>
                <w:szCs w:val="20"/>
                <w:lang w:val="fr-FR"/>
              </w:rPr>
            </w:pPr>
            <w:r>
              <w:rPr>
                <w:rFonts w:ascii="Verdana" w:hAnsi="Verdana"/>
                <w:sz w:val="20"/>
                <w:szCs w:val="20"/>
                <w:lang w:val="fr-FR"/>
              </w:rPr>
              <w:t>20-912017-007</w:t>
            </w:r>
          </w:p>
        </w:tc>
      </w:tr>
      <w:tr w:rsidR="0042590C" w:rsidRPr="00C1749F" w14:paraId="2A76FA4B" w14:textId="77777777" w:rsidTr="00261A29">
        <w:trPr>
          <w:trHeight w:val="344"/>
        </w:trPr>
        <w:tc>
          <w:tcPr>
            <w:tcW w:w="3067" w:type="dxa"/>
            <w:tcBorders>
              <w:right w:val="single" w:sz="4" w:space="0" w:color="auto"/>
            </w:tcBorders>
            <w:shd w:val="clear" w:color="auto" w:fill="auto"/>
          </w:tcPr>
          <w:p w14:paraId="3B80E81F" w14:textId="77777777" w:rsidR="0042590C" w:rsidRPr="00A41B49" w:rsidRDefault="0042590C" w:rsidP="00261A29">
            <w:pPr>
              <w:pStyle w:val="OECD-table"/>
              <w:rPr>
                <w:rFonts w:ascii="Verdana" w:hAnsi="Verdana"/>
                <w:sz w:val="20"/>
                <w:szCs w:val="20"/>
                <w:lang w:val="fr-FR"/>
              </w:rPr>
            </w:pPr>
            <w:r w:rsidRPr="00A41B49">
              <w:rPr>
                <w:rFonts w:ascii="Verdana" w:hAnsi="Verdana"/>
                <w:sz w:val="20"/>
                <w:szCs w:val="20"/>
                <w:lang w:val="fr-FR"/>
              </w:rPr>
              <w:t>Test facility</w:t>
            </w:r>
          </w:p>
        </w:tc>
        <w:tc>
          <w:tcPr>
            <w:tcW w:w="11817" w:type="dxa"/>
            <w:tcBorders>
              <w:left w:val="single" w:sz="4" w:space="0" w:color="auto"/>
            </w:tcBorders>
            <w:shd w:val="clear" w:color="auto" w:fill="auto"/>
          </w:tcPr>
          <w:p w14:paraId="5B55C620" w14:textId="77777777" w:rsidR="0042590C" w:rsidRPr="00096A18" w:rsidRDefault="0042590C" w:rsidP="00261A29">
            <w:pPr>
              <w:pStyle w:val="OECD-table"/>
              <w:rPr>
                <w:rFonts w:ascii="Verdana" w:hAnsi="Verdana"/>
                <w:sz w:val="20"/>
                <w:szCs w:val="20"/>
                <w:lang w:val="fr-FR"/>
              </w:rPr>
            </w:pPr>
            <w:r w:rsidRPr="00096A18">
              <w:rPr>
                <w:rFonts w:ascii="Verdana" w:hAnsi="Verdana"/>
                <w:sz w:val="20"/>
                <w:szCs w:val="20"/>
                <w:lang w:val="fr-FR"/>
              </w:rPr>
              <w:t>DEFITRACES</w:t>
            </w:r>
          </w:p>
          <w:p w14:paraId="049EA3CD" w14:textId="77777777" w:rsidR="0042590C" w:rsidRPr="00096A18" w:rsidRDefault="0042590C" w:rsidP="00261A29">
            <w:pPr>
              <w:pStyle w:val="OECD-table"/>
              <w:rPr>
                <w:rFonts w:ascii="Verdana" w:hAnsi="Verdana"/>
                <w:sz w:val="20"/>
                <w:szCs w:val="20"/>
                <w:lang w:val="fr-FR"/>
              </w:rPr>
            </w:pPr>
            <w:r w:rsidRPr="00096A18">
              <w:rPr>
                <w:rFonts w:ascii="Verdana" w:hAnsi="Verdana"/>
                <w:sz w:val="20"/>
                <w:szCs w:val="20"/>
                <w:lang w:val="fr-FR"/>
              </w:rPr>
              <w:t>Z.A. des Andrés</w:t>
            </w:r>
          </w:p>
          <w:p w14:paraId="54FEB1B5" w14:textId="77777777" w:rsidR="0042590C" w:rsidRPr="00096A18" w:rsidRDefault="0042590C" w:rsidP="00261A29">
            <w:pPr>
              <w:pStyle w:val="OECD-table"/>
              <w:rPr>
                <w:rFonts w:ascii="Verdana" w:hAnsi="Verdana"/>
                <w:sz w:val="20"/>
                <w:szCs w:val="20"/>
                <w:lang w:val="fr-FR"/>
              </w:rPr>
            </w:pPr>
            <w:r w:rsidRPr="00096A18">
              <w:rPr>
                <w:rFonts w:ascii="Verdana" w:hAnsi="Verdana"/>
                <w:sz w:val="20"/>
                <w:szCs w:val="20"/>
                <w:lang w:val="fr-FR"/>
              </w:rPr>
              <w:t>150, rue Pré-Magne</w:t>
            </w:r>
          </w:p>
          <w:p w14:paraId="49F45C79" w14:textId="77777777" w:rsidR="0042590C" w:rsidRPr="00096A18" w:rsidRDefault="0042590C" w:rsidP="00261A29">
            <w:pPr>
              <w:pStyle w:val="OECD-table"/>
              <w:rPr>
                <w:rFonts w:ascii="Verdana" w:hAnsi="Verdana"/>
                <w:sz w:val="20"/>
                <w:szCs w:val="20"/>
                <w:lang w:val="fr-FR"/>
              </w:rPr>
            </w:pPr>
            <w:r w:rsidRPr="00096A18">
              <w:rPr>
                <w:rFonts w:ascii="Verdana" w:hAnsi="Verdana"/>
                <w:sz w:val="20"/>
                <w:szCs w:val="20"/>
                <w:lang w:val="fr-FR"/>
              </w:rPr>
              <w:t>69126 BRINDAS</w:t>
            </w:r>
          </w:p>
          <w:p w14:paraId="3E8C6121" w14:textId="77777777" w:rsidR="0042590C" w:rsidRPr="00A41B49" w:rsidRDefault="0042590C" w:rsidP="00261A29">
            <w:pPr>
              <w:pStyle w:val="OECD-table"/>
              <w:rPr>
                <w:rFonts w:ascii="Verdana" w:hAnsi="Verdana"/>
                <w:sz w:val="20"/>
                <w:szCs w:val="20"/>
                <w:lang w:val="fr-FR"/>
              </w:rPr>
            </w:pPr>
            <w:r w:rsidRPr="00096A18">
              <w:rPr>
                <w:rFonts w:ascii="Verdana" w:hAnsi="Verdana"/>
                <w:sz w:val="20"/>
                <w:szCs w:val="20"/>
                <w:lang w:val="fr-FR"/>
              </w:rPr>
              <w:t>FRANCE</w:t>
            </w:r>
          </w:p>
        </w:tc>
      </w:tr>
      <w:tr w:rsidR="0042590C" w:rsidRPr="00A41B49" w14:paraId="604D4067" w14:textId="77777777" w:rsidTr="00261A29">
        <w:trPr>
          <w:trHeight w:val="186"/>
        </w:trPr>
        <w:tc>
          <w:tcPr>
            <w:tcW w:w="3067" w:type="dxa"/>
            <w:tcBorders>
              <w:right w:val="single" w:sz="4" w:space="0" w:color="auto"/>
            </w:tcBorders>
            <w:shd w:val="clear" w:color="auto" w:fill="auto"/>
          </w:tcPr>
          <w:p w14:paraId="316CD7C7" w14:textId="77777777" w:rsidR="0042590C" w:rsidRPr="00A41B49" w:rsidRDefault="0042590C" w:rsidP="00261A29">
            <w:pPr>
              <w:pStyle w:val="OECD-table"/>
              <w:rPr>
                <w:rFonts w:ascii="Verdana" w:hAnsi="Verdana"/>
                <w:sz w:val="20"/>
                <w:szCs w:val="20"/>
              </w:rPr>
            </w:pPr>
            <w:r w:rsidRPr="00A41B49">
              <w:rPr>
                <w:rFonts w:ascii="Verdana" w:hAnsi="Verdana"/>
                <w:sz w:val="20"/>
                <w:szCs w:val="20"/>
              </w:rPr>
              <w:t>Guidelines:</w:t>
            </w:r>
          </w:p>
        </w:tc>
        <w:tc>
          <w:tcPr>
            <w:tcW w:w="11817" w:type="dxa"/>
            <w:tcBorders>
              <w:left w:val="single" w:sz="4" w:space="0" w:color="auto"/>
            </w:tcBorders>
            <w:shd w:val="clear" w:color="auto" w:fill="auto"/>
          </w:tcPr>
          <w:p w14:paraId="379EC08A" w14:textId="77777777" w:rsidR="0042590C" w:rsidRPr="00A41B49" w:rsidRDefault="0042590C" w:rsidP="00261A29">
            <w:pPr>
              <w:pStyle w:val="OECD-table"/>
              <w:rPr>
                <w:rFonts w:ascii="Verdana" w:hAnsi="Verdana"/>
                <w:sz w:val="20"/>
                <w:szCs w:val="20"/>
              </w:rPr>
            </w:pPr>
            <w:r w:rsidRPr="00A41B49">
              <w:rPr>
                <w:rFonts w:ascii="Verdana" w:hAnsi="Verdana"/>
                <w:sz w:val="20"/>
                <w:szCs w:val="20"/>
              </w:rPr>
              <w:t>-</w:t>
            </w:r>
          </w:p>
        </w:tc>
      </w:tr>
      <w:tr w:rsidR="0042590C" w:rsidRPr="00A41B49" w14:paraId="490986FC" w14:textId="77777777" w:rsidTr="00261A29">
        <w:trPr>
          <w:trHeight w:val="178"/>
        </w:trPr>
        <w:tc>
          <w:tcPr>
            <w:tcW w:w="3067" w:type="dxa"/>
            <w:tcBorders>
              <w:right w:val="single" w:sz="4" w:space="0" w:color="auto"/>
            </w:tcBorders>
            <w:shd w:val="clear" w:color="auto" w:fill="auto"/>
          </w:tcPr>
          <w:p w14:paraId="0EAC9A32" w14:textId="77777777" w:rsidR="0042590C" w:rsidRPr="00A41B49" w:rsidRDefault="0042590C" w:rsidP="00261A29">
            <w:pPr>
              <w:pStyle w:val="OECD-table"/>
              <w:rPr>
                <w:rFonts w:ascii="Verdana" w:hAnsi="Verdana"/>
                <w:sz w:val="20"/>
                <w:szCs w:val="20"/>
              </w:rPr>
            </w:pPr>
            <w:r w:rsidRPr="00A41B49">
              <w:rPr>
                <w:rFonts w:ascii="Verdana" w:hAnsi="Verdana"/>
                <w:sz w:val="20"/>
                <w:szCs w:val="20"/>
              </w:rPr>
              <w:t>GLP</w:t>
            </w:r>
          </w:p>
        </w:tc>
        <w:tc>
          <w:tcPr>
            <w:tcW w:w="11817" w:type="dxa"/>
            <w:tcBorders>
              <w:left w:val="single" w:sz="4" w:space="0" w:color="auto"/>
            </w:tcBorders>
            <w:shd w:val="clear" w:color="auto" w:fill="auto"/>
          </w:tcPr>
          <w:p w14:paraId="0EA41D6D" w14:textId="77777777" w:rsidR="0042590C" w:rsidRPr="00A41B49" w:rsidRDefault="0042590C" w:rsidP="00261A29">
            <w:pPr>
              <w:pStyle w:val="OECD-table"/>
              <w:rPr>
                <w:rFonts w:ascii="Verdana" w:hAnsi="Verdana"/>
                <w:sz w:val="20"/>
                <w:szCs w:val="20"/>
              </w:rPr>
            </w:pPr>
            <w:r>
              <w:rPr>
                <w:rFonts w:ascii="Verdana" w:hAnsi="Verdana"/>
                <w:sz w:val="20"/>
                <w:szCs w:val="20"/>
              </w:rPr>
              <w:t>Yes</w:t>
            </w:r>
          </w:p>
        </w:tc>
      </w:tr>
    </w:tbl>
    <w:p w14:paraId="488FDD59" w14:textId="77777777" w:rsidR="0042590C" w:rsidRDefault="0042590C" w:rsidP="00680CE7">
      <w:pPr>
        <w:jc w:val="both"/>
        <w:rPr>
          <w:bCs/>
        </w:rPr>
      </w:pPr>
    </w:p>
    <w:p w14:paraId="7B5F4BC6" w14:textId="30DDD061" w:rsidR="00FD1859" w:rsidRDefault="00FD1859" w:rsidP="00680CE7">
      <w:pPr>
        <w:jc w:val="both"/>
        <w:rPr>
          <w:bCs/>
        </w:rPr>
      </w:pPr>
      <w:r>
        <w:rPr>
          <w:bCs/>
        </w:rPr>
        <w:t>Iodide is an impurity of PVPI. It is also a degradation product of iodine, which naturally transforms into iodide. The determination of iodide in the biocidal product is therefore relevant.</w:t>
      </w:r>
    </w:p>
    <w:p w14:paraId="11EAE644" w14:textId="01409D87" w:rsidR="00FD1859" w:rsidRDefault="00FD1859" w:rsidP="00680CE7">
      <w:pPr>
        <w:jc w:val="both"/>
      </w:pPr>
      <w:r>
        <w:t>The validation of the method for the determination of iodide in the Algofilm was performed in two steps. First, a full validation was performed on the product Iodiguard, whose composition is close to that of the Algofilm (H. Ricau, 2020, Report No. 20-912017-001). This validation included the determination of the linearity, specif</w:t>
      </w:r>
      <w:r w:rsidR="00036DD3">
        <w:t>icity, accuracy, precision</w:t>
      </w:r>
      <w:r>
        <w:t xml:space="preserve"> and LOQ of the method. Then, an additional validation was carried out on the Algofilm by assessment of the specificity and accuracy of the method on this test item (H. Ricau, 2020, Report No. 20-912017-007).</w:t>
      </w:r>
    </w:p>
    <w:p w14:paraId="7B907193" w14:textId="77777777" w:rsidR="00FD1859" w:rsidRDefault="00FD1859" w:rsidP="00680CE7">
      <w:pPr>
        <w:jc w:val="both"/>
        <w:rPr>
          <w:bCs/>
        </w:rPr>
      </w:pPr>
    </w:p>
    <w:p w14:paraId="6F62216A" w14:textId="77777777" w:rsidR="00FD1859" w:rsidRDefault="00FD1859" w:rsidP="00680CE7">
      <w:pPr>
        <w:jc w:val="both"/>
      </w:pPr>
      <w:r>
        <w:rPr>
          <w:i/>
          <w:iCs/>
        </w:rPr>
        <w:t>Principle of the method</w:t>
      </w:r>
    </w:p>
    <w:p w14:paraId="22A8DA05" w14:textId="77777777" w:rsidR="00FD1859" w:rsidRDefault="00FD1859" w:rsidP="00680CE7">
      <w:pPr>
        <w:jc w:val="both"/>
      </w:pPr>
      <w:r>
        <w:lastRenderedPageBreak/>
        <w:t>The total content of iodide is analysed after extraction from the formulation and quantified by liquid chromatography using a reverse phase column and a UV detector after conversion of iodine into iodide using sodium thiosulfate in excess.</w:t>
      </w:r>
    </w:p>
    <w:p w14:paraId="42C0A4B1" w14:textId="77777777" w:rsidR="00FD1859" w:rsidRDefault="00FD1859" w:rsidP="00680CE7">
      <w:pPr>
        <w:jc w:val="both"/>
      </w:pPr>
      <w:r>
        <w:t>Iodide content in the test item is calculated by subtracting iodine content (determined by using the method described above) from the total iodide determined.</w:t>
      </w:r>
    </w:p>
    <w:p w14:paraId="737B00F3" w14:textId="77777777" w:rsidR="00FD1859" w:rsidRDefault="00FD1859" w:rsidP="00680CE7">
      <w:pPr>
        <w:jc w:val="both"/>
      </w:pPr>
    </w:p>
    <w:p w14:paraId="50E064A2" w14:textId="77777777" w:rsidR="00FD1859" w:rsidRDefault="00FD1859" w:rsidP="00680CE7">
      <w:pPr>
        <w:jc w:val="both"/>
      </w:pPr>
      <w:r>
        <w:t>A quantity of about 0.25 g of the test item was weighed (to the nearest 0.01 mg) into a 20-mL volumetric flask. A volume of 0.4 mL of the sodium thiosulfate 0.1N solution was added and the volume was made up with water. The solution was manually stirred.</w:t>
      </w:r>
    </w:p>
    <w:p w14:paraId="4B818C84" w14:textId="77777777" w:rsidR="00FD1859" w:rsidRDefault="00FD1859" w:rsidP="00FD1859"/>
    <w:p w14:paraId="43F892D9" w14:textId="77777777" w:rsidR="00FD1859" w:rsidRDefault="00FD1859" w:rsidP="00FD1859">
      <w:pPr>
        <w:rPr>
          <w:i/>
          <w:iCs/>
        </w:rPr>
      </w:pPr>
      <w:r>
        <w:rPr>
          <w:i/>
          <w:iCs/>
        </w:rPr>
        <w:t>Instrumental analysis</w:t>
      </w:r>
    </w:p>
    <w:p w14:paraId="32266214" w14:textId="77777777" w:rsidR="00FD1859" w:rsidRPr="00782DC1" w:rsidRDefault="00FD1859" w:rsidP="00FD1859"/>
    <w:tbl>
      <w:tblPr>
        <w:tblStyle w:val="Grilledutableau"/>
        <w:tblW w:w="0" w:type="auto"/>
        <w:jc w:val="center"/>
        <w:tblLook w:val="04A0" w:firstRow="1" w:lastRow="0" w:firstColumn="1" w:lastColumn="0" w:noHBand="0" w:noVBand="1"/>
      </w:tblPr>
      <w:tblGrid>
        <w:gridCol w:w="1495"/>
        <w:gridCol w:w="3119"/>
        <w:gridCol w:w="7567"/>
      </w:tblGrid>
      <w:tr w:rsidR="00FD1859" w14:paraId="1D63518B" w14:textId="77777777" w:rsidTr="00680CE7">
        <w:trPr>
          <w:trHeight w:val="187"/>
          <w:jc w:val="center"/>
        </w:trPr>
        <w:tc>
          <w:tcPr>
            <w:tcW w:w="12116" w:type="dxa"/>
            <w:gridSpan w:val="3"/>
          </w:tcPr>
          <w:p w14:paraId="058D6B8A" w14:textId="77777777" w:rsidR="00FD1859" w:rsidRDefault="00FD1859" w:rsidP="003D41CE">
            <w:pPr>
              <w:jc w:val="center"/>
            </w:pPr>
            <w:r>
              <w:t>Liquid chromatographic conditions</w:t>
            </w:r>
          </w:p>
        </w:tc>
      </w:tr>
      <w:tr w:rsidR="00FD1859" w14:paraId="68D8F373" w14:textId="77777777" w:rsidTr="00680CE7">
        <w:trPr>
          <w:trHeight w:val="173"/>
          <w:jc w:val="center"/>
        </w:trPr>
        <w:tc>
          <w:tcPr>
            <w:tcW w:w="1495" w:type="dxa"/>
            <w:vMerge w:val="restart"/>
            <w:vAlign w:val="center"/>
          </w:tcPr>
          <w:p w14:paraId="063C151F" w14:textId="77777777" w:rsidR="00FD1859" w:rsidRDefault="00FD1859" w:rsidP="003D41CE">
            <w:r>
              <w:t>Column</w:t>
            </w:r>
          </w:p>
        </w:tc>
        <w:tc>
          <w:tcPr>
            <w:tcW w:w="3119" w:type="dxa"/>
          </w:tcPr>
          <w:p w14:paraId="4A02EEA6" w14:textId="77777777" w:rsidR="00FD1859" w:rsidRDefault="00FD1859" w:rsidP="003D41CE">
            <w:r w:rsidRPr="00E611A1">
              <w:t>Type</w:t>
            </w:r>
          </w:p>
        </w:tc>
        <w:tc>
          <w:tcPr>
            <w:tcW w:w="7502" w:type="dxa"/>
          </w:tcPr>
          <w:p w14:paraId="6D8A2C78" w14:textId="77777777" w:rsidR="00FD1859" w:rsidRDefault="00FD1859" w:rsidP="003D41CE">
            <w:r w:rsidRPr="00E611A1">
              <w:t>Phenomenex</w:t>
            </w:r>
          </w:p>
        </w:tc>
      </w:tr>
      <w:tr w:rsidR="00FD1859" w:rsidRPr="00816B5E" w14:paraId="0785350D" w14:textId="77777777" w:rsidTr="00680CE7">
        <w:trPr>
          <w:trHeight w:val="202"/>
          <w:jc w:val="center"/>
        </w:trPr>
        <w:tc>
          <w:tcPr>
            <w:tcW w:w="1495" w:type="dxa"/>
            <w:vMerge/>
            <w:vAlign w:val="center"/>
          </w:tcPr>
          <w:p w14:paraId="6600665B" w14:textId="77777777" w:rsidR="00FD1859" w:rsidRDefault="00FD1859" w:rsidP="003D41CE"/>
        </w:tc>
        <w:tc>
          <w:tcPr>
            <w:tcW w:w="3119" w:type="dxa"/>
          </w:tcPr>
          <w:p w14:paraId="38639A42" w14:textId="77777777" w:rsidR="00FD1859" w:rsidRDefault="00FD1859" w:rsidP="003D41CE">
            <w:r w:rsidRPr="00E611A1">
              <w:t>Phase</w:t>
            </w:r>
          </w:p>
        </w:tc>
        <w:tc>
          <w:tcPr>
            <w:tcW w:w="7502" w:type="dxa"/>
          </w:tcPr>
          <w:p w14:paraId="6021B0B7" w14:textId="77777777" w:rsidR="00FD1859" w:rsidRPr="00634F50" w:rsidRDefault="00FD1859" w:rsidP="003D41CE">
            <w:pPr>
              <w:rPr>
                <w:lang w:val="it-IT"/>
              </w:rPr>
            </w:pPr>
            <w:r w:rsidRPr="00634F50">
              <w:rPr>
                <w:lang w:val="it-IT"/>
              </w:rPr>
              <w:t>Luna Omega 3 µm Polar C18</w:t>
            </w:r>
          </w:p>
        </w:tc>
      </w:tr>
      <w:tr w:rsidR="00FD1859" w14:paraId="0F825860" w14:textId="77777777" w:rsidTr="00680CE7">
        <w:trPr>
          <w:trHeight w:val="187"/>
          <w:jc w:val="center"/>
        </w:trPr>
        <w:tc>
          <w:tcPr>
            <w:tcW w:w="1495" w:type="dxa"/>
            <w:vMerge/>
            <w:vAlign w:val="center"/>
          </w:tcPr>
          <w:p w14:paraId="1C50DBA9" w14:textId="77777777" w:rsidR="00FD1859" w:rsidRPr="00634F50" w:rsidRDefault="00FD1859" w:rsidP="003D41CE">
            <w:pPr>
              <w:rPr>
                <w:lang w:val="it-IT"/>
              </w:rPr>
            </w:pPr>
          </w:p>
        </w:tc>
        <w:tc>
          <w:tcPr>
            <w:tcW w:w="3119" w:type="dxa"/>
          </w:tcPr>
          <w:p w14:paraId="6507B51D" w14:textId="77777777" w:rsidR="00FD1859" w:rsidRDefault="00FD1859" w:rsidP="003D41CE">
            <w:r w:rsidRPr="00E611A1">
              <w:t>Length (cm)</w:t>
            </w:r>
          </w:p>
        </w:tc>
        <w:tc>
          <w:tcPr>
            <w:tcW w:w="7502" w:type="dxa"/>
          </w:tcPr>
          <w:p w14:paraId="73BC07C0" w14:textId="77777777" w:rsidR="00FD1859" w:rsidRDefault="00FD1859" w:rsidP="003D41CE">
            <w:r w:rsidRPr="00E611A1">
              <w:t>25</w:t>
            </w:r>
          </w:p>
        </w:tc>
      </w:tr>
      <w:tr w:rsidR="00FD1859" w14:paraId="47967BD6" w14:textId="77777777" w:rsidTr="00680CE7">
        <w:trPr>
          <w:trHeight w:val="202"/>
          <w:jc w:val="center"/>
        </w:trPr>
        <w:tc>
          <w:tcPr>
            <w:tcW w:w="1495" w:type="dxa"/>
            <w:vMerge/>
            <w:vAlign w:val="center"/>
          </w:tcPr>
          <w:p w14:paraId="168505A9" w14:textId="77777777" w:rsidR="00FD1859" w:rsidRDefault="00FD1859" w:rsidP="003D41CE"/>
        </w:tc>
        <w:tc>
          <w:tcPr>
            <w:tcW w:w="3119" w:type="dxa"/>
          </w:tcPr>
          <w:p w14:paraId="0836F35F" w14:textId="77777777" w:rsidR="00FD1859" w:rsidRDefault="00FD1859" w:rsidP="003D41CE">
            <w:r w:rsidRPr="00E611A1">
              <w:t>Internal diameter (mm)</w:t>
            </w:r>
          </w:p>
        </w:tc>
        <w:tc>
          <w:tcPr>
            <w:tcW w:w="7502" w:type="dxa"/>
          </w:tcPr>
          <w:p w14:paraId="3F234839" w14:textId="77777777" w:rsidR="00FD1859" w:rsidRDefault="00FD1859" w:rsidP="003D41CE">
            <w:r w:rsidRPr="00E611A1">
              <w:t>4.6</w:t>
            </w:r>
          </w:p>
        </w:tc>
      </w:tr>
      <w:tr w:rsidR="00FD1859" w14:paraId="56338573" w14:textId="77777777" w:rsidTr="00680CE7">
        <w:trPr>
          <w:trHeight w:val="187"/>
          <w:jc w:val="center"/>
        </w:trPr>
        <w:tc>
          <w:tcPr>
            <w:tcW w:w="1495" w:type="dxa"/>
            <w:vMerge/>
            <w:vAlign w:val="center"/>
          </w:tcPr>
          <w:p w14:paraId="7319A55E" w14:textId="77777777" w:rsidR="00FD1859" w:rsidRDefault="00FD1859" w:rsidP="003D41CE"/>
        </w:tc>
        <w:tc>
          <w:tcPr>
            <w:tcW w:w="3119" w:type="dxa"/>
          </w:tcPr>
          <w:p w14:paraId="39EA052E" w14:textId="77777777" w:rsidR="00FD1859" w:rsidRDefault="00FD1859" w:rsidP="003D41CE">
            <w:r w:rsidRPr="00E611A1">
              <w:t>Granulometry (µm)</w:t>
            </w:r>
          </w:p>
        </w:tc>
        <w:tc>
          <w:tcPr>
            <w:tcW w:w="7502" w:type="dxa"/>
          </w:tcPr>
          <w:p w14:paraId="61D57D44" w14:textId="77777777" w:rsidR="00FD1859" w:rsidRDefault="00FD1859" w:rsidP="003D41CE">
            <w:r w:rsidRPr="00E611A1">
              <w:t>3.0</w:t>
            </w:r>
          </w:p>
        </w:tc>
      </w:tr>
      <w:tr w:rsidR="00FD1859" w14:paraId="22DBA15F" w14:textId="77777777" w:rsidTr="00680CE7">
        <w:trPr>
          <w:trHeight w:val="187"/>
          <w:jc w:val="center"/>
        </w:trPr>
        <w:tc>
          <w:tcPr>
            <w:tcW w:w="1495" w:type="dxa"/>
            <w:vMerge w:val="restart"/>
            <w:vAlign w:val="center"/>
          </w:tcPr>
          <w:p w14:paraId="11936E43" w14:textId="77777777" w:rsidR="00FD1859" w:rsidRDefault="00FD1859" w:rsidP="003D41CE">
            <w:r>
              <w:t>Detector</w:t>
            </w:r>
          </w:p>
        </w:tc>
        <w:tc>
          <w:tcPr>
            <w:tcW w:w="3119" w:type="dxa"/>
          </w:tcPr>
          <w:p w14:paraId="5FF9BFE1" w14:textId="77777777" w:rsidR="00FD1859" w:rsidRDefault="00FD1859" w:rsidP="003D41CE">
            <w:r w:rsidRPr="00E611A1">
              <w:t>Type</w:t>
            </w:r>
          </w:p>
        </w:tc>
        <w:tc>
          <w:tcPr>
            <w:tcW w:w="7502" w:type="dxa"/>
          </w:tcPr>
          <w:p w14:paraId="0B42F5C8" w14:textId="77777777" w:rsidR="00FD1859" w:rsidRDefault="00FD1859" w:rsidP="003D41CE">
            <w:r w:rsidRPr="00E611A1">
              <w:t>Ultraviolet absorption</w:t>
            </w:r>
          </w:p>
        </w:tc>
      </w:tr>
      <w:tr w:rsidR="00FD1859" w14:paraId="4CF14086" w14:textId="77777777" w:rsidTr="00680CE7">
        <w:trPr>
          <w:trHeight w:val="187"/>
          <w:jc w:val="center"/>
        </w:trPr>
        <w:tc>
          <w:tcPr>
            <w:tcW w:w="1495" w:type="dxa"/>
            <w:vMerge/>
          </w:tcPr>
          <w:p w14:paraId="5ECA7753" w14:textId="77777777" w:rsidR="00FD1859" w:rsidRDefault="00FD1859" w:rsidP="003D41CE"/>
        </w:tc>
        <w:tc>
          <w:tcPr>
            <w:tcW w:w="3119" w:type="dxa"/>
          </w:tcPr>
          <w:p w14:paraId="1850A5BD" w14:textId="77777777" w:rsidR="00FD1859" w:rsidRDefault="00FD1859" w:rsidP="003D41CE">
            <w:r w:rsidRPr="00E611A1">
              <w:t>Wavelength (nm)</w:t>
            </w:r>
          </w:p>
        </w:tc>
        <w:tc>
          <w:tcPr>
            <w:tcW w:w="7502" w:type="dxa"/>
          </w:tcPr>
          <w:p w14:paraId="68F2FD6D" w14:textId="77777777" w:rsidR="00FD1859" w:rsidRDefault="00FD1859" w:rsidP="003D41CE">
            <w:r w:rsidRPr="00E611A1">
              <w:t>220</w:t>
            </w:r>
          </w:p>
        </w:tc>
      </w:tr>
      <w:tr w:rsidR="00FD1859" w14:paraId="0057A7CB" w14:textId="77777777" w:rsidTr="00680CE7">
        <w:trPr>
          <w:trHeight w:val="390"/>
          <w:jc w:val="center"/>
        </w:trPr>
        <w:tc>
          <w:tcPr>
            <w:tcW w:w="1495" w:type="dxa"/>
            <w:vMerge/>
          </w:tcPr>
          <w:p w14:paraId="5E452D2B" w14:textId="77777777" w:rsidR="00FD1859" w:rsidRDefault="00FD1859" w:rsidP="003D41CE"/>
        </w:tc>
        <w:tc>
          <w:tcPr>
            <w:tcW w:w="3119" w:type="dxa"/>
          </w:tcPr>
          <w:p w14:paraId="1EE2B852" w14:textId="77777777" w:rsidR="00FD1859" w:rsidRDefault="00FD1859" w:rsidP="003D41CE">
            <w:r w:rsidRPr="00E611A1">
              <w:t>Mobile phase</w:t>
            </w:r>
          </w:p>
        </w:tc>
        <w:tc>
          <w:tcPr>
            <w:tcW w:w="7502" w:type="dxa"/>
          </w:tcPr>
          <w:p w14:paraId="7AC5D244" w14:textId="77777777" w:rsidR="00FD1859" w:rsidRDefault="00FD1859" w:rsidP="003D41CE">
            <w:r w:rsidRPr="00E611A1">
              <w:t xml:space="preserve">Eluent A: Buffer solution at pH 6 </w:t>
            </w:r>
          </w:p>
          <w:p w14:paraId="1220688D" w14:textId="77777777" w:rsidR="00FD1859" w:rsidRDefault="00FD1859" w:rsidP="003D41CE">
            <w:r w:rsidRPr="00E611A1">
              <w:t>Eluent B: Acetonitrile</w:t>
            </w:r>
          </w:p>
        </w:tc>
      </w:tr>
      <w:tr w:rsidR="00FD1859" w14:paraId="25D8E14D" w14:textId="77777777" w:rsidTr="00680CE7">
        <w:trPr>
          <w:trHeight w:val="1069"/>
          <w:jc w:val="center"/>
        </w:trPr>
        <w:tc>
          <w:tcPr>
            <w:tcW w:w="1495" w:type="dxa"/>
            <w:vMerge/>
          </w:tcPr>
          <w:p w14:paraId="3DCCBD8F" w14:textId="77777777" w:rsidR="00FD1859" w:rsidRDefault="00FD1859" w:rsidP="003D41CE"/>
        </w:tc>
        <w:tc>
          <w:tcPr>
            <w:tcW w:w="3119" w:type="dxa"/>
          </w:tcPr>
          <w:p w14:paraId="7290F43C" w14:textId="77777777" w:rsidR="00FD1859" w:rsidRDefault="00FD1859" w:rsidP="003D41CE">
            <w:r w:rsidRPr="00E611A1">
              <w:t>Flow (mL/min)</w:t>
            </w:r>
          </w:p>
        </w:tc>
        <w:tc>
          <w:tcPr>
            <w:tcW w:w="7502" w:type="dxa"/>
          </w:tcPr>
          <w:tbl>
            <w:tblPr>
              <w:tblStyle w:val="Grilledutableau1"/>
              <w:tblW w:w="7326" w:type="dxa"/>
              <w:tblInd w:w="15" w:type="dxa"/>
              <w:tblLook w:val="04A0" w:firstRow="1" w:lastRow="0" w:firstColumn="1" w:lastColumn="0" w:noHBand="0" w:noVBand="1"/>
            </w:tblPr>
            <w:tblGrid>
              <w:gridCol w:w="1551"/>
              <w:gridCol w:w="1704"/>
              <w:gridCol w:w="1704"/>
              <w:gridCol w:w="2367"/>
            </w:tblGrid>
            <w:tr w:rsidR="00FD1859" w14:paraId="1F099F67" w14:textId="77777777" w:rsidTr="00680CE7">
              <w:trPr>
                <w:trHeight w:val="423"/>
              </w:trPr>
              <w:tc>
                <w:tcPr>
                  <w:tcW w:w="1551" w:type="dxa"/>
                  <w:hideMark/>
                </w:tcPr>
                <w:p w14:paraId="3DF68F7E" w14:textId="77777777" w:rsidR="00FD1859" w:rsidRPr="00405E86" w:rsidRDefault="00FD1859" w:rsidP="003D41CE">
                  <w:pPr>
                    <w:jc w:val="center"/>
                    <w:rPr>
                      <w:rFonts w:cs="Arial"/>
                      <w:bCs/>
                      <w:sz w:val="20"/>
                      <w:szCs w:val="20"/>
                    </w:rPr>
                  </w:pPr>
                  <w:r w:rsidRPr="00405E86">
                    <w:rPr>
                      <w:rFonts w:cs="Arial"/>
                      <w:bCs/>
                    </w:rPr>
                    <w:t xml:space="preserve">Time </w:t>
                  </w:r>
                </w:p>
                <w:p w14:paraId="36EBAB9E" w14:textId="77777777" w:rsidR="00FD1859" w:rsidRPr="00405E86" w:rsidRDefault="00FD1859" w:rsidP="003D41CE">
                  <w:pPr>
                    <w:jc w:val="center"/>
                    <w:rPr>
                      <w:rFonts w:cs="Arial"/>
                      <w:bCs/>
                      <w:sz w:val="20"/>
                      <w:szCs w:val="20"/>
                    </w:rPr>
                  </w:pPr>
                  <w:r w:rsidRPr="00405E86">
                    <w:rPr>
                      <w:rFonts w:cs="Arial"/>
                      <w:bCs/>
                    </w:rPr>
                    <w:t>(</w:t>
                  </w:r>
                  <w:r w:rsidRPr="00405E86">
                    <w:rPr>
                      <w:rFonts w:cs="Arial"/>
                      <w:bCs/>
                      <w:i/>
                      <w:iCs/>
                    </w:rPr>
                    <w:t>min</w:t>
                  </w:r>
                  <w:r w:rsidRPr="00405E86">
                    <w:rPr>
                      <w:rFonts w:cs="Arial"/>
                      <w:bCs/>
                    </w:rPr>
                    <w:t>)</w:t>
                  </w:r>
                </w:p>
              </w:tc>
              <w:tc>
                <w:tcPr>
                  <w:tcW w:w="1704" w:type="dxa"/>
                  <w:hideMark/>
                </w:tcPr>
                <w:p w14:paraId="0A2393E2" w14:textId="77777777" w:rsidR="00FD1859" w:rsidRPr="00405E86" w:rsidRDefault="00FD1859" w:rsidP="003D41CE">
                  <w:pPr>
                    <w:jc w:val="center"/>
                    <w:rPr>
                      <w:rFonts w:cs="Arial"/>
                      <w:bCs/>
                      <w:sz w:val="20"/>
                      <w:szCs w:val="20"/>
                    </w:rPr>
                  </w:pPr>
                  <w:r w:rsidRPr="00405E86">
                    <w:rPr>
                      <w:rFonts w:cs="Arial"/>
                      <w:bCs/>
                    </w:rPr>
                    <w:t>Eluent A</w:t>
                  </w:r>
                </w:p>
                <w:p w14:paraId="11ED0385" w14:textId="77777777" w:rsidR="00FD1859" w:rsidRPr="00405E86" w:rsidRDefault="00FD1859" w:rsidP="003D41CE">
                  <w:pPr>
                    <w:jc w:val="center"/>
                    <w:rPr>
                      <w:rFonts w:cs="Arial"/>
                      <w:bCs/>
                      <w:i/>
                      <w:iCs/>
                      <w:sz w:val="20"/>
                      <w:szCs w:val="20"/>
                    </w:rPr>
                  </w:pPr>
                  <w:r w:rsidRPr="00405E86">
                    <w:rPr>
                      <w:rFonts w:cs="Arial"/>
                      <w:bCs/>
                      <w:i/>
                      <w:iCs/>
                    </w:rPr>
                    <w:t>(%)</w:t>
                  </w:r>
                </w:p>
              </w:tc>
              <w:tc>
                <w:tcPr>
                  <w:tcW w:w="1704" w:type="dxa"/>
                  <w:hideMark/>
                </w:tcPr>
                <w:p w14:paraId="4CACC48E" w14:textId="77777777" w:rsidR="00FD1859" w:rsidRPr="00405E86" w:rsidRDefault="00FD1859" w:rsidP="003D41CE">
                  <w:pPr>
                    <w:jc w:val="center"/>
                    <w:rPr>
                      <w:rFonts w:cs="Arial"/>
                      <w:bCs/>
                      <w:sz w:val="20"/>
                      <w:szCs w:val="20"/>
                    </w:rPr>
                  </w:pPr>
                  <w:r w:rsidRPr="00405E86">
                    <w:rPr>
                      <w:rFonts w:cs="Arial"/>
                      <w:bCs/>
                    </w:rPr>
                    <w:t>Eluent B</w:t>
                  </w:r>
                </w:p>
                <w:p w14:paraId="1AFD611E" w14:textId="77777777" w:rsidR="00FD1859" w:rsidRPr="00405E86" w:rsidRDefault="00FD1859" w:rsidP="003D41CE">
                  <w:pPr>
                    <w:jc w:val="center"/>
                    <w:rPr>
                      <w:rFonts w:cs="Arial"/>
                      <w:bCs/>
                      <w:sz w:val="20"/>
                      <w:szCs w:val="20"/>
                    </w:rPr>
                  </w:pPr>
                  <w:r w:rsidRPr="00405E86">
                    <w:rPr>
                      <w:rFonts w:cs="Arial"/>
                      <w:bCs/>
                      <w:i/>
                      <w:iCs/>
                    </w:rPr>
                    <w:t>(%)</w:t>
                  </w:r>
                  <w:r w:rsidRPr="00405E86">
                    <w:rPr>
                      <w:rFonts w:cs="Arial"/>
                      <w:bCs/>
                    </w:rPr>
                    <w:t xml:space="preserve"> </w:t>
                  </w:r>
                </w:p>
              </w:tc>
              <w:tc>
                <w:tcPr>
                  <w:tcW w:w="2367" w:type="dxa"/>
                  <w:hideMark/>
                </w:tcPr>
                <w:p w14:paraId="05837419" w14:textId="77777777" w:rsidR="00FD1859" w:rsidRPr="00405E86" w:rsidRDefault="00FD1859" w:rsidP="003D41CE">
                  <w:pPr>
                    <w:jc w:val="center"/>
                    <w:rPr>
                      <w:rFonts w:cs="Arial"/>
                      <w:bCs/>
                      <w:sz w:val="20"/>
                      <w:szCs w:val="20"/>
                    </w:rPr>
                  </w:pPr>
                  <w:r w:rsidRPr="00405E86">
                    <w:rPr>
                      <w:rFonts w:cs="Arial"/>
                      <w:bCs/>
                    </w:rPr>
                    <w:t>Flow (</w:t>
                  </w:r>
                  <w:r w:rsidRPr="00405E86">
                    <w:rPr>
                      <w:rFonts w:cs="Arial"/>
                      <w:bCs/>
                      <w:i/>
                      <w:iCs/>
                    </w:rPr>
                    <w:t>mL/min</w:t>
                  </w:r>
                  <w:r w:rsidRPr="00405E86">
                    <w:rPr>
                      <w:rFonts w:cs="Arial"/>
                      <w:bCs/>
                    </w:rPr>
                    <w:t>)</w:t>
                  </w:r>
                </w:p>
              </w:tc>
            </w:tr>
            <w:tr w:rsidR="00FD1859" w14:paraId="2722325A" w14:textId="77777777" w:rsidTr="00680CE7">
              <w:trPr>
                <w:trHeight w:val="141"/>
              </w:trPr>
              <w:tc>
                <w:tcPr>
                  <w:tcW w:w="1551" w:type="dxa"/>
                  <w:hideMark/>
                </w:tcPr>
                <w:p w14:paraId="4F34EE5C" w14:textId="77777777" w:rsidR="00FD1859" w:rsidRPr="004503F7" w:rsidRDefault="00FD1859" w:rsidP="003D41CE">
                  <w:pPr>
                    <w:jc w:val="center"/>
                    <w:rPr>
                      <w:rFonts w:cs="Arial"/>
                      <w:bCs/>
                      <w:sz w:val="20"/>
                      <w:szCs w:val="24"/>
                    </w:rPr>
                  </w:pPr>
                  <w:r w:rsidRPr="00DB5569">
                    <w:rPr>
                      <w:rFonts w:cs="Arial"/>
                      <w:bCs/>
                      <w:sz w:val="20"/>
                    </w:rPr>
                    <w:t>0</w:t>
                  </w:r>
                </w:p>
              </w:tc>
              <w:tc>
                <w:tcPr>
                  <w:tcW w:w="1704" w:type="dxa"/>
                  <w:hideMark/>
                </w:tcPr>
                <w:p w14:paraId="3CA92540" w14:textId="77777777" w:rsidR="00FD1859" w:rsidRPr="004503F7" w:rsidRDefault="00FD1859" w:rsidP="003D41CE">
                  <w:pPr>
                    <w:jc w:val="center"/>
                    <w:rPr>
                      <w:rFonts w:cs="Arial"/>
                      <w:bCs/>
                      <w:sz w:val="20"/>
                    </w:rPr>
                  </w:pPr>
                  <w:r w:rsidRPr="004503F7">
                    <w:rPr>
                      <w:rFonts w:cs="Arial"/>
                      <w:bCs/>
                      <w:sz w:val="20"/>
                    </w:rPr>
                    <w:t>80</w:t>
                  </w:r>
                </w:p>
              </w:tc>
              <w:tc>
                <w:tcPr>
                  <w:tcW w:w="1704" w:type="dxa"/>
                  <w:hideMark/>
                </w:tcPr>
                <w:p w14:paraId="4006DC52" w14:textId="77777777" w:rsidR="00FD1859" w:rsidRPr="00782DC1" w:rsidRDefault="00FD1859" w:rsidP="003D41CE">
                  <w:pPr>
                    <w:jc w:val="center"/>
                    <w:rPr>
                      <w:rFonts w:cs="Arial"/>
                      <w:bCs/>
                      <w:sz w:val="20"/>
                    </w:rPr>
                  </w:pPr>
                  <w:r w:rsidRPr="00F25CF3">
                    <w:rPr>
                      <w:rFonts w:cs="Arial"/>
                      <w:bCs/>
                      <w:sz w:val="20"/>
                    </w:rPr>
                    <w:t>20</w:t>
                  </w:r>
                </w:p>
              </w:tc>
              <w:tc>
                <w:tcPr>
                  <w:tcW w:w="2367" w:type="dxa"/>
                  <w:hideMark/>
                </w:tcPr>
                <w:p w14:paraId="623F07FC" w14:textId="77777777" w:rsidR="00FD1859" w:rsidRPr="00DC56FD" w:rsidRDefault="00FD1859" w:rsidP="003D41CE">
                  <w:pPr>
                    <w:jc w:val="center"/>
                    <w:rPr>
                      <w:rFonts w:cs="Arial"/>
                      <w:bCs/>
                      <w:sz w:val="20"/>
                    </w:rPr>
                  </w:pPr>
                  <w:r w:rsidRPr="00DC56FD">
                    <w:rPr>
                      <w:rFonts w:cs="Arial"/>
                      <w:bCs/>
                    </w:rPr>
                    <w:t>0.4</w:t>
                  </w:r>
                </w:p>
              </w:tc>
            </w:tr>
            <w:tr w:rsidR="00FD1859" w14:paraId="610ECF36" w14:textId="77777777" w:rsidTr="00680CE7">
              <w:trPr>
                <w:trHeight w:val="141"/>
              </w:trPr>
              <w:tc>
                <w:tcPr>
                  <w:tcW w:w="1551" w:type="dxa"/>
                  <w:hideMark/>
                </w:tcPr>
                <w:p w14:paraId="65F27E6F" w14:textId="77777777" w:rsidR="00FD1859" w:rsidRPr="004503F7" w:rsidRDefault="00FD1859" w:rsidP="003D41CE">
                  <w:pPr>
                    <w:jc w:val="center"/>
                    <w:rPr>
                      <w:rFonts w:cs="Arial"/>
                      <w:bCs/>
                      <w:sz w:val="20"/>
                    </w:rPr>
                  </w:pPr>
                  <w:r w:rsidRPr="00DB5569">
                    <w:rPr>
                      <w:rFonts w:cs="Arial"/>
                      <w:bCs/>
                      <w:sz w:val="20"/>
                    </w:rPr>
                    <w:t>10</w:t>
                  </w:r>
                </w:p>
              </w:tc>
              <w:tc>
                <w:tcPr>
                  <w:tcW w:w="1704" w:type="dxa"/>
                  <w:hideMark/>
                </w:tcPr>
                <w:p w14:paraId="22E95D11" w14:textId="77777777" w:rsidR="00FD1859" w:rsidRPr="004503F7" w:rsidRDefault="00FD1859" w:rsidP="003D41CE">
                  <w:pPr>
                    <w:jc w:val="center"/>
                    <w:rPr>
                      <w:rFonts w:cs="Arial"/>
                      <w:bCs/>
                      <w:sz w:val="20"/>
                    </w:rPr>
                  </w:pPr>
                  <w:r w:rsidRPr="004503F7">
                    <w:rPr>
                      <w:rFonts w:cs="Arial"/>
                      <w:bCs/>
                      <w:sz w:val="20"/>
                    </w:rPr>
                    <w:t>80</w:t>
                  </w:r>
                </w:p>
              </w:tc>
              <w:tc>
                <w:tcPr>
                  <w:tcW w:w="1704" w:type="dxa"/>
                  <w:hideMark/>
                </w:tcPr>
                <w:p w14:paraId="6DA40880" w14:textId="77777777" w:rsidR="00FD1859" w:rsidRPr="00782DC1" w:rsidRDefault="00FD1859" w:rsidP="003D41CE">
                  <w:pPr>
                    <w:jc w:val="center"/>
                    <w:rPr>
                      <w:rFonts w:cs="Arial"/>
                      <w:bCs/>
                      <w:sz w:val="20"/>
                    </w:rPr>
                  </w:pPr>
                  <w:r w:rsidRPr="00F25CF3">
                    <w:rPr>
                      <w:rFonts w:cs="Arial"/>
                      <w:bCs/>
                      <w:sz w:val="20"/>
                    </w:rPr>
                    <w:t>20</w:t>
                  </w:r>
                </w:p>
              </w:tc>
              <w:tc>
                <w:tcPr>
                  <w:tcW w:w="2367" w:type="dxa"/>
                  <w:hideMark/>
                </w:tcPr>
                <w:p w14:paraId="48E70099" w14:textId="77777777" w:rsidR="00FD1859" w:rsidRPr="00DC56FD" w:rsidRDefault="00FD1859" w:rsidP="003D41CE">
                  <w:pPr>
                    <w:jc w:val="center"/>
                    <w:rPr>
                      <w:rFonts w:cs="Arial"/>
                      <w:bCs/>
                      <w:sz w:val="20"/>
                    </w:rPr>
                  </w:pPr>
                  <w:r w:rsidRPr="00DC56FD">
                    <w:rPr>
                      <w:rFonts w:cs="Arial"/>
                      <w:bCs/>
                    </w:rPr>
                    <w:t>0.4</w:t>
                  </w:r>
                </w:p>
              </w:tc>
            </w:tr>
          </w:tbl>
          <w:p w14:paraId="10303E76" w14:textId="77777777" w:rsidR="00FD1859" w:rsidRDefault="00FD1859" w:rsidP="003D41CE"/>
        </w:tc>
      </w:tr>
      <w:tr w:rsidR="00FD1859" w14:paraId="53D651DB" w14:textId="77777777" w:rsidTr="00680CE7">
        <w:trPr>
          <w:trHeight w:val="187"/>
          <w:jc w:val="center"/>
        </w:trPr>
        <w:tc>
          <w:tcPr>
            <w:tcW w:w="1495" w:type="dxa"/>
            <w:vMerge/>
          </w:tcPr>
          <w:p w14:paraId="0C4815CD" w14:textId="77777777" w:rsidR="00FD1859" w:rsidRDefault="00FD1859" w:rsidP="003D41CE"/>
        </w:tc>
        <w:tc>
          <w:tcPr>
            <w:tcW w:w="3119" w:type="dxa"/>
            <w:vAlign w:val="center"/>
          </w:tcPr>
          <w:p w14:paraId="4479103F" w14:textId="77777777" w:rsidR="00FD1859" w:rsidRDefault="00FD1859" w:rsidP="003D41CE">
            <w:r>
              <w:rPr>
                <w:rFonts w:cs="Arial"/>
                <w:lang w:val="en-US"/>
              </w:rPr>
              <w:t xml:space="preserve">Volume injected </w:t>
            </w:r>
            <w:r>
              <w:rPr>
                <w:rFonts w:cs="Arial"/>
                <w:i/>
                <w:iCs/>
                <w:lang w:val="en-US"/>
              </w:rPr>
              <w:t>(µL)</w:t>
            </w:r>
          </w:p>
        </w:tc>
        <w:tc>
          <w:tcPr>
            <w:tcW w:w="7502" w:type="dxa"/>
            <w:vAlign w:val="center"/>
          </w:tcPr>
          <w:p w14:paraId="73711242" w14:textId="77777777" w:rsidR="00FD1859" w:rsidRDefault="00FD1859" w:rsidP="003D41CE">
            <w:r>
              <w:rPr>
                <w:rFonts w:cs="Arial"/>
                <w:lang w:val="nl-NL"/>
              </w:rPr>
              <w:t>5</w:t>
            </w:r>
          </w:p>
        </w:tc>
      </w:tr>
      <w:tr w:rsidR="00FD1859" w14:paraId="3F4712FA" w14:textId="77777777" w:rsidTr="00680CE7">
        <w:trPr>
          <w:trHeight w:val="187"/>
          <w:jc w:val="center"/>
        </w:trPr>
        <w:tc>
          <w:tcPr>
            <w:tcW w:w="1495" w:type="dxa"/>
          </w:tcPr>
          <w:p w14:paraId="600F1D57" w14:textId="77777777" w:rsidR="00FD1859" w:rsidRDefault="00FD1859" w:rsidP="003D41CE">
            <w:r>
              <w:t>Oven</w:t>
            </w:r>
          </w:p>
        </w:tc>
        <w:tc>
          <w:tcPr>
            <w:tcW w:w="3119" w:type="dxa"/>
            <w:vAlign w:val="center"/>
          </w:tcPr>
          <w:p w14:paraId="3EE58A31" w14:textId="77777777" w:rsidR="00FD1859" w:rsidRDefault="00FD1859" w:rsidP="003D41CE">
            <w:r>
              <w:rPr>
                <w:rFonts w:cs="Arial"/>
                <w:lang w:val="nl-NL"/>
              </w:rPr>
              <w:t xml:space="preserve">Temperature </w:t>
            </w:r>
            <w:r>
              <w:rPr>
                <w:rFonts w:cs="Arial"/>
                <w:i/>
                <w:lang w:val="nl-NL"/>
              </w:rPr>
              <w:t>(°C)</w:t>
            </w:r>
          </w:p>
        </w:tc>
        <w:tc>
          <w:tcPr>
            <w:tcW w:w="7502" w:type="dxa"/>
            <w:vAlign w:val="center"/>
          </w:tcPr>
          <w:p w14:paraId="06F34FBF" w14:textId="77777777" w:rsidR="00FD1859" w:rsidRDefault="00FD1859" w:rsidP="003D41CE">
            <w:r>
              <w:t>25</w:t>
            </w:r>
          </w:p>
        </w:tc>
      </w:tr>
      <w:tr w:rsidR="00FD1859" w14:paraId="0176D468" w14:textId="77777777" w:rsidTr="00680CE7">
        <w:trPr>
          <w:trHeight w:val="173"/>
          <w:jc w:val="center"/>
        </w:trPr>
        <w:tc>
          <w:tcPr>
            <w:tcW w:w="4614" w:type="dxa"/>
            <w:gridSpan w:val="2"/>
          </w:tcPr>
          <w:p w14:paraId="24AFCA54" w14:textId="77777777" w:rsidR="00FD1859" w:rsidRDefault="00FD1859" w:rsidP="003D41CE">
            <w:r>
              <w:t>Retention time (min)</w:t>
            </w:r>
          </w:p>
        </w:tc>
        <w:tc>
          <w:tcPr>
            <w:tcW w:w="7502" w:type="dxa"/>
          </w:tcPr>
          <w:p w14:paraId="06F1B343" w14:textId="77777777" w:rsidR="00FD1859" w:rsidRDefault="00FD1859" w:rsidP="003D41CE">
            <w:r>
              <w:t>About 7.2</w:t>
            </w:r>
          </w:p>
        </w:tc>
      </w:tr>
    </w:tbl>
    <w:p w14:paraId="46BF3CB3" w14:textId="77777777" w:rsidR="00FD1859" w:rsidRDefault="00FD1859" w:rsidP="00FD1859"/>
    <w:p w14:paraId="31886B3B" w14:textId="77777777" w:rsidR="00FD1859" w:rsidRDefault="00FD1859" w:rsidP="00FD1859">
      <w:pPr>
        <w:rPr>
          <w:i/>
          <w:iCs/>
        </w:rPr>
      </w:pPr>
      <w:r>
        <w:rPr>
          <w:i/>
          <w:iCs/>
        </w:rPr>
        <w:t>Validation of the analytical method</w:t>
      </w:r>
    </w:p>
    <w:p w14:paraId="59869152" w14:textId="77777777" w:rsidR="00FD1859" w:rsidRPr="006B6683" w:rsidRDefault="00FD1859" w:rsidP="00FD1859"/>
    <w:tbl>
      <w:tblPr>
        <w:tblStyle w:val="TableNormal1"/>
        <w:tblW w:w="12247"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612"/>
        <w:gridCol w:w="10635"/>
      </w:tblGrid>
      <w:tr w:rsidR="00FD1859" w:rsidRPr="00A41B49" w14:paraId="03134C4F" w14:textId="77777777" w:rsidTr="00680CE7">
        <w:trPr>
          <w:cantSplit/>
          <w:trHeight w:val="46"/>
          <w:jc w:val="center"/>
        </w:trPr>
        <w:tc>
          <w:tcPr>
            <w:tcW w:w="12247" w:type="dxa"/>
            <w:gridSpan w:val="2"/>
            <w:tcBorders>
              <w:top w:val="single" w:sz="6" w:space="0" w:color="auto"/>
              <w:left w:val="single" w:sz="6" w:space="0" w:color="auto"/>
              <w:bottom w:val="single" w:sz="6" w:space="0" w:color="auto"/>
              <w:right w:val="single" w:sz="6" w:space="0" w:color="auto"/>
            </w:tcBorders>
          </w:tcPr>
          <w:p w14:paraId="1A81DD4B" w14:textId="77777777" w:rsidR="00FD1859" w:rsidRPr="006B6683" w:rsidRDefault="00FD1859" w:rsidP="003D41CE">
            <w:pPr>
              <w:spacing w:line="288" w:lineRule="auto"/>
              <w:rPr>
                <w:b/>
                <w:bCs/>
                <w:lang w:val="en-US"/>
              </w:rPr>
            </w:pPr>
            <w:r w:rsidRPr="006B6683">
              <w:rPr>
                <w:b/>
                <w:bCs/>
                <w:lang w:val="en-US"/>
              </w:rPr>
              <w:t>Test item = Iodiguard</w:t>
            </w:r>
          </w:p>
        </w:tc>
      </w:tr>
      <w:tr w:rsidR="00FD1859" w:rsidRPr="006B6683" w14:paraId="6ACEEE60" w14:textId="77777777" w:rsidTr="00680CE7">
        <w:trPr>
          <w:cantSplit/>
          <w:trHeight w:val="252"/>
          <w:jc w:val="center"/>
        </w:trPr>
        <w:tc>
          <w:tcPr>
            <w:tcW w:w="1612" w:type="dxa"/>
            <w:tcBorders>
              <w:top w:val="single" w:sz="6" w:space="0" w:color="auto"/>
              <w:left w:val="single" w:sz="6" w:space="0" w:color="auto"/>
              <w:right w:val="double" w:sz="4" w:space="0" w:color="auto"/>
            </w:tcBorders>
            <w:hideMark/>
          </w:tcPr>
          <w:p w14:paraId="16631FCF" w14:textId="77777777" w:rsidR="00FD1859" w:rsidRPr="00A41B49" w:rsidRDefault="00FD1859" w:rsidP="003D41CE">
            <w:pPr>
              <w:spacing w:line="288" w:lineRule="auto"/>
            </w:pPr>
            <w:r w:rsidRPr="00A41B49">
              <w:t>Linearity</w:t>
            </w:r>
          </w:p>
        </w:tc>
        <w:tc>
          <w:tcPr>
            <w:tcW w:w="10634" w:type="dxa"/>
            <w:tcBorders>
              <w:top w:val="single" w:sz="6" w:space="0" w:color="auto"/>
              <w:left w:val="double" w:sz="4" w:space="0" w:color="auto"/>
              <w:bottom w:val="single" w:sz="4" w:space="0" w:color="auto"/>
              <w:right w:val="single" w:sz="6" w:space="0" w:color="auto"/>
            </w:tcBorders>
          </w:tcPr>
          <w:p w14:paraId="73C80903" w14:textId="77777777" w:rsidR="00FD1859" w:rsidRDefault="00FD1859" w:rsidP="003D41CE">
            <w:pPr>
              <w:spacing w:line="288" w:lineRule="auto"/>
              <w:rPr>
                <w:lang w:val="en-US"/>
              </w:rPr>
            </w:pPr>
            <w:r>
              <w:rPr>
                <w:lang w:val="en-US"/>
              </w:rPr>
              <w:t>5 concentrations were analysed. Linearity was shown between 6.76 and 69.85 mg/L of iodide.</w:t>
            </w:r>
          </w:p>
          <w:p w14:paraId="5C0EAD80" w14:textId="77777777" w:rsidR="00FD1859" w:rsidRPr="00634F50" w:rsidRDefault="00FD1859" w:rsidP="003D41CE">
            <w:pPr>
              <w:spacing w:line="288" w:lineRule="auto"/>
              <w:rPr>
                <w:lang w:val="it-IT"/>
              </w:rPr>
            </w:pPr>
            <w:r w:rsidRPr="00634F50">
              <w:rPr>
                <w:lang w:val="it-IT"/>
              </w:rPr>
              <w:t>Calibration curve: A = 2.43E+05 x C - 1.38E+04</w:t>
            </w:r>
          </w:p>
          <w:p w14:paraId="3A22F99E" w14:textId="77777777" w:rsidR="00FD1859" w:rsidRPr="006B6683" w:rsidRDefault="00FD1859" w:rsidP="003D41CE">
            <w:pPr>
              <w:spacing w:line="288" w:lineRule="auto"/>
              <w:rPr>
                <w:lang w:val="en-US"/>
              </w:rPr>
            </w:pPr>
            <w:r>
              <w:rPr>
                <w:lang w:val="en-US"/>
              </w:rPr>
              <w:t>r = 0.9999</w:t>
            </w:r>
          </w:p>
        </w:tc>
      </w:tr>
      <w:tr w:rsidR="00FD1859" w:rsidRPr="00A41B49" w14:paraId="034E4081" w14:textId="77777777" w:rsidTr="00680CE7">
        <w:trPr>
          <w:cantSplit/>
          <w:trHeight w:val="1498"/>
          <w:jc w:val="center"/>
        </w:trPr>
        <w:tc>
          <w:tcPr>
            <w:tcW w:w="1612" w:type="dxa"/>
            <w:tcBorders>
              <w:top w:val="single" w:sz="6" w:space="0" w:color="auto"/>
              <w:left w:val="single" w:sz="6" w:space="0" w:color="auto"/>
              <w:bottom w:val="single" w:sz="6" w:space="0" w:color="auto"/>
              <w:right w:val="double" w:sz="4" w:space="0" w:color="auto"/>
            </w:tcBorders>
            <w:hideMark/>
          </w:tcPr>
          <w:p w14:paraId="1F9BB9C2" w14:textId="77777777" w:rsidR="00FD1859" w:rsidRPr="00A41B49" w:rsidRDefault="00FD1859" w:rsidP="003D41CE">
            <w:pPr>
              <w:spacing w:line="288" w:lineRule="auto"/>
            </w:pPr>
            <w:r w:rsidRPr="00A41B49">
              <w:lastRenderedPageBreak/>
              <w:t>Precision</w:t>
            </w:r>
          </w:p>
        </w:tc>
        <w:tc>
          <w:tcPr>
            <w:tcW w:w="10634" w:type="dxa"/>
            <w:tcBorders>
              <w:top w:val="single" w:sz="6" w:space="0" w:color="auto"/>
              <w:left w:val="double" w:sz="4" w:space="0" w:color="auto"/>
              <w:right w:val="single" w:sz="6" w:space="0" w:color="auto"/>
            </w:tcBorders>
          </w:tcPr>
          <w:p w14:paraId="34321C12" w14:textId="77777777" w:rsidR="00FD1859" w:rsidRDefault="00FD1859" w:rsidP="003D41CE">
            <w:pPr>
              <w:spacing w:line="288" w:lineRule="auto"/>
              <w:rPr>
                <w:lang w:val="en-US"/>
              </w:rPr>
            </w:pPr>
            <w:r w:rsidRPr="004503F7">
              <w:rPr>
                <w:lang w:val="en-US"/>
              </w:rPr>
              <w:t>The precision was determined by analysing five test item solutions. The content of</w:t>
            </w:r>
            <w:r>
              <w:rPr>
                <w:lang w:val="en-US"/>
              </w:rPr>
              <w:t xml:space="preserve"> </w:t>
            </w:r>
            <w:r w:rsidRPr="004503F7">
              <w:rPr>
                <w:lang w:val="en-US"/>
              </w:rPr>
              <w:t>iodide for each analysis was calculated with the calibration curve.</w:t>
            </w:r>
            <w:r>
              <w:rPr>
                <w:lang w:val="en-US"/>
              </w:rPr>
              <w:t xml:space="preserve"> </w:t>
            </w:r>
            <w:r w:rsidRPr="004503F7">
              <w:rPr>
                <w:lang w:val="en-US"/>
              </w:rPr>
              <w:t>Then, the average value of the content, the standard deviation and the Relative</w:t>
            </w:r>
            <w:r>
              <w:rPr>
                <w:lang w:val="en-US"/>
              </w:rPr>
              <w:t xml:space="preserve"> </w:t>
            </w:r>
            <w:r w:rsidRPr="004503F7">
              <w:rPr>
                <w:lang w:val="en-US"/>
              </w:rPr>
              <w:t>Standard Deviation (R.S.D.) were calculated.</w:t>
            </w:r>
          </w:p>
          <w:p w14:paraId="016BBB28" w14:textId="77777777" w:rsidR="00FD1859" w:rsidRDefault="00FD1859" w:rsidP="003D41CE">
            <w:pPr>
              <w:spacing w:line="288" w:lineRule="auto"/>
              <w:rPr>
                <w:lang w:val="en-US"/>
              </w:rPr>
            </w:pPr>
            <w:r>
              <w:rPr>
                <w:lang w:val="en-US"/>
              </w:rPr>
              <w:t>Mean = 0.158% w/w</w:t>
            </w:r>
          </w:p>
          <w:p w14:paraId="60143BFD" w14:textId="77777777" w:rsidR="00FD1859" w:rsidRPr="00A41B49" w:rsidRDefault="00FD1859" w:rsidP="003D41CE">
            <w:pPr>
              <w:spacing w:line="288" w:lineRule="auto"/>
              <w:rPr>
                <w:lang w:val="en-US"/>
              </w:rPr>
            </w:pPr>
            <w:r>
              <w:rPr>
                <w:lang w:val="en-US"/>
              </w:rPr>
              <w:t>RSD = 0.92% &lt; Horwitz value = 3.54%</w:t>
            </w:r>
          </w:p>
        </w:tc>
      </w:tr>
      <w:tr w:rsidR="00FD1859" w:rsidRPr="00A41B49" w14:paraId="3F944E34" w14:textId="77777777" w:rsidTr="00680CE7">
        <w:trPr>
          <w:cantSplit/>
          <w:trHeight w:val="237"/>
          <w:jc w:val="center"/>
        </w:trPr>
        <w:tc>
          <w:tcPr>
            <w:tcW w:w="1612" w:type="dxa"/>
            <w:tcBorders>
              <w:top w:val="single" w:sz="6" w:space="0" w:color="auto"/>
              <w:left w:val="single" w:sz="6" w:space="0" w:color="auto"/>
              <w:bottom w:val="single" w:sz="6" w:space="0" w:color="auto"/>
              <w:right w:val="double" w:sz="4" w:space="0" w:color="auto"/>
            </w:tcBorders>
          </w:tcPr>
          <w:p w14:paraId="526C7C7F" w14:textId="77777777" w:rsidR="00FD1859" w:rsidRPr="00A41B49" w:rsidRDefault="00FD1859" w:rsidP="003D41CE">
            <w:pPr>
              <w:spacing w:line="288" w:lineRule="auto"/>
            </w:pPr>
            <w:r>
              <w:t>LOQ</w:t>
            </w:r>
          </w:p>
        </w:tc>
        <w:tc>
          <w:tcPr>
            <w:tcW w:w="10634" w:type="dxa"/>
            <w:tcBorders>
              <w:top w:val="single" w:sz="6" w:space="0" w:color="auto"/>
              <w:left w:val="double" w:sz="4" w:space="0" w:color="auto"/>
              <w:right w:val="single" w:sz="6" w:space="0" w:color="auto"/>
            </w:tcBorders>
          </w:tcPr>
          <w:p w14:paraId="06F9FE10" w14:textId="77777777" w:rsidR="00FD1859" w:rsidRPr="004503F7" w:rsidRDefault="00FD1859" w:rsidP="003D41CE">
            <w:pPr>
              <w:spacing w:line="288" w:lineRule="auto"/>
              <w:rPr>
                <w:lang w:val="en-US"/>
              </w:rPr>
            </w:pPr>
            <w:r>
              <w:rPr>
                <w:lang w:val="en-US"/>
              </w:rPr>
              <w:t>0.09 mg/L</w:t>
            </w:r>
          </w:p>
        </w:tc>
      </w:tr>
      <w:tr w:rsidR="00FD1859" w:rsidRPr="00A41B49" w14:paraId="1F2CB0E8" w14:textId="77777777" w:rsidTr="00680CE7">
        <w:trPr>
          <w:cantSplit/>
          <w:trHeight w:val="91"/>
          <w:jc w:val="center"/>
        </w:trPr>
        <w:tc>
          <w:tcPr>
            <w:tcW w:w="12247" w:type="dxa"/>
            <w:gridSpan w:val="2"/>
            <w:tcBorders>
              <w:top w:val="single" w:sz="6" w:space="0" w:color="auto"/>
              <w:left w:val="single" w:sz="6" w:space="0" w:color="auto"/>
              <w:bottom w:val="single" w:sz="6" w:space="0" w:color="auto"/>
              <w:right w:val="single" w:sz="6" w:space="0" w:color="auto"/>
            </w:tcBorders>
            <w:vAlign w:val="center"/>
          </w:tcPr>
          <w:p w14:paraId="3789090B" w14:textId="77777777" w:rsidR="00FD1859" w:rsidRPr="006B6683" w:rsidRDefault="00FD1859" w:rsidP="003D41CE">
            <w:pPr>
              <w:spacing w:line="288" w:lineRule="auto"/>
              <w:rPr>
                <w:b/>
                <w:bCs/>
                <w:spacing w:val="-2"/>
              </w:rPr>
            </w:pPr>
            <w:r w:rsidRPr="006B6683">
              <w:rPr>
                <w:b/>
                <w:bCs/>
                <w:spacing w:val="-2"/>
              </w:rPr>
              <w:t>Test item = Algofilm</w:t>
            </w:r>
          </w:p>
        </w:tc>
      </w:tr>
      <w:tr w:rsidR="00FD1859" w:rsidRPr="00A41B49" w14:paraId="35A55055" w14:textId="77777777" w:rsidTr="00680CE7">
        <w:trPr>
          <w:cantSplit/>
          <w:trHeight w:val="823"/>
          <w:jc w:val="center"/>
        </w:trPr>
        <w:tc>
          <w:tcPr>
            <w:tcW w:w="1612" w:type="dxa"/>
            <w:tcBorders>
              <w:top w:val="single" w:sz="6" w:space="0" w:color="auto"/>
              <w:left w:val="single" w:sz="6" w:space="0" w:color="auto"/>
              <w:bottom w:val="single" w:sz="6" w:space="0" w:color="auto"/>
              <w:right w:val="double" w:sz="4" w:space="0" w:color="auto"/>
            </w:tcBorders>
          </w:tcPr>
          <w:p w14:paraId="108B79D1" w14:textId="77777777" w:rsidR="00FD1859" w:rsidRPr="00A41B49" w:rsidRDefault="00FD1859" w:rsidP="003D41CE">
            <w:pPr>
              <w:spacing w:line="288" w:lineRule="auto"/>
            </w:pPr>
            <w:r w:rsidRPr="00A41B49">
              <w:t>Specificity</w:t>
            </w:r>
          </w:p>
        </w:tc>
        <w:tc>
          <w:tcPr>
            <w:tcW w:w="10634" w:type="dxa"/>
            <w:tcBorders>
              <w:top w:val="single" w:sz="6" w:space="0" w:color="auto"/>
              <w:left w:val="double" w:sz="4" w:space="0" w:color="auto"/>
              <w:bottom w:val="single" w:sz="4" w:space="0" w:color="auto"/>
              <w:right w:val="single" w:sz="6" w:space="0" w:color="auto"/>
            </w:tcBorders>
          </w:tcPr>
          <w:p w14:paraId="51CD0FFB" w14:textId="77777777" w:rsidR="00FD1859" w:rsidRPr="00F25CF3" w:rsidRDefault="00FD1859" w:rsidP="003D41CE">
            <w:pPr>
              <w:spacing w:line="288" w:lineRule="auto"/>
              <w:rPr>
                <w:lang w:val="en-US"/>
              </w:rPr>
            </w:pPr>
            <w:r w:rsidRPr="00F25CF3">
              <w:rPr>
                <w:lang w:val="en-US"/>
              </w:rPr>
              <w:t>To define the specificity of the analytical method, the following solutions were</w:t>
            </w:r>
            <w:r>
              <w:rPr>
                <w:lang w:val="en-US"/>
              </w:rPr>
              <w:t xml:space="preserve"> </w:t>
            </w:r>
            <w:r w:rsidRPr="00F25CF3">
              <w:rPr>
                <w:lang w:val="en-US"/>
              </w:rPr>
              <w:t>analysed:</w:t>
            </w:r>
          </w:p>
          <w:p w14:paraId="42EAEDD8" w14:textId="77777777" w:rsidR="00FD1859" w:rsidRPr="00F25CF3" w:rsidRDefault="00FD1859" w:rsidP="003D41CE">
            <w:pPr>
              <w:spacing w:line="288" w:lineRule="auto"/>
              <w:rPr>
                <w:lang w:val="en-US"/>
              </w:rPr>
            </w:pPr>
            <w:r w:rsidRPr="00F25CF3">
              <w:rPr>
                <w:lang w:val="en-US"/>
              </w:rPr>
              <w:t>- Solvent blank</w:t>
            </w:r>
          </w:p>
          <w:p w14:paraId="49B35341" w14:textId="77777777" w:rsidR="00FD1859" w:rsidRPr="00F25CF3" w:rsidRDefault="00FD1859" w:rsidP="003D41CE">
            <w:pPr>
              <w:spacing w:line="288" w:lineRule="auto"/>
              <w:rPr>
                <w:lang w:val="en-US"/>
              </w:rPr>
            </w:pPr>
            <w:r w:rsidRPr="00F25CF3">
              <w:rPr>
                <w:lang w:val="en-US"/>
              </w:rPr>
              <w:t>- Formulation blank</w:t>
            </w:r>
          </w:p>
          <w:p w14:paraId="7F8DD201" w14:textId="77777777" w:rsidR="00FD1859" w:rsidRPr="00F25CF3" w:rsidRDefault="00FD1859" w:rsidP="003D41CE">
            <w:pPr>
              <w:spacing w:line="288" w:lineRule="auto"/>
              <w:rPr>
                <w:lang w:val="en-US"/>
              </w:rPr>
            </w:pPr>
            <w:r w:rsidRPr="00F25CF3">
              <w:rPr>
                <w:lang w:val="en-US"/>
              </w:rPr>
              <w:t>- Formulation blank with L-(+)-lactic acid</w:t>
            </w:r>
          </w:p>
          <w:p w14:paraId="7EBE780E" w14:textId="77777777" w:rsidR="00FD1859" w:rsidRPr="00F25CF3" w:rsidRDefault="00FD1859" w:rsidP="003D41CE">
            <w:pPr>
              <w:spacing w:line="288" w:lineRule="auto"/>
              <w:rPr>
                <w:lang w:val="en-US"/>
              </w:rPr>
            </w:pPr>
            <w:r w:rsidRPr="00F25CF3">
              <w:rPr>
                <w:lang w:val="en-US"/>
              </w:rPr>
              <w:t>- Reference item</w:t>
            </w:r>
          </w:p>
          <w:p w14:paraId="6C10AF7D" w14:textId="77777777" w:rsidR="00FD1859" w:rsidRDefault="00FD1859" w:rsidP="003D41CE">
            <w:pPr>
              <w:spacing w:line="288" w:lineRule="auto"/>
              <w:rPr>
                <w:lang w:val="en-US"/>
              </w:rPr>
            </w:pPr>
            <w:r w:rsidRPr="00F25CF3">
              <w:rPr>
                <w:lang w:val="en-US"/>
              </w:rPr>
              <w:t>- Test item</w:t>
            </w:r>
          </w:p>
          <w:p w14:paraId="572938BB" w14:textId="77777777" w:rsidR="00FD1859" w:rsidRPr="00F25CF3" w:rsidRDefault="00FD1859" w:rsidP="00680CE7">
            <w:pPr>
              <w:spacing w:line="288" w:lineRule="auto"/>
              <w:jc w:val="both"/>
              <w:rPr>
                <w:lang w:val="en-US"/>
              </w:rPr>
            </w:pPr>
            <w:r w:rsidRPr="00F25CF3">
              <w:rPr>
                <w:lang w:val="en-US"/>
              </w:rPr>
              <w:t>No peak was observed in the solvent blank and in the formulation blank near the</w:t>
            </w:r>
            <w:r>
              <w:rPr>
                <w:lang w:val="en-US"/>
              </w:rPr>
              <w:t xml:space="preserve"> </w:t>
            </w:r>
            <w:r w:rsidRPr="00F25CF3">
              <w:rPr>
                <w:lang w:val="en-US"/>
              </w:rPr>
              <w:t>retention time of iodide peak.</w:t>
            </w:r>
          </w:p>
          <w:p w14:paraId="342246F1" w14:textId="77777777" w:rsidR="00FD1859" w:rsidRPr="00F25CF3" w:rsidRDefault="00FD1859" w:rsidP="00680CE7">
            <w:pPr>
              <w:spacing w:line="288" w:lineRule="auto"/>
              <w:jc w:val="both"/>
              <w:rPr>
                <w:lang w:val="en-US"/>
              </w:rPr>
            </w:pPr>
            <w:r w:rsidRPr="00F25CF3">
              <w:rPr>
                <w:lang w:val="en-US"/>
              </w:rPr>
              <w:t>No additional peak appears in the reference item and in the test item near the</w:t>
            </w:r>
            <w:r>
              <w:rPr>
                <w:lang w:val="en-US"/>
              </w:rPr>
              <w:t xml:space="preserve"> </w:t>
            </w:r>
            <w:r w:rsidRPr="00F25CF3">
              <w:rPr>
                <w:lang w:val="en-US"/>
              </w:rPr>
              <w:t>retention time of iodide peak.</w:t>
            </w:r>
          </w:p>
          <w:p w14:paraId="48A6F33B" w14:textId="77777777" w:rsidR="00FD1859" w:rsidRDefault="00FD1859" w:rsidP="00680CE7">
            <w:pPr>
              <w:spacing w:line="288" w:lineRule="auto"/>
              <w:jc w:val="both"/>
              <w:rPr>
                <w:lang w:val="en-US"/>
              </w:rPr>
            </w:pPr>
            <w:r w:rsidRPr="00F25CF3">
              <w:rPr>
                <w:lang w:val="en-US"/>
              </w:rPr>
              <w:t>The specificity is therefore demonstrated.</w:t>
            </w:r>
          </w:p>
          <w:p w14:paraId="22085B5A" w14:textId="0B95844F" w:rsidR="00036DD3" w:rsidRPr="00A41B49" w:rsidRDefault="00036DD3" w:rsidP="003D41CE">
            <w:pPr>
              <w:spacing w:line="288" w:lineRule="auto"/>
              <w:rPr>
                <w:lang w:val="en-US"/>
              </w:rPr>
            </w:pPr>
            <w:r>
              <w:rPr>
                <w:lang w:val="en-US"/>
              </w:rPr>
              <w:t>Chromatograms were provided.</w:t>
            </w:r>
          </w:p>
        </w:tc>
      </w:tr>
      <w:tr w:rsidR="00FD1859" w:rsidRPr="00A41B49" w14:paraId="72083D1E" w14:textId="77777777" w:rsidTr="00680CE7">
        <w:trPr>
          <w:cantSplit/>
          <w:trHeight w:val="610"/>
          <w:jc w:val="center"/>
        </w:trPr>
        <w:tc>
          <w:tcPr>
            <w:tcW w:w="1612" w:type="dxa"/>
            <w:tcBorders>
              <w:top w:val="single" w:sz="6" w:space="0" w:color="auto"/>
              <w:left w:val="single" w:sz="6" w:space="0" w:color="auto"/>
              <w:bottom w:val="single" w:sz="6" w:space="0" w:color="auto"/>
              <w:right w:val="double" w:sz="4" w:space="0" w:color="auto"/>
            </w:tcBorders>
            <w:hideMark/>
          </w:tcPr>
          <w:p w14:paraId="22078F0B" w14:textId="77777777" w:rsidR="00FD1859" w:rsidRPr="00A41B49" w:rsidRDefault="00FD1859" w:rsidP="003D41CE">
            <w:pPr>
              <w:spacing w:line="288" w:lineRule="auto"/>
            </w:pPr>
            <w:r w:rsidRPr="00A41B49">
              <w:t>Accuracy</w:t>
            </w:r>
          </w:p>
        </w:tc>
        <w:tc>
          <w:tcPr>
            <w:tcW w:w="10634" w:type="dxa"/>
            <w:tcBorders>
              <w:top w:val="single" w:sz="6" w:space="0" w:color="auto"/>
              <w:left w:val="double" w:sz="4" w:space="0" w:color="auto"/>
              <w:right w:val="single" w:sz="6" w:space="0" w:color="auto"/>
            </w:tcBorders>
          </w:tcPr>
          <w:p w14:paraId="17075B63" w14:textId="77777777" w:rsidR="00FD1859" w:rsidRDefault="00FD1859" w:rsidP="003D41CE">
            <w:pPr>
              <w:spacing w:line="288" w:lineRule="auto"/>
              <w:rPr>
                <w:lang w:val="en-US"/>
              </w:rPr>
            </w:pPr>
            <w:r w:rsidRPr="00F25CF3">
              <w:rPr>
                <w:lang w:val="en-US"/>
              </w:rPr>
              <w:t>The accuracy was determined by analysing two spiking solutions The content of</w:t>
            </w:r>
            <w:r>
              <w:rPr>
                <w:lang w:val="en-US"/>
              </w:rPr>
              <w:t xml:space="preserve"> </w:t>
            </w:r>
            <w:r w:rsidRPr="00F25CF3">
              <w:rPr>
                <w:lang w:val="en-US"/>
              </w:rPr>
              <w:t>iodide for each analysis was calculated with the calibration curve.</w:t>
            </w:r>
          </w:p>
          <w:p w14:paraId="104995E5" w14:textId="77777777" w:rsidR="00FD1859" w:rsidRPr="00A41B49" w:rsidRDefault="00FD1859" w:rsidP="003D41CE">
            <w:pPr>
              <w:spacing w:line="288" w:lineRule="auto"/>
              <w:rPr>
                <w:lang w:val="en-US"/>
              </w:rPr>
            </w:pPr>
            <w:r>
              <w:rPr>
                <w:lang w:val="en-US"/>
              </w:rPr>
              <w:t>The mean recovery was found to be 100.8%.</w:t>
            </w:r>
          </w:p>
        </w:tc>
      </w:tr>
    </w:tbl>
    <w:p w14:paraId="411D9A50" w14:textId="77777777" w:rsidR="00FD1859" w:rsidRPr="00A345EE" w:rsidRDefault="00FD1859" w:rsidP="00FD1859"/>
    <w:p w14:paraId="27B5D6FD" w14:textId="093AA8EC" w:rsidR="00FD1859" w:rsidRDefault="00FD1859" w:rsidP="00FD1859">
      <w:pPr>
        <w:rPr>
          <w:bCs/>
        </w:rPr>
      </w:pPr>
    </w:p>
    <w:p w14:paraId="2A6F0EF2" w14:textId="72FAFFD7" w:rsidR="00036DD3" w:rsidRDefault="00036DD3" w:rsidP="00FD1859">
      <w:pPr>
        <w:rPr>
          <w:bCs/>
        </w:rPr>
      </w:pPr>
    </w:p>
    <w:p w14:paraId="2235C847" w14:textId="66227646" w:rsidR="00036DD3" w:rsidRDefault="00036DD3" w:rsidP="00FD1859">
      <w:pPr>
        <w:rPr>
          <w:bCs/>
        </w:rPr>
      </w:pPr>
    </w:p>
    <w:p w14:paraId="53203EA2" w14:textId="0D209D31" w:rsidR="00036DD3" w:rsidRDefault="00036DD3" w:rsidP="00FD1859">
      <w:pPr>
        <w:rPr>
          <w:bCs/>
        </w:rPr>
      </w:pPr>
    </w:p>
    <w:p w14:paraId="373B1F5E" w14:textId="7A98F6C7" w:rsidR="00036DD3" w:rsidRDefault="00036DD3" w:rsidP="00FD1859">
      <w:pPr>
        <w:rPr>
          <w:bCs/>
        </w:rPr>
      </w:pPr>
    </w:p>
    <w:p w14:paraId="59401A3E" w14:textId="784C7D04" w:rsidR="00036DD3" w:rsidRDefault="00036DD3" w:rsidP="00FD1859">
      <w:pPr>
        <w:rPr>
          <w:bCs/>
        </w:rPr>
      </w:pPr>
    </w:p>
    <w:p w14:paraId="2964F64B" w14:textId="77777777" w:rsidR="008D6BE8" w:rsidRDefault="008D6BE8" w:rsidP="00FD1859">
      <w:pPr>
        <w:rPr>
          <w:bCs/>
        </w:rPr>
      </w:pPr>
    </w:p>
    <w:p w14:paraId="36338C97" w14:textId="09FA6D7E" w:rsidR="00036DD3" w:rsidRDefault="00036DD3" w:rsidP="00FD1859">
      <w:pPr>
        <w:rPr>
          <w:bCs/>
        </w:rPr>
      </w:pPr>
    </w:p>
    <w:p w14:paraId="67473C69" w14:textId="28A5CE81" w:rsidR="00036DD3" w:rsidRDefault="00036DD3" w:rsidP="00FD1859">
      <w:pPr>
        <w:rPr>
          <w:bCs/>
        </w:rPr>
      </w:pPr>
    </w:p>
    <w:p w14:paraId="7BEFE7ED" w14:textId="77777777" w:rsidR="00036DD3" w:rsidRDefault="00036DD3" w:rsidP="00FD1859">
      <w:pPr>
        <w:rPr>
          <w:bCs/>
        </w:rPr>
      </w:pPr>
    </w:p>
    <w:p w14:paraId="06057F48" w14:textId="49A566FD" w:rsidR="00FD1859" w:rsidRDefault="00FD1859" w:rsidP="00FD1859">
      <w:pPr>
        <w:rPr>
          <w:b/>
        </w:rPr>
      </w:pPr>
      <w:r w:rsidRPr="00A83816">
        <w:rPr>
          <w:b/>
        </w:rPr>
        <w:lastRenderedPageBreak/>
        <w:t xml:space="preserve">Analytical method for determination of </w:t>
      </w:r>
      <w:r>
        <w:rPr>
          <w:b/>
        </w:rPr>
        <w:t>iodate</w:t>
      </w:r>
      <w:r w:rsidRPr="00A83816">
        <w:rPr>
          <w:b/>
        </w:rPr>
        <w:t xml:space="preserve"> in the biocidal product</w:t>
      </w:r>
    </w:p>
    <w:p w14:paraId="696CCA2E" w14:textId="77777777" w:rsidR="00036DD3" w:rsidRDefault="00036DD3" w:rsidP="00FD1859">
      <w:pPr>
        <w:rPr>
          <w:b/>
        </w:rPr>
      </w:pPr>
    </w:p>
    <w:tbl>
      <w:tblPr>
        <w:tblW w:w="1488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067"/>
        <w:gridCol w:w="11817"/>
      </w:tblGrid>
      <w:tr w:rsidR="00036DD3" w:rsidRPr="00A41B49" w14:paraId="5EDFAF57" w14:textId="77777777" w:rsidTr="00261A29">
        <w:trPr>
          <w:trHeight w:val="186"/>
        </w:trPr>
        <w:tc>
          <w:tcPr>
            <w:tcW w:w="3067" w:type="dxa"/>
            <w:tcBorders>
              <w:right w:val="single" w:sz="4" w:space="0" w:color="auto"/>
            </w:tcBorders>
            <w:shd w:val="clear" w:color="auto" w:fill="auto"/>
          </w:tcPr>
          <w:p w14:paraId="7B9F33AC" w14:textId="77777777" w:rsidR="00036DD3" w:rsidRPr="00A41B49" w:rsidRDefault="00036DD3" w:rsidP="00261A29">
            <w:pPr>
              <w:pStyle w:val="OECD-table"/>
              <w:rPr>
                <w:rFonts w:ascii="Verdana" w:hAnsi="Verdana"/>
                <w:b/>
                <w:sz w:val="20"/>
                <w:szCs w:val="20"/>
              </w:rPr>
            </w:pPr>
            <w:r w:rsidRPr="00A41B49">
              <w:rPr>
                <w:rFonts w:ascii="Verdana" w:hAnsi="Verdana"/>
                <w:b/>
                <w:sz w:val="20"/>
                <w:szCs w:val="20"/>
              </w:rPr>
              <w:t>Report:</w:t>
            </w:r>
          </w:p>
        </w:tc>
        <w:tc>
          <w:tcPr>
            <w:tcW w:w="11817" w:type="dxa"/>
            <w:tcBorders>
              <w:left w:val="single" w:sz="4" w:space="0" w:color="auto"/>
            </w:tcBorders>
            <w:shd w:val="clear" w:color="auto" w:fill="auto"/>
          </w:tcPr>
          <w:p w14:paraId="258E4AFE" w14:textId="1A5F9EA9" w:rsidR="00036DD3" w:rsidRPr="00A41B49" w:rsidRDefault="002C4B6A" w:rsidP="00261A29">
            <w:pPr>
              <w:rPr>
                <w:lang w:val="fr-FR"/>
              </w:rPr>
            </w:pPr>
            <w:r>
              <w:rPr>
                <w:lang w:val="fr-FR"/>
              </w:rPr>
              <w:t>Ricau H.</w:t>
            </w:r>
            <w:r w:rsidR="00036DD3">
              <w:rPr>
                <w:lang w:val="fr-FR"/>
              </w:rPr>
              <w:t>, 2020</w:t>
            </w:r>
          </w:p>
        </w:tc>
      </w:tr>
      <w:tr w:rsidR="00036DD3" w:rsidRPr="00C1749F" w14:paraId="2D71924E" w14:textId="77777777" w:rsidTr="00261A29">
        <w:trPr>
          <w:trHeight w:val="178"/>
        </w:trPr>
        <w:tc>
          <w:tcPr>
            <w:tcW w:w="3067" w:type="dxa"/>
            <w:tcBorders>
              <w:right w:val="single" w:sz="4" w:space="0" w:color="auto"/>
            </w:tcBorders>
            <w:shd w:val="clear" w:color="auto" w:fill="auto"/>
          </w:tcPr>
          <w:p w14:paraId="465677DE" w14:textId="77777777" w:rsidR="00036DD3" w:rsidRPr="00A41B49" w:rsidRDefault="00036DD3" w:rsidP="00261A29">
            <w:pPr>
              <w:pStyle w:val="OECD-table"/>
              <w:jc w:val="both"/>
              <w:rPr>
                <w:rFonts w:ascii="Verdana" w:hAnsi="Verdana"/>
                <w:sz w:val="20"/>
                <w:szCs w:val="20"/>
                <w:lang w:val="fr-FR"/>
              </w:rPr>
            </w:pPr>
            <w:r w:rsidRPr="00A41B49">
              <w:rPr>
                <w:rFonts w:ascii="Verdana" w:hAnsi="Verdana"/>
                <w:sz w:val="20"/>
                <w:szCs w:val="20"/>
                <w:lang w:val="fr-FR"/>
              </w:rPr>
              <w:t>Title:</w:t>
            </w:r>
          </w:p>
        </w:tc>
        <w:tc>
          <w:tcPr>
            <w:tcW w:w="11817" w:type="dxa"/>
            <w:tcBorders>
              <w:left w:val="single" w:sz="4" w:space="0" w:color="auto"/>
            </w:tcBorders>
            <w:shd w:val="clear" w:color="auto" w:fill="auto"/>
          </w:tcPr>
          <w:p w14:paraId="7E4162A0" w14:textId="5B95AF90" w:rsidR="00036DD3" w:rsidRPr="00C1749F" w:rsidRDefault="00036DD3" w:rsidP="00036DD3">
            <w:pPr>
              <w:autoSpaceDE w:val="0"/>
              <w:autoSpaceDN w:val="0"/>
              <w:adjustRightInd w:val="0"/>
              <w:rPr>
                <w:bCs/>
                <w:lang w:val="en-US"/>
              </w:rPr>
            </w:pPr>
            <w:r w:rsidRPr="0042590C">
              <w:rPr>
                <w:color w:val="000000"/>
                <w:lang w:val="en-US"/>
              </w:rPr>
              <w:t>Validation of the analytical method for the</w:t>
            </w:r>
            <w:r>
              <w:rPr>
                <w:color w:val="000000"/>
                <w:lang w:val="en-US"/>
              </w:rPr>
              <w:t xml:space="preserve"> determination of iodat</w:t>
            </w:r>
            <w:r w:rsidRPr="0042590C">
              <w:rPr>
                <w:color w:val="000000"/>
                <w:lang w:val="en-US"/>
              </w:rPr>
              <w:t>e</w:t>
            </w:r>
            <w:r>
              <w:rPr>
                <w:color w:val="000000"/>
                <w:lang w:val="en-US"/>
              </w:rPr>
              <w:t xml:space="preserve"> </w:t>
            </w:r>
            <w:r w:rsidRPr="0042590C">
              <w:rPr>
                <w:color w:val="000000"/>
                <w:lang w:val="en-US"/>
              </w:rPr>
              <w:t>in IODIGUARD</w:t>
            </w:r>
          </w:p>
        </w:tc>
      </w:tr>
      <w:tr w:rsidR="00036DD3" w:rsidRPr="00A41B49" w14:paraId="4D764BEA" w14:textId="77777777" w:rsidTr="00261A29">
        <w:trPr>
          <w:trHeight w:val="186"/>
        </w:trPr>
        <w:tc>
          <w:tcPr>
            <w:tcW w:w="3067" w:type="dxa"/>
            <w:tcBorders>
              <w:right w:val="single" w:sz="4" w:space="0" w:color="auto"/>
            </w:tcBorders>
            <w:shd w:val="clear" w:color="auto" w:fill="auto"/>
          </w:tcPr>
          <w:p w14:paraId="79068FAD" w14:textId="77777777" w:rsidR="00036DD3" w:rsidRPr="00A41B49" w:rsidRDefault="00036DD3" w:rsidP="00261A29">
            <w:pPr>
              <w:pStyle w:val="OECD-table"/>
              <w:rPr>
                <w:rFonts w:ascii="Verdana" w:hAnsi="Verdana"/>
                <w:sz w:val="20"/>
                <w:szCs w:val="20"/>
                <w:lang w:val="fr-FR"/>
              </w:rPr>
            </w:pPr>
            <w:r w:rsidRPr="00A41B49">
              <w:rPr>
                <w:rFonts w:ascii="Verdana" w:hAnsi="Verdana"/>
                <w:sz w:val="20"/>
                <w:szCs w:val="20"/>
                <w:lang w:val="fr-FR"/>
              </w:rPr>
              <w:t>Document No</w:t>
            </w:r>
          </w:p>
        </w:tc>
        <w:tc>
          <w:tcPr>
            <w:tcW w:w="11817" w:type="dxa"/>
            <w:tcBorders>
              <w:left w:val="single" w:sz="4" w:space="0" w:color="auto"/>
            </w:tcBorders>
            <w:shd w:val="clear" w:color="auto" w:fill="auto"/>
          </w:tcPr>
          <w:p w14:paraId="0BC2DBC8" w14:textId="500C5D3B" w:rsidR="00036DD3" w:rsidRPr="00A41B49" w:rsidRDefault="00036DD3" w:rsidP="00261A29">
            <w:pPr>
              <w:pStyle w:val="OECD-table"/>
              <w:rPr>
                <w:rFonts w:ascii="Verdana" w:hAnsi="Verdana"/>
                <w:sz w:val="20"/>
                <w:szCs w:val="20"/>
                <w:lang w:val="fr-FR"/>
              </w:rPr>
            </w:pPr>
            <w:r>
              <w:rPr>
                <w:rFonts w:ascii="Verdana" w:hAnsi="Verdana"/>
                <w:sz w:val="20"/>
                <w:szCs w:val="20"/>
                <w:lang w:val="fr-FR"/>
              </w:rPr>
              <w:t>20-912017-003</w:t>
            </w:r>
          </w:p>
        </w:tc>
      </w:tr>
      <w:tr w:rsidR="00036DD3" w:rsidRPr="00C1749F" w14:paraId="4FE03DDC" w14:textId="77777777" w:rsidTr="00261A29">
        <w:trPr>
          <w:trHeight w:val="344"/>
        </w:trPr>
        <w:tc>
          <w:tcPr>
            <w:tcW w:w="3067" w:type="dxa"/>
            <w:tcBorders>
              <w:right w:val="single" w:sz="4" w:space="0" w:color="auto"/>
            </w:tcBorders>
            <w:shd w:val="clear" w:color="auto" w:fill="auto"/>
          </w:tcPr>
          <w:p w14:paraId="4E4B3C0E" w14:textId="77777777" w:rsidR="00036DD3" w:rsidRPr="00A41B49" w:rsidRDefault="00036DD3" w:rsidP="00261A29">
            <w:pPr>
              <w:pStyle w:val="OECD-table"/>
              <w:rPr>
                <w:rFonts w:ascii="Verdana" w:hAnsi="Verdana"/>
                <w:sz w:val="20"/>
                <w:szCs w:val="20"/>
                <w:lang w:val="fr-FR"/>
              </w:rPr>
            </w:pPr>
            <w:r w:rsidRPr="00A41B49">
              <w:rPr>
                <w:rFonts w:ascii="Verdana" w:hAnsi="Verdana"/>
                <w:sz w:val="20"/>
                <w:szCs w:val="20"/>
                <w:lang w:val="fr-FR"/>
              </w:rPr>
              <w:t>Test facility</w:t>
            </w:r>
          </w:p>
        </w:tc>
        <w:tc>
          <w:tcPr>
            <w:tcW w:w="11817" w:type="dxa"/>
            <w:tcBorders>
              <w:left w:val="single" w:sz="4" w:space="0" w:color="auto"/>
            </w:tcBorders>
            <w:shd w:val="clear" w:color="auto" w:fill="auto"/>
          </w:tcPr>
          <w:p w14:paraId="374BBC14"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DEFITRACES</w:t>
            </w:r>
          </w:p>
          <w:p w14:paraId="6F7B20AE"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Z.A. des Andrés</w:t>
            </w:r>
          </w:p>
          <w:p w14:paraId="61A1B61C"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150, rue Pré-Magne</w:t>
            </w:r>
          </w:p>
          <w:p w14:paraId="13D4369A"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69126 BRINDAS</w:t>
            </w:r>
          </w:p>
          <w:p w14:paraId="4F3F7109" w14:textId="77777777" w:rsidR="00036DD3" w:rsidRPr="00A41B49" w:rsidRDefault="00036DD3" w:rsidP="00261A29">
            <w:pPr>
              <w:pStyle w:val="OECD-table"/>
              <w:rPr>
                <w:rFonts w:ascii="Verdana" w:hAnsi="Verdana"/>
                <w:sz w:val="20"/>
                <w:szCs w:val="20"/>
                <w:lang w:val="fr-FR"/>
              </w:rPr>
            </w:pPr>
            <w:r w:rsidRPr="00096A18">
              <w:rPr>
                <w:rFonts w:ascii="Verdana" w:hAnsi="Verdana"/>
                <w:sz w:val="20"/>
                <w:szCs w:val="20"/>
                <w:lang w:val="fr-FR"/>
              </w:rPr>
              <w:t>FRANCE</w:t>
            </w:r>
          </w:p>
        </w:tc>
      </w:tr>
      <w:tr w:rsidR="00036DD3" w:rsidRPr="00A41B49" w14:paraId="5BC6F610" w14:textId="77777777" w:rsidTr="00261A29">
        <w:trPr>
          <w:trHeight w:val="186"/>
        </w:trPr>
        <w:tc>
          <w:tcPr>
            <w:tcW w:w="3067" w:type="dxa"/>
            <w:tcBorders>
              <w:right w:val="single" w:sz="4" w:space="0" w:color="auto"/>
            </w:tcBorders>
            <w:shd w:val="clear" w:color="auto" w:fill="auto"/>
          </w:tcPr>
          <w:p w14:paraId="68B207B9"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Guidelines:</w:t>
            </w:r>
          </w:p>
        </w:tc>
        <w:tc>
          <w:tcPr>
            <w:tcW w:w="11817" w:type="dxa"/>
            <w:tcBorders>
              <w:left w:val="single" w:sz="4" w:space="0" w:color="auto"/>
            </w:tcBorders>
            <w:shd w:val="clear" w:color="auto" w:fill="auto"/>
          </w:tcPr>
          <w:p w14:paraId="10DF2624"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w:t>
            </w:r>
          </w:p>
        </w:tc>
      </w:tr>
      <w:tr w:rsidR="00036DD3" w:rsidRPr="00A41B49" w14:paraId="5EED8658" w14:textId="77777777" w:rsidTr="00261A29">
        <w:trPr>
          <w:trHeight w:val="178"/>
        </w:trPr>
        <w:tc>
          <w:tcPr>
            <w:tcW w:w="3067" w:type="dxa"/>
            <w:tcBorders>
              <w:right w:val="single" w:sz="4" w:space="0" w:color="auto"/>
            </w:tcBorders>
            <w:shd w:val="clear" w:color="auto" w:fill="auto"/>
          </w:tcPr>
          <w:p w14:paraId="7ADAAC7C"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GLP</w:t>
            </w:r>
          </w:p>
        </w:tc>
        <w:tc>
          <w:tcPr>
            <w:tcW w:w="11817" w:type="dxa"/>
            <w:tcBorders>
              <w:left w:val="single" w:sz="4" w:space="0" w:color="auto"/>
            </w:tcBorders>
            <w:shd w:val="clear" w:color="auto" w:fill="auto"/>
          </w:tcPr>
          <w:p w14:paraId="321807BC" w14:textId="77777777" w:rsidR="00036DD3" w:rsidRPr="00A41B49" w:rsidRDefault="00036DD3" w:rsidP="00261A29">
            <w:pPr>
              <w:pStyle w:val="OECD-table"/>
              <w:rPr>
                <w:rFonts w:ascii="Verdana" w:hAnsi="Verdana"/>
                <w:sz w:val="20"/>
                <w:szCs w:val="20"/>
              </w:rPr>
            </w:pPr>
            <w:r>
              <w:rPr>
                <w:rFonts w:ascii="Verdana" w:hAnsi="Verdana"/>
                <w:sz w:val="20"/>
                <w:szCs w:val="20"/>
              </w:rPr>
              <w:t>Yes</w:t>
            </w:r>
          </w:p>
        </w:tc>
      </w:tr>
    </w:tbl>
    <w:p w14:paraId="4B86099F" w14:textId="77777777" w:rsidR="00036DD3" w:rsidRDefault="00036DD3" w:rsidP="00680CE7">
      <w:pPr>
        <w:jc w:val="both"/>
        <w:rPr>
          <w:bCs/>
        </w:rPr>
      </w:pPr>
    </w:p>
    <w:tbl>
      <w:tblPr>
        <w:tblW w:w="1488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067"/>
        <w:gridCol w:w="11817"/>
      </w:tblGrid>
      <w:tr w:rsidR="00036DD3" w:rsidRPr="00A41B49" w14:paraId="1616F56A" w14:textId="77777777" w:rsidTr="00261A29">
        <w:trPr>
          <w:trHeight w:val="186"/>
        </w:trPr>
        <w:tc>
          <w:tcPr>
            <w:tcW w:w="3067" w:type="dxa"/>
            <w:tcBorders>
              <w:right w:val="single" w:sz="4" w:space="0" w:color="auto"/>
            </w:tcBorders>
            <w:shd w:val="clear" w:color="auto" w:fill="auto"/>
          </w:tcPr>
          <w:p w14:paraId="7BF27C3D" w14:textId="77777777" w:rsidR="00036DD3" w:rsidRPr="00A41B49" w:rsidRDefault="00036DD3" w:rsidP="00261A29">
            <w:pPr>
              <w:pStyle w:val="OECD-table"/>
              <w:rPr>
                <w:rFonts w:ascii="Verdana" w:hAnsi="Verdana"/>
                <w:b/>
                <w:sz w:val="20"/>
                <w:szCs w:val="20"/>
              </w:rPr>
            </w:pPr>
            <w:r w:rsidRPr="00A41B49">
              <w:rPr>
                <w:rFonts w:ascii="Verdana" w:hAnsi="Verdana"/>
                <w:b/>
                <w:sz w:val="20"/>
                <w:szCs w:val="20"/>
              </w:rPr>
              <w:t>Report:</w:t>
            </w:r>
          </w:p>
        </w:tc>
        <w:tc>
          <w:tcPr>
            <w:tcW w:w="11817" w:type="dxa"/>
            <w:tcBorders>
              <w:left w:val="single" w:sz="4" w:space="0" w:color="auto"/>
            </w:tcBorders>
            <w:shd w:val="clear" w:color="auto" w:fill="auto"/>
          </w:tcPr>
          <w:p w14:paraId="20952E1E" w14:textId="7FD53D6E" w:rsidR="00036DD3" w:rsidRPr="00A41B49" w:rsidRDefault="002C4B6A" w:rsidP="00261A29">
            <w:pPr>
              <w:rPr>
                <w:lang w:val="fr-FR"/>
              </w:rPr>
            </w:pPr>
            <w:r>
              <w:rPr>
                <w:lang w:val="fr-FR"/>
              </w:rPr>
              <w:t>Ricau H.</w:t>
            </w:r>
            <w:r w:rsidR="00036DD3">
              <w:rPr>
                <w:lang w:val="fr-FR"/>
              </w:rPr>
              <w:t>, 2020</w:t>
            </w:r>
          </w:p>
        </w:tc>
      </w:tr>
      <w:tr w:rsidR="00036DD3" w:rsidRPr="00C1749F" w14:paraId="6F2948C1" w14:textId="77777777" w:rsidTr="00261A29">
        <w:trPr>
          <w:trHeight w:val="178"/>
        </w:trPr>
        <w:tc>
          <w:tcPr>
            <w:tcW w:w="3067" w:type="dxa"/>
            <w:tcBorders>
              <w:right w:val="single" w:sz="4" w:space="0" w:color="auto"/>
            </w:tcBorders>
            <w:shd w:val="clear" w:color="auto" w:fill="auto"/>
          </w:tcPr>
          <w:p w14:paraId="09D1A60C" w14:textId="77777777" w:rsidR="00036DD3" w:rsidRPr="00A41B49" w:rsidRDefault="00036DD3" w:rsidP="00261A29">
            <w:pPr>
              <w:pStyle w:val="OECD-table"/>
              <w:jc w:val="both"/>
              <w:rPr>
                <w:rFonts w:ascii="Verdana" w:hAnsi="Verdana"/>
                <w:sz w:val="20"/>
                <w:szCs w:val="20"/>
                <w:lang w:val="fr-FR"/>
              </w:rPr>
            </w:pPr>
            <w:r w:rsidRPr="00A41B49">
              <w:rPr>
                <w:rFonts w:ascii="Verdana" w:hAnsi="Verdana"/>
                <w:sz w:val="20"/>
                <w:szCs w:val="20"/>
                <w:lang w:val="fr-FR"/>
              </w:rPr>
              <w:t>Title:</w:t>
            </w:r>
          </w:p>
        </w:tc>
        <w:tc>
          <w:tcPr>
            <w:tcW w:w="11817" w:type="dxa"/>
            <w:tcBorders>
              <w:left w:val="single" w:sz="4" w:space="0" w:color="auto"/>
            </w:tcBorders>
            <w:shd w:val="clear" w:color="auto" w:fill="auto"/>
          </w:tcPr>
          <w:p w14:paraId="4ADBD939" w14:textId="2FE3A448" w:rsidR="00036DD3" w:rsidRPr="00C1749F" w:rsidRDefault="00036DD3" w:rsidP="00036DD3">
            <w:pPr>
              <w:autoSpaceDE w:val="0"/>
              <w:autoSpaceDN w:val="0"/>
              <w:adjustRightInd w:val="0"/>
              <w:rPr>
                <w:bCs/>
                <w:lang w:val="en-US"/>
              </w:rPr>
            </w:pPr>
            <w:r w:rsidRPr="0042590C">
              <w:rPr>
                <w:color w:val="000000"/>
                <w:lang w:val="en-US"/>
              </w:rPr>
              <w:t>Validation of the analytical method for the</w:t>
            </w:r>
            <w:r>
              <w:rPr>
                <w:color w:val="000000"/>
                <w:lang w:val="en-US"/>
              </w:rPr>
              <w:t xml:space="preserve"> determination of iodat</w:t>
            </w:r>
            <w:r w:rsidRPr="0042590C">
              <w:rPr>
                <w:color w:val="000000"/>
                <w:lang w:val="en-US"/>
              </w:rPr>
              <w:t>e</w:t>
            </w:r>
            <w:r>
              <w:rPr>
                <w:color w:val="000000"/>
                <w:lang w:val="en-US"/>
              </w:rPr>
              <w:t xml:space="preserve"> </w:t>
            </w:r>
            <w:r w:rsidRPr="0042590C">
              <w:rPr>
                <w:color w:val="000000"/>
                <w:lang w:val="en-US"/>
              </w:rPr>
              <w:t xml:space="preserve">in </w:t>
            </w:r>
            <w:r>
              <w:rPr>
                <w:color w:val="000000"/>
                <w:lang w:val="en-US"/>
              </w:rPr>
              <w:t>ALGOFILM</w:t>
            </w:r>
          </w:p>
        </w:tc>
      </w:tr>
      <w:tr w:rsidR="00036DD3" w:rsidRPr="00A41B49" w14:paraId="52DB345E" w14:textId="77777777" w:rsidTr="00261A29">
        <w:trPr>
          <w:trHeight w:val="186"/>
        </w:trPr>
        <w:tc>
          <w:tcPr>
            <w:tcW w:w="3067" w:type="dxa"/>
            <w:tcBorders>
              <w:right w:val="single" w:sz="4" w:space="0" w:color="auto"/>
            </w:tcBorders>
            <w:shd w:val="clear" w:color="auto" w:fill="auto"/>
          </w:tcPr>
          <w:p w14:paraId="1DD90748" w14:textId="77777777" w:rsidR="00036DD3" w:rsidRPr="00A41B49" w:rsidRDefault="00036DD3" w:rsidP="00261A29">
            <w:pPr>
              <w:pStyle w:val="OECD-table"/>
              <w:rPr>
                <w:rFonts w:ascii="Verdana" w:hAnsi="Verdana"/>
                <w:sz w:val="20"/>
                <w:szCs w:val="20"/>
                <w:lang w:val="fr-FR"/>
              </w:rPr>
            </w:pPr>
            <w:r w:rsidRPr="00A41B49">
              <w:rPr>
                <w:rFonts w:ascii="Verdana" w:hAnsi="Verdana"/>
                <w:sz w:val="20"/>
                <w:szCs w:val="20"/>
                <w:lang w:val="fr-FR"/>
              </w:rPr>
              <w:t>Document No</w:t>
            </w:r>
          </w:p>
        </w:tc>
        <w:tc>
          <w:tcPr>
            <w:tcW w:w="11817" w:type="dxa"/>
            <w:tcBorders>
              <w:left w:val="single" w:sz="4" w:space="0" w:color="auto"/>
            </w:tcBorders>
            <w:shd w:val="clear" w:color="auto" w:fill="auto"/>
          </w:tcPr>
          <w:p w14:paraId="29F90FAD" w14:textId="052B22CC" w:rsidR="00036DD3" w:rsidRPr="00A41B49" w:rsidRDefault="00036DD3" w:rsidP="00261A29">
            <w:pPr>
              <w:pStyle w:val="OECD-table"/>
              <w:rPr>
                <w:rFonts w:ascii="Verdana" w:hAnsi="Verdana"/>
                <w:sz w:val="20"/>
                <w:szCs w:val="20"/>
                <w:lang w:val="fr-FR"/>
              </w:rPr>
            </w:pPr>
            <w:r>
              <w:rPr>
                <w:rFonts w:ascii="Verdana" w:hAnsi="Verdana"/>
                <w:sz w:val="20"/>
                <w:szCs w:val="20"/>
                <w:lang w:val="fr-FR"/>
              </w:rPr>
              <w:t>20-912017-008</w:t>
            </w:r>
          </w:p>
        </w:tc>
      </w:tr>
      <w:tr w:rsidR="00036DD3" w:rsidRPr="00C1749F" w14:paraId="0360434F" w14:textId="77777777" w:rsidTr="00261A29">
        <w:trPr>
          <w:trHeight w:val="344"/>
        </w:trPr>
        <w:tc>
          <w:tcPr>
            <w:tcW w:w="3067" w:type="dxa"/>
            <w:tcBorders>
              <w:right w:val="single" w:sz="4" w:space="0" w:color="auto"/>
            </w:tcBorders>
            <w:shd w:val="clear" w:color="auto" w:fill="auto"/>
          </w:tcPr>
          <w:p w14:paraId="3E74CFCB" w14:textId="77777777" w:rsidR="00036DD3" w:rsidRPr="00A41B49" w:rsidRDefault="00036DD3" w:rsidP="00261A29">
            <w:pPr>
              <w:pStyle w:val="OECD-table"/>
              <w:rPr>
                <w:rFonts w:ascii="Verdana" w:hAnsi="Verdana"/>
                <w:sz w:val="20"/>
                <w:szCs w:val="20"/>
                <w:lang w:val="fr-FR"/>
              </w:rPr>
            </w:pPr>
            <w:r w:rsidRPr="00A41B49">
              <w:rPr>
                <w:rFonts w:ascii="Verdana" w:hAnsi="Verdana"/>
                <w:sz w:val="20"/>
                <w:szCs w:val="20"/>
                <w:lang w:val="fr-FR"/>
              </w:rPr>
              <w:t>Test facility</w:t>
            </w:r>
          </w:p>
        </w:tc>
        <w:tc>
          <w:tcPr>
            <w:tcW w:w="11817" w:type="dxa"/>
            <w:tcBorders>
              <w:left w:val="single" w:sz="4" w:space="0" w:color="auto"/>
            </w:tcBorders>
            <w:shd w:val="clear" w:color="auto" w:fill="auto"/>
          </w:tcPr>
          <w:p w14:paraId="225469D4"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DEFITRACES</w:t>
            </w:r>
          </w:p>
          <w:p w14:paraId="1B6C9DA5"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Z.A. des Andrés</w:t>
            </w:r>
          </w:p>
          <w:p w14:paraId="30E87C30"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150, rue Pré-Magne</w:t>
            </w:r>
          </w:p>
          <w:p w14:paraId="61F10E95"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69126 BRINDAS</w:t>
            </w:r>
          </w:p>
          <w:p w14:paraId="77C95F77" w14:textId="77777777" w:rsidR="00036DD3" w:rsidRPr="00A41B49" w:rsidRDefault="00036DD3" w:rsidP="00261A29">
            <w:pPr>
              <w:pStyle w:val="OECD-table"/>
              <w:rPr>
                <w:rFonts w:ascii="Verdana" w:hAnsi="Verdana"/>
                <w:sz w:val="20"/>
                <w:szCs w:val="20"/>
                <w:lang w:val="fr-FR"/>
              </w:rPr>
            </w:pPr>
            <w:r w:rsidRPr="00096A18">
              <w:rPr>
                <w:rFonts w:ascii="Verdana" w:hAnsi="Verdana"/>
                <w:sz w:val="20"/>
                <w:szCs w:val="20"/>
                <w:lang w:val="fr-FR"/>
              </w:rPr>
              <w:t>FRANCE</w:t>
            </w:r>
          </w:p>
        </w:tc>
      </w:tr>
      <w:tr w:rsidR="00036DD3" w:rsidRPr="00A41B49" w14:paraId="0FD8BE7B" w14:textId="77777777" w:rsidTr="00261A29">
        <w:trPr>
          <w:trHeight w:val="186"/>
        </w:trPr>
        <w:tc>
          <w:tcPr>
            <w:tcW w:w="3067" w:type="dxa"/>
            <w:tcBorders>
              <w:right w:val="single" w:sz="4" w:space="0" w:color="auto"/>
            </w:tcBorders>
            <w:shd w:val="clear" w:color="auto" w:fill="auto"/>
          </w:tcPr>
          <w:p w14:paraId="1F02D08B"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Guidelines:</w:t>
            </w:r>
          </w:p>
        </w:tc>
        <w:tc>
          <w:tcPr>
            <w:tcW w:w="11817" w:type="dxa"/>
            <w:tcBorders>
              <w:left w:val="single" w:sz="4" w:space="0" w:color="auto"/>
            </w:tcBorders>
            <w:shd w:val="clear" w:color="auto" w:fill="auto"/>
          </w:tcPr>
          <w:p w14:paraId="4A0729BB"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w:t>
            </w:r>
          </w:p>
        </w:tc>
      </w:tr>
      <w:tr w:rsidR="00036DD3" w:rsidRPr="00A41B49" w14:paraId="614B726F" w14:textId="77777777" w:rsidTr="00261A29">
        <w:trPr>
          <w:trHeight w:val="178"/>
        </w:trPr>
        <w:tc>
          <w:tcPr>
            <w:tcW w:w="3067" w:type="dxa"/>
            <w:tcBorders>
              <w:right w:val="single" w:sz="4" w:space="0" w:color="auto"/>
            </w:tcBorders>
            <w:shd w:val="clear" w:color="auto" w:fill="auto"/>
          </w:tcPr>
          <w:p w14:paraId="09103C78"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GLP</w:t>
            </w:r>
          </w:p>
        </w:tc>
        <w:tc>
          <w:tcPr>
            <w:tcW w:w="11817" w:type="dxa"/>
            <w:tcBorders>
              <w:left w:val="single" w:sz="4" w:space="0" w:color="auto"/>
            </w:tcBorders>
            <w:shd w:val="clear" w:color="auto" w:fill="auto"/>
          </w:tcPr>
          <w:p w14:paraId="4EEC7B85" w14:textId="77777777" w:rsidR="00036DD3" w:rsidRPr="00A41B49" w:rsidRDefault="00036DD3" w:rsidP="00261A29">
            <w:pPr>
              <w:pStyle w:val="OECD-table"/>
              <w:rPr>
                <w:rFonts w:ascii="Verdana" w:hAnsi="Verdana"/>
                <w:sz w:val="20"/>
                <w:szCs w:val="20"/>
              </w:rPr>
            </w:pPr>
            <w:r>
              <w:rPr>
                <w:rFonts w:ascii="Verdana" w:hAnsi="Verdana"/>
                <w:sz w:val="20"/>
                <w:szCs w:val="20"/>
              </w:rPr>
              <w:t>Yes</w:t>
            </w:r>
          </w:p>
        </w:tc>
      </w:tr>
    </w:tbl>
    <w:p w14:paraId="04A68B6D" w14:textId="77777777" w:rsidR="00036DD3" w:rsidRDefault="00036DD3" w:rsidP="00680CE7">
      <w:pPr>
        <w:jc w:val="both"/>
        <w:rPr>
          <w:bCs/>
        </w:rPr>
      </w:pPr>
    </w:p>
    <w:p w14:paraId="1BF098B1" w14:textId="69087612" w:rsidR="00FD1859" w:rsidRDefault="00FD1859" w:rsidP="00680CE7">
      <w:pPr>
        <w:jc w:val="both"/>
        <w:rPr>
          <w:bCs/>
        </w:rPr>
      </w:pPr>
      <w:r>
        <w:rPr>
          <w:bCs/>
        </w:rPr>
        <w:t>Iodate can be a degradation product of iodine. Since it was chosen to follow its content in stability studies (accelerated and ambient studies), the analytical method used for its determination in the product was validated.</w:t>
      </w:r>
    </w:p>
    <w:p w14:paraId="781E863B" w14:textId="651173DE" w:rsidR="00FD1859" w:rsidRDefault="00FD1859" w:rsidP="00680CE7">
      <w:pPr>
        <w:jc w:val="both"/>
      </w:pPr>
      <w:r>
        <w:t>The validation of the method for the determination of iodate in the Algofilm was performed in two steps. First, a full validation was performed on the product Iodiguard, whose composition is close to that of the Algofilm (H. Ricau, 2020, Report No. 20-912017-003). This validation included the determination of the linearity, specificity,</w:t>
      </w:r>
      <w:r w:rsidR="00036DD3">
        <w:t xml:space="preserve"> accuracy, precision</w:t>
      </w:r>
      <w:r>
        <w:t xml:space="preserve"> and LOQ of the method. Then, an additional validation was carried out on the Algofilm by assessment of the specificity and accuracy of the method on this test item (H. Ricau, 2020, Report No. 20-912017-008).</w:t>
      </w:r>
    </w:p>
    <w:p w14:paraId="46106DA9" w14:textId="77777777" w:rsidR="00FD1859" w:rsidRDefault="00FD1859" w:rsidP="00680CE7">
      <w:pPr>
        <w:jc w:val="both"/>
        <w:rPr>
          <w:bCs/>
        </w:rPr>
      </w:pPr>
    </w:p>
    <w:p w14:paraId="7F4BB958" w14:textId="77777777" w:rsidR="00FD1859" w:rsidRDefault="00FD1859" w:rsidP="00680CE7">
      <w:pPr>
        <w:jc w:val="both"/>
      </w:pPr>
      <w:r>
        <w:rPr>
          <w:i/>
          <w:iCs/>
        </w:rPr>
        <w:t>Principle of the method</w:t>
      </w:r>
    </w:p>
    <w:p w14:paraId="171253B7" w14:textId="77777777" w:rsidR="00FD1859" w:rsidRDefault="00FD1859" w:rsidP="00680CE7">
      <w:pPr>
        <w:jc w:val="both"/>
      </w:pPr>
      <w:r>
        <w:lastRenderedPageBreak/>
        <w:t>Iodate is analysed and quantified by ionic chromatography using conductimetric detection.</w:t>
      </w:r>
    </w:p>
    <w:p w14:paraId="352258F1" w14:textId="77777777" w:rsidR="00FD1859" w:rsidRDefault="00FD1859" w:rsidP="00680CE7">
      <w:pPr>
        <w:jc w:val="both"/>
      </w:pPr>
    </w:p>
    <w:p w14:paraId="01BAD7A4" w14:textId="77777777" w:rsidR="00FD1859" w:rsidRDefault="00FD1859" w:rsidP="00680CE7">
      <w:pPr>
        <w:jc w:val="both"/>
      </w:pPr>
      <w:r>
        <w:t>A quantity of about 0.8 g of the test item was weighed (to the nearest 0.01 mg) into a 25-mL volumetric flask and the volume was made up with water for HPLC. The solution was manually stirred.</w:t>
      </w:r>
    </w:p>
    <w:p w14:paraId="77EF69FE" w14:textId="77777777" w:rsidR="00FD1859" w:rsidRDefault="00FD1859" w:rsidP="00FD1859"/>
    <w:p w14:paraId="36C2370D" w14:textId="77777777" w:rsidR="00FD1859" w:rsidRDefault="00FD1859" w:rsidP="00FD1859">
      <w:pPr>
        <w:rPr>
          <w:i/>
          <w:iCs/>
        </w:rPr>
      </w:pPr>
      <w:r>
        <w:rPr>
          <w:i/>
          <w:iCs/>
        </w:rPr>
        <w:t>Instrumental analysis</w:t>
      </w:r>
    </w:p>
    <w:p w14:paraId="53C6CF5A" w14:textId="77777777" w:rsidR="00FD1859" w:rsidRPr="00782DC1" w:rsidRDefault="00FD1859" w:rsidP="00FD1859"/>
    <w:tbl>
      <w:tblPr>
        <w:tblStyle w:val="Grilledutableau"/>
        <w:tblW w:w="0" w:type="auto"/>
        <w:jc w:val="center"/>
        <w:tblLook w:val="04A0" w:firstRow="1" w:lastRow="0" w:firstColumn="1" w:lastColumn="0" w:noHBand="0" w:noVBand="1"/>
      </w:tblPr>
      <w:tblGrid>
        <w:gridCol w:w="1549"/>
        <w:gridCol w:w="2835"/>
        <w:gridCol w:w="8690"/>
      </w:tblGrid>
      <w:tr w:rsidR="00FD1859" w14:paraId="5F479190" w14:textId="77777777" w:rsidTr="00680CE7">
        <w:trPr>
          <w:trHeight w:val="184"/>
          <w:jc w:val="center"/>
        </w:trPr>
        <w:tc>
          <w:tcPr>
            <w:tcW w:w="13074" w:type="dxa"/>
            <w:gridSpan w:val="3"/>
          </w:tcPr>
          <w:p w14:paraId="0D0DA38A" w14:textId="77777777" w:rsidR="00FD1859" w:rsidRDefault="00FD1859" w:rsidP="003D41CE">
            <w:pPr>
              <w:jc w:val="center"/>
            </w:pPr>
            <w:r>
              <w:t>Ionic chromatographic conditions</w:t>
            </w:r>
          </w:p>
        </w:tc>
      </w:tr>
      <w:tr w:rsidR="00FD1859" w14:paraId="4A9F9585" w14:textId="77777777" w:rsidTr="00680CE7">
        <w:trPr>
          <w:trHeight w:val="170"/>
          <w:jc w:val="center"/>
        </w:trPr>
        <w:tc>
          <w:tcPr>
            <w:tcW w:w="1549" w:type="dxa"/>
            <w:vMerge w:val="restart"/>
            <w:vAlign w:val="center"/>
          </w:tcPr>
          <w:p w14:paraId="57A83680" w14:textId="77777777" w:rsidR="00FD1859" w:rsidRDefault="00FD1859" w:rsidP="003D41CE">
            <w:r>
              <w:t>Gard column</w:t>
            </w:r>
          </w:p>
        </w:tc>
        <w:tc>
          <w:tcPr>
            <w:tcW w:w="2835" w:type="dxa"/>
          </w:tcPr>
          <w:p w14:paraId="6B3FA9A2" w14:textId="77777777" w:rsidR="00FD1859" w:rsidRPr="00E611A1" w:rsidRDefault="00FD1859" w:rsidP="003D41CE">
            <w:r w:rsidRPr="00E611A1">
              <w:t>Type</w:t>
            </w:r>
          </w:p>
        </w:tc>
        <w:tc>
          <w:tcPr>
            <w:tcW w:w="8690" w:type="dxa"/>
            <w:vAlign w:val="center"/>
          </w:tcPr>
          <w:p w14:paraId="045BA397" w14:textId="77777777" w:rsidR="00FD1859" w:rsidRPr="00E611A1" w:rsidRDefault="00FD1859" w:rsidP="003D41CE">
            <w:r>
              <w:rPr>
                <w:rFonts w:cs="Arial"/>
              </w:rPr>
              <w:t>Thermoscientific</w:t>
            </w:r>
          </w:p>
        </w:tc>
      </w:tr>
      <w:tr w:rsidR="00FD1859" w14:paraId="5036AC46" w14:textId="77777777" w:rsidTr="00680CE7">
        <w:trPr>
          <w:trHeight w:val="198"/>
          <w:jc w:val="center"/>
        </w:trPr>
        <w:tc>
          <w:tcPr>
            <w:tcW w:w="1549" w:type="dxa"/>
            <w:vMerge/>
            <w:vAlign w:val="center"/>
          </w:tcPr>
          <w:p w14:paraId="6737FBF6" w14:textId="77777777" w:rsidR="00FD1859" w:rsidRDefault="00FD1859" w:rsidP="003D41CE"/>
        </w:tc>
        <w:tc>
          <w:tcPr>
            <w:tcW w:w="2835" w:type="dxa"/>
          </w:tcPr>
          <w:p w14:paraId="69C9F4BD" w14:textId="77777777" w:rsidR="00FD1859" w:rsidRPr="00E611A1" w:rsidRDefault="00FD1859" w:rsidP="003D41CE">
            <w:r w:rsidRPr="00E611A1">
              <w:t>Phase</w:t>
            </w:r>
          </w:p>
        </w:tc>
        <w:tc>
          <w:tcPr>
            <w:tcW w:w="8690" w:type="dxa"/>
            <w:vAlign w:val="center"/>
          </w:tcPr>
          <w:p w14:paraId="03BEF7D7" w14:textId="77777777" w:rsidR="00FD1859" w:rsidRPr="00E611A1" w:rsidRDefault="00FD1859" w:rsidP="003D41CE">
            <w:r>
              <w:rPr>
                <w:rFonts w:cs="Arial"/>
              </w:rPr>
              <w:t>Ion Pac AG20</w:t>
            </w:r>
          </w:p>
        </w:tc>
      </w:tr>
      <w:tr w:rsidR="00FD1859" w14:paraId="26D83163" w14:textId="77777777" w:rsidTr="00680CE7">
        <w:trPr>
          <w:trHeight w:val="184"/>
          <w:jc w:val="center"/>
        </w:trPr>
        <w:tc>
          <w:tcPr>
            <w:tcW w:w="1549" w:type="dxa"/>
            <w:vMerge/>
            <w:vAlign w:val="center"/>
          </w:tcPr>
          <w:p w14:paraId="5C7BE9F8" w14:textId="77777777" w:rsidR="00FD1859" w:rsidRDefault="00FD1859" w:rsidP="003D41CE"/>
        </w:tc>
        <w:tc>
          <w:tcPr>
            <w:tcW w:w="2835" w:type="dxa"/>
          </w:tcPr>
          <w:p w14:paraId="18CBC88E" w14:textId="77777777" w:rsidR="00FD1859" w:rsidRPr="00E611A1" w:rsidRDefault="00FD1859" w:rsidP="003D41CE">
            <w:r w:rsidRPr="00E611A1">
              <w:t>Length (cm)</w:t>
            </w:r>
          </w:p>
        </w:tc>
        <w:tc>
          <w:tcPr>
            <w:tcW w:w="8690" w:type="dxa"/>
            <w:vAlign w:val="center"/>
          </w:tcPr>
          <w:p w14:paraId="5CD9B3EB" w14:textId="77777777" w:rsidR="00FD1859" w:rsidRPr="00E611A1" w:rsidRDefault="00FD1859" w:rsidP="003D41CE">
            <w:r>
              <w:rPr>
                <w:rFonts w:cs="Arial"/>
              </w:rPr>
              <w:t>5.0</w:t>
            </w:r>
          </w:p>
        </w:tc>
      </w:tr>
      <w:tr w:rsidR="00FD1859" w14:paraId="2D5878C5" w14:textId="77777777" w:rsidTr="00680CE7">
        <w:trPr>
          <w:trHeight w:val="198"/>
          <w:jc w:val="center"/>
        </w:trPr>
        <w:tc>
          <w:tcPr>
            <w:tcW w:w="1549" w:type="dxa"/>
            <w:vMerge/>
            <w:vAlign w:val="center"/>
          </w:tcPr>
          <w:p w14:paraId="4EEB75D6" w14:textId="77777777" w:rsidR="00FD1859" w:rsidRDefault="00FD1859" w:rsidP="003D41CE"/>
        </w:tc>
        <w:tc>
          <w:tcPr>
            <w:tcW w:w="2835" w:type="dxa"/>
          </w:tcPr>
          <w:p w14:paraId="3A146889" w14:textId="77777777" w:rsidR="00FD1859" w:rsidRPr="00E611A1" w:rsidRDefault="00FD1859" w:rsidP="003D41CE">
            <w:r w:rsidRPr="00E611A1">
              <w:t>Internal diameter (mm)</w:t>
            </w:r>
          </w:p>
        </w:tc>
        <w:tc>
          <w:tcPr>
            <w:tcW w:w="8690" w:type="dxa"/>
            <w:vAlign w:val="center"/>
          </w:tcPr>
          <w:p w14:paraId="3BFB28C9" w14:textId="77777777" w:rsidR="00FD1859" w:rsidRPr="00E611A1" w:rsidRDefault="00FD1859" w:rsidP="003D41CE">
            <w:r>
              <w:rPr>
                <w:rFonts w:cs="Arial"/>
              </w:rPr>
              <w:t>2.0</w:t>
            </w:r>
          </w:p>
        </w:tc>
      </w:tr>
      <w:tr w:rsidR="00FD1859" w14:paraId="1F132A75" w14:textId="77777777" w:rsidTr="00680CE7">
        <w:trPr>
          <w:trHeight w:val="184"/>
          <w:jc w:val="center"/>
        </w:trPr>
        <w:tc>
          <w:tcPr>
            <w:tcW w:w="1549" w:type="dxa"/>
            <w:vMerge/>
            <w:vAlign w:val="center"/>
          </w:tcPr>
          <w:p w14:paraId="361DD790" w14:textId="77777777" w:rsidR="00FD1859" w:rsidRDefault="00FD1859" w:rsidP="003D41CE"/>
        </w:tc>
        <w:tc>
          <w:tcPr>
            <w:tcW w:w="2835" w:type="dxa"/>
          </w:tcPr>
          <w:p w14:paraId="31E3796B" w14:textId="77777777" w:rsidR="00FD1859" w:rsidRPr="00E611A1" w:rsidRDefault="00FD1859" w:rsidP="003D41CE">
            <w:r w:rsidRPr="00E611A1">
              <w:t>Granulometry (µm)</w:t>
            </w:r>
          </w:p>
        </w:tc>
        <w:tc>
          <w:tcPr>
            <w:tcW w:w="8690" w:type="dxa"/>
            <w:vAlign w:val="center"/>
          </w:tcPr>
          <w:p w14:paraId="7EB5C9FF" w14:textId="77777777" w:rsidR="00FD1859" w:rsidRPr="00E611A1" w:rsidRDefault="00FD1859" w:rsidP="003D41CE">
            <w:r>
              <w:rPr>
                <w:rFonts w:cs="Arial"/>
              </w:rPr>
              <w:t>7.5</w:t>
            </w:r>
          </w:p>
        </w:tc>
      </w:tr>
      <w:tr w:rsidR="00FD1859" w14:paraId="4C04CCD2" w14:textId="77777777" w:rsidTr="00680CE7">
        <w:trPr>
          <w:trHeight w:val="184"/>
          <w:jc w:val="center"/>
        </w:trPr>
        <w:tc>
          <w:tcPr>
            <w:tcW w:w="1549" w:type="dxa"/>
            <w:vMerge w:val="restart"/>
            <w:vAlign w:val="center"/>
          </w:tcPr>
          <w:p w14:paraId="3D5096DB" w14:textId="77777777" w:rsidR="00FD1859" w:rsidRDefault="00FD1859" w:rsidP="003D41CE">
            <w:r>
              <w:t>Column</w:t>
            </w:r>
          </w:p>
        </w:tc>
        <w:tc>
          <w:tcPr>
            <w:tcW w:w="2835" w:type="dxa"/>
          </w:tcPr>
          <w:p w14:paraId="57B82CEB" w14:textId="77777777" w:rsidR="00FD1859" w:rsidRDefault="00FD1859" w:rsidP="003D41CE">
            <w:r w:rsidRPr="00E611A1">
              <w:t>Type</w:t>
            </w:r>
          </w:p>
        </w:tc>
        <w:tc>
          <w:tcPr>
            <w:tcW w:w="8690" w:type="dxa"/>
            <w:vAlign w:val="center"/>
          </w:tcPr>
          <w:p w14:paraId="4FA019A6" w14:textId="77777777" w:rsidR="00FD1859" w:rsidRDefault="00FD1859" w:rsidP="003D41CE">
            <w:r>
              <w:rPr>
                <w:rFonts w:cs="Arial"/>
              </w:rPr>
              <w:t>Thermoscientific</w:t>
            </w:r>
          </w:p>
        </w:tc>
      </w:tr>
      <w:tr w:rsidR="00FD1859" w14:paraId="4144FA48" w14:textId="77777777" w:rsidTr="00680CE7">
        <w:trPr>
          <w:trHeight w:val="184"/>
          <w:jc w:val="center"/>
        </w:trPr>
        <w:tc>
          <w:tcPr>
            <w:tcW w:w="1549" w:type="dxa"/>
            <w:vMerge/>
            <w:vAlign w:val="center"/>
          </w:tcPr>
          <w:p w14:paraId="6F32741F" w14:textId="77777777" w:rsidR="00FD1859" w:rsidRDefault="00FD1859" w:rsidP="003D41CE"/>
        </w:tc>
        <w:tc>
          <w:tcPr>
            <w:tcW w:w="2835" w:type="dxa"/>
          </w:tcPr>
          <w:p w14:paraId="7D9DAF50" w14:textId="77777777" w:rsidR="00FD1859" w:rsidRDefault="00FD1859" w:rsidP="003D41CE">
            <w:r w:rsidRPr="00E611A1">
              <w:t>Phase</w:t>
            </w:r>
          </w:p>
        </w:tc>
        <w:tc>
          <w:tcPr>
            <w:tcW w:w="8690" w:type="dxa"/>
            <w:vAlign w:val="center"/>
          </w:tcPr>
          <w:p w14:paraId="255B7930" w14:textId="77777777" w:rsidR="00FD1859" w:rsidRDefault="00FD1859" w:rsidP="003D41CE">
            <w:r>
              <w:rPr>
                <w:rFonts w:cs="Arial"/>
              </w:rPr>
              <w:t>Ion Pac AG20</w:t>
            </w:r>
          </w:p>
        </w:tc>
      </w:tr>
      <w:tr w:rsidR="00FD1859" w14:paraId="6EE2CC24" w14:textId="77777777" w:rsidTr="00680CE7">
        <w:trPr>
          <w:trHeight w:val="198"/>
          <w:jc w:val="center"/>
        </w:trPr>
        <w:tc>
          <w:tcPr>
            <w:tcW w:w="1549" w:type="dxa"/>
            <w:vMerge/>
            <w:vAlign w:val="center"/>
          </w:tcPr>
          <w:p w14:paraId="0E427FD0" w14:textId="77777777" w:rsidR="00FD1859" w:rsidRDefault="00FD1859" w:rsidP="003D41CE"/>
        </w:tc>
        <w:tc>
          <w:tcPr>
            <w:tcW w:w="2835" w:type="dxa"/>
          </w:tcPr>
          <w:p w14:paraId="282E185E" w14:textId="77777777" w:rsidR="00FD1859" w:rsidRDefault="00FD1859" w:rsidP="003D41CE">
            <w:r w:rsidRPr="00E611A1">
              <w:t>Length (cm)</w:t>
            </w:r>
          </w:p>
        </w:tc>
        <w:tc>
          <w:tcPr>
            <w:tcW w:w="8690" w:type="dxa"/>
            <w:vAlign w:val="center"/>
          </w:tcPr>
          <w:p w14:paraId="0B69A4C5" w14:textId="77777777" w:rsidR="00FD1859" w:rsidRDefault="00FD1859" w:rsidP="003D41CE">
            <w:r>
              <w:rPr>
                <w:rFonts w:cs="Arial"/>
              </w:rPr>
              <w:t>25</w:t>
            </w:r>
          </w:p>
        </w:tc>
      </w:tr>
      <w:tr w:rsidR="00FD1859" w14:paraId="23DFDD09" w14:textId="77777777" w:rsidTr="00680CE7">
        <w:trPr>
          <w:trHeight w:val="184"/>
          <w:jc w:val="center"/>
        </w:trPr>
        <w:tc>
          <w:tcPr>
            <w:tcW w:w="1549" w:type="dxa"/>
            <w:vMerge/>
            <w:vAlign w:val="center"/>
          </w:tcPr>
          <w:p w14:paraId="0DBE7239" w14:textId="77777777" w:rsidR="00FD1859" w:rsidRDefault="00FD1859" w:rsidP="003D41CE"/>
        </w:tc>
        <w:tc>
          <w:tcPr>
            <w:tcW w:w="2835" w:type="dxa"/>
          </w:tcPr>
          <w:p w14:paraId="5E30B2F9" w14:textId="77777777" w:rsidR="00FD1859" w:rsidRDefault="00FD1859" w:rsidP="003D41CE">
            <w:r w:rsidRPr="00E611A1">
              <w:t>Internal diameter (mm)</w:t>
            </w:r>
          </w:p>
        </w:tc>
        <w:tc>
          <w:tcPr>
            <w:tcW w:w="8690" w:type="dxa"/>
            <w:vAlign w:val="center"/>
          </w:tcPr>
          <w:p w14:paraId="0D4ED220" w14:textId="77777777" w:rsidR="00FD1859" w:rsidRDefault="00FD1859" w:rsidP="003D41CE">
            <w:r>
              <w:rPr>
                <w:rFonts w:cs="Arial"/>
              </w:rPr>
              <w:t>2.0</w:t>
            </w:r>
          </w:p>
        </w:tc>
      </w:tr>
      <w:tr w:rsidR="00FD1859" w14:paraId="7750BB13" w14:textId="77777777" w:rsidTr="00680CE7">
        <w:trPr>
          <w:trHeight w:val="198"/>
          <w:jc w:val="center"/>
        </w:trPr>
        <w:tc>
          <w:tcPr>
            <w:tcW w:w="1549" w:type="dxa"/>
            <w:vMerge/>
            <w:vAlign w:val="center"/>
          </w:tcPr>
          <w:p w14:paraId="5E2F59B7" w14:textId="77777777" w:rsidR="00FD1859" w:rsidRDefault="00FD1859" w:rsidP="003D41CE"/>
        </w:tc>
        <w:tc>
          <w:tcPr>
            <w:tcW w:w="2835" w:type="dxa"/>
          </w:tcPr>
          <w:p w14:paraId="5991AB34" w14:textId="77777777" w:rsidR="00FD1859" w:rsidRDefault="00FD1859" w:rsidP="003D41CE">
            <w:r w:rsidRPr="00E611A1">
              <w:t>Granulometry (µm)</w:t>
            </w:r>
          </w:p>
        </w:tc>
        <w:tc>
          <w:tcPr>
            <w:tcW w:w="8690" w:type="dxa"/>
            <w:vAlign w:val="center"/>
          </w:tcPr>
          <w:p w14:paraId="4461CF0B" w14:textId="77777777" w:rsidR="00FD1859" w:rsidRDefault="00FD1859" w:rsidP="003D41CE">
            <w:r>
              <w:rPr>
                <w:rFonts w:cs="Arial"/>
              </w:rPr>
              <w:t>7.5</w:t>
            </w:r>
          </w:p>
        </w:tc>
      </w:tr>
      <w:tr w:rsidR="00FD1859" w14:paraId="3009D3DF" w14:textId="77777777" w:rsidTr="00680CE7">
        <w:trPr>
          <w:trHeight w:val="170"/>
          <w:jc w:val="center"/>
        </w:trPr>
        <w:tc>
          <w:tcPr>
            <w:tcW w:w="1549" w:type="dxa"/>
            <w:vMerge w:val="restart"/>
            <w:vAlign w:val="center"/>
          </w:tcPr>
          <w:p w14:paraId="6F25BF30" w14:textId="77777777" w:rsidR="00FD1859" w:rsidRDefault="00FD1859" w:rsidP="003D41CE">
            <w:r>
              <w:t>Detector</w:t>
            </w:r>
          </w:p>
        </w:tc>
        <w:tc>
          <w:tcPr>
            <w:tcW w:w="2835" w:type="dxa"/>
          </w:tcPr>
          <w:p w14:paraId="162474E0" w14:textId="77777777" w:rsidR="00FD1859" w:rsidRDefault="00FD1859" w:rsidP="003D41CE">
            <w:r w:rsidRPr="00E611A1">
              <w:t>Type</w:t>
            </w:r>
          </w:p>
        </w:tc>
        <w:tc>
          <w:tcPr>
            <w:tcW w:w="8690" w:type="dxa"/>
            <w:vAlign w:val="center"/>
          </w:tcPr>
          <w:p w14:paraId="0FA4602A" w14:textId="77777777" w:rsidR="00FD1859" w:rsidRDefault="00FD1859" w:rsidP="003D41CE">
            <w:r>
              <w:rPr>
                <w:rFonts w:cs="Arial"/>
              </w:rPr>
              <w:t>Conductimetric</w:t>
            </w:r>
          </w:p>
        </w:tc>
      </w:tr>
      <w:tr w:rsidR="00FD1859" w14:paraId="6566CDAD" w14:textId="77777777" w:rsidTr="00680CE7">
        <w:trPr>
          <w:trHeight w:val="198"/>
          <w:jc w:val="center"/>
        </w:trPr>
        <w:tc>
          <w:tcPr>
            <w:tcW w:w="1549" w:type="dxa"/>
            <w:vMerge/>
          </w:tcPr>
          <w:p w14:paraId="0411D6BA" w14:textId="77777777" w:rsidR="00FD1859" w:rsidRDefault="00FD1859" w:rsidP="003D41CE"/>
        </w:tc>
        <w:tc>
          <w:tcPr>
            <w:tcW w:w="2835" w:type="dxa"/>
          </w:tcPr>
          <w:p w14:paraId="3B674056" w14:textId="77777777" w:rsidR="00FD1859" w:rsidRDefault="00FD1859" w:rsidP="003D41CE">
            <w:r>
              <w:t>Mode</w:t>
            </w:r>
          </w:p>
        </w:tc>
        <w:tc>
          <w:tcPr>
            <w:tcW w:w="8690" w:type="dxa"/>
            <w:vAlign w:val="center"/>
          </w:tcPr>
          <w:p w14:paraId="031C07E0" w14:textId="77777777" w:rsidR="00FD1859" w:rsidRDefault="00FD1859" w:rsidP="003D41CE">
            <w:r>
              <w:rPr>
                <w:rFonts w:cs="Arial"/>
                <w:lang w:val="en-US"/>
              </w:rPr>
              <w:t>Anionic</w:t>
            </w:r>
          </w:p>
        </w:tc>
      </w:tr>
      <w:tr w:rsidR="00FD1859" w14:paraId="05402A51" w14:textId="77777777" w:rsidTr="00680CE7">
        <w:trPr>
          <w:trHeight w:val="1733"/>
          <w:jc w:val="center"/>
        </w:trPr>
        <w:tc>
          <w:tcPr>
            <w:tcW w:w="1549" w:type="dxa"/>
            <w:vMerge/>
          </w:tcPr>
          <w:p w14:paraId="33ED539F" w14:textId="77777777" w:rsidR="00FD1859" w:rsidRDefault="00FD1859" w:rsidP="003D41CE"/>
        </w:tc>
        <w:tc>
          <w:tcPr>
            <w:tcW w:w="2835" w:type="dxa"/>
          </w:tcPr>
          <w:p w14:paraId="32ADC936" w14:textId="77777777" w:rsidR="00FD1859" w:rsidRDefault="00FD1859" w:rsidP="003D41CE">
            <w:r w:rsidRPr="00E611A1">
              <w:t>Mobile phase</w:t>
            </w:r>
          </w:p>
        </w:tc>
        <w:tc>
          <w:tcPr>
            <w:tcW w:w="869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4"/>
              <w:gridCol w:w="3628"/>
            </w:tblGrid>
            <w:tr w:rsidR="00FD1859" w14:paraId="7339D3CE" w14:textId="77777777" w:rsidTr="00680CE7">
              <w:trPr>
                <w:trHeight w:val="477"/>
                <w:jc w:val="center"/>
              </w:trPr>
              <w:tc>
                <w:tcPr>
                  <w:tcW w:w="2684" w:type="dxa"/>
                  <w:tcBorders>
                    <w:top w:val="single" w:sz="4" w:space="0" w:color="auto"/>
                    <w:left w:val="single" w:sz="4" w:space="0" w:color="auto"/>
                    <w:bottom w:val="single" w:sz="4" w:space="0" w:color="auto"/>
                    <w:right w:val="single" w:sz="4" w:space="0" w:color="auto"/>
                  </w:tcBorders>
                  <w:hideMark/>
                </w:tcPr>
                <w:p w14:paraId="500CFD46" w14:textId="77777777" w:rsidR="00FD1859" w:rsidRPr="00405E86" w:rsidRDefault="00FD1859" w:rsidP="003D41CE">
                  <w:pPr>
                    <w:jc w:val="center"/>
                    <w:rPr>
                      <w:rFonts w:ascii="Arial" w:hAnsi="Arial" w:cs="Arial"/>
                      <w:lang w:eastAsia="fr-FR"/>
                    </w:rPr>
                  </w:pPr>
                  <w:r w:rsidRPr="00405E86">
                    <w:rPr>
                      <w:rFonts w:cs="Arial"/>
                    </w:rPr>
                    <w:t xml:space="preserve">Time </w:t>
                  </w:r>
                </w:p>
                <w:p w14:paraId="1D5D4C69" w14:textId="77777777" w:rsidR="00FD1859" w:rsidRPr="00405E86" w:rsidRDefault="00FD1859" w:rsidP="003D41CE">
                  <w:pPr>
                    <w:jc w:val="center"/>
                    <w:rPr>
                      <w:rFonts w:cs="Arial"/>
                    </w:rPr>
                  </w:pPr>
                  <w:r w:rsidRPr="00405E86">
                    <w:rPr>
                      <w:rFonts w:cs="Arial"/>
                    </w:rPr>
                    <w:t>(</w:t>
                  </w:r>
                  <w:r w:rsidRPr="00405E86">
                    <w:rPr>
                      <w:rFonts w:cs="Arial"/>
                      <w:i/>
                      <w:iCs/>
                    </w:rPr>
                    <w:t>min</w:t>
                  </w:r>
                  <w:r w:rsidRPr="00405E86">
                    <w:rPr>
                      <w:rFonts w:cs="Arial"/>
                    </w:rPr>
                    <w:t>)</w:t>
                  </w:r>
                </w:p>
              </w:tc>
              <w:tc>
                <w:tcPr>
                  <w:tcW w:w="3628" w:type="dxa"/>
                  <w:tcBorders>
                    <w:top w:val="single" w:sz="4" w:space="0" w:color="auto"/>
                    <w:left w:val="single" w:sz="4" w:space="0" w:color="auto"/>
                    <w:bottom w:val="single" w:sz="4" w:space="0" w:color="auto"/>
                    <w:right w:val="single" w:sz="4" w:space="0" w:color="auto"/>
                  </w:tcBorders>
                  <w:hideMark/>
                </w:tcPr>
                <w:p w14:paraId="1F4913CA" w14:textId="77777777" w:rsidR="00FD1859" w:rsidRPr="00405E86" w:rsidRDefault="00FD1859" w:rsidP="003D41CE">
                  <w:pPr>
                    <w:jc w:val="center"/>
                    <w:rPr>
                      <w:rFonts w:cs="Arial"/>
                    </w:rPr>
                  </w:pPr>
                  <w:r w:rsidRPr="00405E86">
                    <w:rPr>
                      <w:rFonts w:cs="Arial"/>
                    </w:rPr>
                    <w:t>Concentration</w:t>
                  </w:r>
                </w:p>
                <w:p w14:paraId="5188F656" w14:textId="77777777" w:rsidR="00FD1859" w:rsidRPr="00405E86" w:rsidRDefault="00FD1859" w:rsidP="003D41CE">
                  <w:pPr>
                    <w:jc w:val="center"/>
                    <w:rPr>
                      <w:rFonts w:cs="Arial"/>
                    </w:rPr>
                  </w:pPr>
                  <w:r w:rsidRPr="00405E86">
                    <w:rPr>
                      <w:rFonts w:cs="Arial"/>
                    </w:rPr>
                    <w:t>KOH</w:t>
                  </w:r>
                </w:p>
                <w:p w14:paraId="0E5F25CD" w14:textId="77777777" w:rsidR="00FD1859" w:rsidRPr="00405E86" w:rsidRDefault="00FD1859" w:rsidP="003D41CE">
                  <w:pPr>
                    <w:jc w:val="center"/>
                    <w:rPr>
                      <w:rFonts w:cs="Arial"/>
                      <w:i/>
                      <w:iCs/>
                    </w:rPr>
                  </w:pPr>
                  <w:r w:rsidRPr="00405E86">
                    <w:rPr>
                      <w:rFonts w:cs="Arial"/>
                      <w:i/>
                      <w:iCs/>
                    </w:rPr>
                    <w:t>(mM)</w:t>
                  </w:r>
                </w:p>
              </w:tc>
            </w:tr>
            <w:tr w:rsidR="00FD1859" w14:paraId="38D72B9C" w14:textId="77777777" w:rsidTr="00680CE7">
              <w:trPr>
                <w:trHeight w:val="146"/>
                <w:jc w:val="center"/>
              </w:trPr>
              <w:tc>
                <w:tcPr>
                  <w:tcW w:w="2684" w:type="dxa"/>
                  <w:tcBorders>
                    <w:top w:val="single" w:sz="4" w:space="0" w:color="auto"/>
                    <w:left w:val="single" w:sz="4" w:space="0" w:color="auto"/>
                    <w:bottom w:val="single" w:sz="4" w:space="0" w:color="auto"/>
                    <w:right w:val="single" w:sz="4" w:space="0" w:color="auto"/>
                  </w:tcBorders>
                  <w:hideMark/>
                </w:tcPr>
                <w:p w14:paraId="0C7F77BB" w14:textId="77777777" w:rsidR="00FD1859" w:rsidRDefault="00FD1859" w:rsidP="003D41CE">
                  <w:pPr>
                    <w:jc w:val="center"/>
                    <w:rPr>
                      <w:rFonts w:cs="Arial"/>
                      <w:szCs w:val="24"/>
                    </w:rPr>
                  </w:pPr>
                  <w:r>
                    <w:rPr>
                      <w:rFonts w:cs="Arial"/>
                    </w:rPr>
                    <w:t>0</w:t>
                  </w:r>
                </w:p>
              </w:tc>
              <w:tc>
                <w:tcPr>
                  <w:tcW w:w="3628" w:type="dxa"/>
                  <w:tcBorders>
                    <w:top w:val="single" w:sz="4" w:space="0" w:color="auto"/>
                    <w:left w:val="single" w:sz="4" w:space="0" w:color="auto"/>
                    <w:bottom w:val="single" w:sz="4" w:space="0" w:color="auto"/>
                    <w:right w:val="single" w:sz="4" w:space="0" w:color="auto"/>
                  </w:tcBorders>
                  <w:hideMark/>
                </w:tcPr>
                <w:p w14:paraId="1120F802" w14:textId="77777777" w:rsidR="00FD1859" w:rsidRDefault="00FD1859" w:rsidP="003D41CE">
                  <w:pPr>
                    <w:jc w:val="center"/>
                    <w:rPr>
                      <w:rFonts w:cs="Arial"/>
                    </w:rPr>
                  </w:pPr>
                  <w:r>
                    <w:rPr>
                      <w:rFonts w:cs="Arial"/>
                    </w:rPr>
                    <w:t>25.0</w:t>
                  </w:r>
                </w:p>
              </w:tc>
            </w:tr>
            <w:tr w:rsidR="00FD1859" w14:paraId="365A7922" w14:textId="77777777" w:rsidTr="00680CE7">
              <w:trPr>
                <w:trHeight w:val="158"/>
                <w:jc w:val="center"/>
              </w:trPr>
              <w:tc>
                <w:tcPr>
                  <w:tcW w:w="2684" w:type="dxa"/>
                  <w:tcBorders>
                    <w:top w:val="single" w:sz="4" w:space="0" w:color="auto"/>
                    <w:left w:val="single" w:sz="4" w:space="0" w:color="auto"/>
                    <w:bottom w:val="single" w:sz="4" w:space="0" w:color="auto"/>
                    <w:right w:val="single" w:sz="4" w:space="0" w:color="auto"/>
                  </w:tcBorders>
                  <w:hideMark/>
                </w:tcPr>
                <w:p w14:paraId="31B0D311" w14:textId="77777777" w:rsidR="00FD1859" w:rsidRDefault="00FD1859" w:rsidP="003D41CE">
                  <w:pPr>
                    <w:jc w:val="center"/>
                    <w:rPr>
                      <w:rFonts w:cs="Arial"/>
                    </w:rPr>
                  </w:pPr>
                  <w:r>
                    <w:rPr>
                      <w:rFonts w:cs="Arial"/>
                    </w:rPr>
                    <w:t>10</w:t>
                  </w:r>
                </w:p>
              </w:tc>
              <w:tc>
                <w:tcPr>
                  <w:tcW w:w="3628" w:type="dxa"/>
                  <w:tcBorders>
                    <w:top w:val="single" w:sz="4" w:space="0" w:color="auto"/>
                    <w:left w:val="single" w:sz="4" w:space="0" w:color="auto"/>
                    <w:bottom w:val="single" w:sz="4" w:space="0" w:color="auto"/>
                    <w:right w:val="single" w:sz="4" w:space="0" w:color="auto"/>
                  </w:tcBorders>
                  <w:hideMark/>
                </w:tcPr>
                <w:p w14:paraId="679E1362" w14:textId="77777777" w:rsidR="00FD1859" w:rsidRDefault="00FD1859" w:rsidP="003D41CE">
                  <w:pPr>
                    <w:jc w:val="center"/>
                    <w:rPr>
                      <w:rFonts w:cs="Arial"/>
                    </w:rPr>
                  </w:pPr>
                  <w:r>
                    <w:rPr>
                      <w:rFonts w:cs="Arial"/>
                    </w:rPr>
                    <w:t>25.0</w:t>
                  </w:r>
                </w:p>
              </w:tc>
            </w:tr>
            <w:tr w:rsidR="00FD1859" w14:paraId="05810D55" w14:textId="77777777" w:rsidTr="00680CE7">
              <w:trPr>
                <w:trHeight w:val="146"/>
                <w:jc w:val="center"/>
              </w:trPr>
              <w:tc>
                <w:tcPr>
                  <w:tcW w:w="2684" w:type="dxa"/>
                  <w:tcBorders>
                    <w:top w:val="single" w:sz="4" w:space="0" w:color="auto"/>
                    <w:left w:val="single" w:sz="4" w:space="0" w:color="auto"/>
                    <w:bottom w:val="single" w:sz="4" w:space="0" w:color="auto"/>
                    <w:right w:val="single" w:sz="4" w:space="0" w:color="auto"/>
                  </w:tcBorders>
                  <w:hideMark/>
                </w:tcPr>
                <w:p w14:paraId="47E5E1B8" w14:textId="77777777" w:rsidR="00FD1859" w:rsidRDefault="00FD1859" w:rsidP="003D41CE">
                  <w:pPr>
                    <w:jc w:val="center"/>
                    <w:rPr>
                      <w:rFonts w:cs="Arial"/>
                    </w:rPr>
                  </w:pPr>
                  <w:r>
                    <w:rPr>
                      <w:rFonts w:cs="Arial"/>
                    </w:rPr>
                    <w:t>11</w:t>
                  </w:r>
                </w:p>
              </w:tc>
              <w:tc>
                <w:tcPr>
                  <w:tcW w:w="3628" w:type="dxa"/>
                  <w:tcBorders>
                    <w:top w:val="single" w:sz="4" w:space="0" w:color="auto"/>
                    <w:left w:val="single" w:sz="4" w:space="0" w:color="auto"/>
                    <w:bottom w:val="single" w:sz="4" w:space="0" w:color="auto"/>
                    <w:right w:val="single" w:sz="4" w:space="0" w:color="auto"/>
                  </w:tcBorders>
                  <w:hideMark/>
                </w:tcPr>
                <w:p w14:paraId="59113DEA" w14:textId="77777777" w:rsidR="00FD1859" w:rsidRDefault="00FD1859" w:rsidP="003D41CE">
                  <w:pPr>
                    <w:jc w:val="center"/>
                    <w:rPr>
                      <w:rFonts w:cs="Arial"/>
                    </w:rPr>
                  </w:pPr>
                  <w:r>
                    <w:rPr>
                      <w:rFonts w:cs="Arial"/>
                    </w:rPr>
                    <w:t>10.0</w:t>
                  </w:r>
                </w:p>
              </w:tc>
            </w:tr>
            <w:tr w:rsidR="00FD1859" w14:paraId="321FE533" w14:textId="77777777" w:rsidTr="00680CE7">
              <w:trPr>
                <w:trHeight w:val="158"/>
                <w:jc w:val="center"/>
              </w:trPr>
              <w:tc>
                <w:tcPr>
                  <w:tcW w:w="2684" w:type="dxa"/>
                  <w:tcBorders>
                    <w:top w:val="single" w:sz="4" w:space="0" w:color="auto"/>
                    <w:left w:val="single" w:sz="4" w:space="0" w:color="auto"/>
                    <w:bottom w:val="single" w:sz="4" w:space="0" w:color="auto"/>
                    <w:right w:val="single" w:sz="4" w:space="0" w:color="auto"/>
                  </w:tcBorders>
                  <w:hideMark/>
                </w:tcPr>
                <w:p w14:paraId="42E928C1" w14:textId="77777777" w:rsidR="00FD1859" w:rsidRDefault="00FD1859" w:rsidP="003D41CE">
                  <w:pPr>
                    <w:jc w:val="center"/>
                    <w:rPr>
                      <w:rFonts w:cs="Arial"/>
                    </w:rPr>
                  </w:pPr>
                  <w:r>
                    <w:rPr>
                      <w:rFonts w:cs="Arial"/>
                    </w:rPr>
                    <w:t>22</w:t>
                  </w:r>
                </w:p>
              </w:tc>
              <w:tc>
                <w:tcPr>
                  <w:tcW w:w="3628" w:type="dxa"/>
                  <w:tcBorders>
                    <w:top w:val="single" w:sz="4" w:space="0" w:color="auto"/>
                    <w:left w:val="single" w:sz="4" w:space="0" w:color="auto"/>
                    <w:bottom w:val="single" w:sz="4" w:space="0" w:color="auto"/>
                    <w:right w:val="single" w:sz="4" w:space="0" w:color="auto"/>
                  </w:tcBorders>
                  <w:hideMark/>
                </w:tcPr>
                <w:p w14:paraId="05CD5AC5" w14:textId="77777777" w:rsidR="00FD1859" w:rsidRDefault="00FD1859" w:rsidP="003D41CE">
                  <w:pPr>
                    <w:jc w:val="center"/>
                    <w:rPr>
                      <w:rFonts w:cs="Arial"/>
                    </w:rPr>
                  </w:pPr>
                  <w:r>
                    <w:rPr>
                      <w:rFonts w:cs="Arial"/>
                    </w:rPr>
                    <w:t>10.0</w:t>
                  </w:r>
                </w:p>
              </w:tc>
            </w:tr>
            <w:tr w:rsidR="00FD1859" w14:paraId="7D3DFAFF" w14:textId="77777777" w:rsidTr="00680CE7">
              <w:trPr>
                <w:trHeight w:val="146"/>
                <w:jc w:val="center"/>
              </w:trPr>
              <w:tc>
                <w:tcPr>
                  <w:tcW w:w="2684" w:type="dxa"/>
                  <w:tcBorders>
                    <w:top w:val="single" w:sz="4" w:space="0" w:color="auto"/>
                    <w:left w:val="single" w:sz="4" w:space="0" w:color="auto"/>
                    <w:bottom w:val="single" w:sz="4" w:space="0" w:color="auto"/>
                    <w:right w:val="single" w:sz="4" w:space="0" w:color="auto"/>
                  </w:tcBorders>
                  <w:hideMark/>
                </w:tcPr>
                <w:p w14:paraId="0CA8A0C2" w14:textId="77777777" w:rsidR="00FD1859" w:rsidRDefault="00FD1859" w:rsidP="003D41CE">
                  <w:pPr>
                    <w:jc w:val="center"/>
                    <w:rPr>
                      <w:rFonts w:cs="Arial"/>
                    </w:rPr>
                  </w:pPr>
                  <w:r>
                    <w:rPr>
                      <w:rFonts w:cs="Arial"/>
                    </w:rPr>
                    <w:t>23</w:t>
                  </w:r>
                </w:p>
              </w:tc>
              <w:tc>
                <w:tcPr>
                  <w:tcW w:w="3628" w:type="dxa"/>
                  <w:tcBorders>
                    <w:top w:val="single" w:sz="4" w:space="0" w:color="auto"/>
                    <w:left w:val="single" w:sz="4" w:space="0" w:color="auto"/>
                    <w:bottom w:val="single" w:sz="4" w:space="0" w:color="auto"/>
                    <w:right w:val="single" w:sz="4" w:space="0" w:color="auto"/>
                  </w:tcBorders>
                  <w:hideMark/>
                </w:tcPr>
                <w:p w14:paraId="3C2BF40A" w14:textId="77777777" w:rsidR="00FD1859" w:rsidRDefault="00FD1859" w:rsidP="003D41CE">
                  <w:pPr>
                    <w:jc w:val="center"/>
                    <w:rPr>
                      <w:rFonts w:cs="Arial"/>
                    </w:rPr>
                  </w:pPr>
                  <w:r>
                    <w:rPr>
                      <w:rFonts w:cs="Arial"/>
                    </w:rPr>
                    <w:t>2.5</w:t>
                  </w:r>
                </w:p>
              </w:tc>
            </w:tr>
            <w:tr w:rsidR="00FD1859" w14:paraId="60514024" w14:textId="77777777" w:rsidTr="00680CE7">
              <w:trPr>
                <w:trHeight w:val="146"/>
                <w:jc w:val="center"/>
              </w:trPr>
              <w:tc>
                <w:tcPr>
                  <w:tcW w:w="2684" w:type="dxa"/>
                  <w:tcBorders>
                    <w:top w:val="single" w:sz="4" w:space="0" w:color="auto"/>
                    <w:left w:val="single" w:sz="4" w:space="0" w:color="auto"/>
                    <w:bottom w:val="single" w:sz="4" w:space="0" w:color="auto"/>
                    <w:right w:val="single" w:sz="4" w:space="0" w:color="auto"/>
                  </w:tcBorders>
                  <w:hideMark/>
                </w:tcPr>
                <w:p w14:paraId="4DD300E5" w14:textId="77777777" w:rsidR="00FD1859" w:rsidRDefault="00FD1859" w:rsidP="003D41CE">
                  <w:pPr>
                    <w:jc w:val="center"/>
                    <w:rPr>
                      <w:rFonts w:cs="Arial"/>
                    </w:rPr>
                  </w:pPr>
                  <w:r>
                    <w:rPr>
                      <w:rFonts w:cs="Arial"/>
                    </w:rPr>
                    <w:t>45</w:t>
                  </w:r>
                </w:p>
              </w:tc>
              <w:tc>
                <w:tcPr>
                  <w:tcW w:w="3628" w:type="dxa"/>
                  <w:tcBorders>
                    <w:top w:val="single" w:sz="4" w:space="0" w:color="auto"/>
                    <w:left w:val="single" w:sz="4" w:space="0" w:color="auto"/>
                    <w:bottom w:val="single" w:sz="4" w:space="0" w:color="auto"/>
                    <w:right w:val="single" w:sz="4" w:space="0" w:color="auto"/>
                  </w:tcBorders>
                  <w:hideMark/>
                </w:tcPr>
                <w:p w14:paraId="32D63F90" w14:textId="77777777" w:rsidR="00FD1859" w:rsidRDefault="00FD1859" w:rsidP="003D41CE">
                  <w:pPr>
                    <w:jc w:val="center"/>
                    <w:rPr>
                      <w:rFonts w:cs="Arial"/>
                    </w:rPr>
                  </w:pPr>
                  <w:r>
                    <w:rPr>
                      <w:rFonts w:cs="Arial"/>
                    </w:rPr>
                    <w:t>2.5</w:t>
                  </w:r>
                </w:p>
              </w:tc>
            </w:tr>
          </w:tbl>
          <w:p w14:paraId="28169433" w14:textId="77777777" w:rsidR="00FD1859" w:rsidRDefault="00FD1859" w:rsidP="003D41CE"/>
        </w:tc>
      </w:tr>
      <w:tr w:rsidR="00FD1859" w14:paraId="3F904211" w14:textId="77777777" w:rsidTr="00680CE7">
        <w:trPr>
          <w:trHeight w:val="184"/>
          <w:jc w:val="center"/>
        </w:trPr>
        <w:tc>
          <w:tcPr>
            <w:tcW w:w="1549" w:type="dxa"/>
            <w:vMerge/>
          </w:tcPr>
          <w:p w14:paraId="09A42B56" w14:textId="77777777" w:rsidR="00FD1859" w:rsidRDefault="00FD1859" w:rsidP="003D41CE"/>
        </w:tc>
        <w:tc>
          <w:tcPr>
            <w:tcW w:w="2835" w:type="dxa"/>
          </w:tcPr>
          <w:p w14:paraId="7A1F47C6" w14:textId="77777777" w:rsidR="00FD1859" w:rsidRDefault="00FD1859" w:rsidP="003D41CE">
            <w:r w:rsidRPr="00E611A1">
              <w:t>Flow (mL/min)</w:t>
            </w:r>
          </w:p>
        </w:tc>
        <w:tc>
          <w:tcPr>
            <w:tcW w:w="8690" w:type="dxa"/>
            <w:vAlign w:val="center"/>
          </w:tcPr>
          <w:p w14:paraId="1D11665A" w14:textId="77777777" w:rsidR="00FD1859" w:rsidRDefault="00FD1859" w:rsidP="003D41CE">
            <w:r>
              <w:rPr>
                <w:rFonts w:cs="Arial"/>
                <w:color w:val="000000"/>
                <w:lang w:val="en-US"/>
              </w:rPr>
              <w:t>0.35</w:t>
            </w:r>
          </w:p>
        </w:tc>
      </w:tr>
      <w:tr w:rsidR="00FD1859" w14:paraId="624683CE" w14:textId="77777777" w:rsidTr="00680CE7">
        <w:trPr>
          <w:trHeight w:val="198"/>
          <w:jc w:val="center"/>
        </w:trPr>
        <w:tc>
          <w:tcPr>
            <w:tcW w:w="1549" w:type="dxa"/>
            <w:vMerge/>
          </w:tcPr>
          <w:p w14:paraId="1C4368EF" w14:textId="77777777" w:rsidR="00FD1859" w:rsidRDefault="00FD1859" w:rsidP="003D41CE"/>
        </w:tc>
        <w:tc>
          <w:tcPr>
            <w:tcW w:w="2835" w:type="dxa"/>
            <w:vAlign w:val="center"/>
          </w:tcPr>
          <w:p w14:paraId="611D5BBC" w14:textId="77777777" w:rsidR="00FD1859" w:rsidRDefault="00FD1859" w:rsidP="003D41CE">
            <w:r>
              <w:rPr>
                <w:rFonts w:cs="Arial"/>
                <w:lang w:val="en-US"/>
              </w:rPr>
              <w:t xml:space="preserve">Volume injected </w:t>
            </w:r>
            <w:r>
              <w:rPr>
                <w:rFonts w:cs="Arial"/>
                <w:i/>
                <w:iCs/>
                <w:lang w:val="en-US"/>
              </w:rPr>
              <w:t>(µL)</w:t>
            </w:r>
          </w:p>
        </w:tc>
        <w:tc>
          <w:tcPr>
            <w:tcW w:w="8690" w:type="dxa"/>
            <w:vAlign w:val="center"/>
          </w:tcPr>
          <w:p w14:paraId="3E551D01" w14:textId="77777777" w:rsidR="00FD1859" w:rsidRDefault="00FD1859" w:rsidP="003D41CE">
            <w:r>
              <w:rPr>
                <w:rFonts w:cs="Arial"/>
                <w:lang w:val="nl-NL"/>
              </w:rPr>
              <w:t>50</w:t>
            </w:r>
          </w:p>
        </w:tc>
      </w:tr>
      <w:tr w:rsidR="00FD1859" w14:paraId="0061AB96" w14:textId="77777777" w:rsidTr="00680CE7">
        <w:trPr>
          <w:trHeight w:val="170"/>
          <w:jc w:val="center"/>
        </w:trPr>
        <w:tc>
          <w:tcPr>
            <w:tcW w:w="1549" w:type="dxa"/>
          </w:tcPr>
          <w:p w14:paraId="463B6AE0" w14:textId="77777777" w:rsidR="00FD1859" w:rsidRDefault="00FD1859" w:rsidP="003D41CE">
            <w:r>
              <w:t>Oven</w:t>
            </w:r>
          </w:p>
        </w:tc>
        <w:tc>
          <w:tcPr>
            <w:tcW w:w="2835" w:type="dxa"/>
            <w:vAlign w:val="center"/>
          </w:tcPr>
          <w:p w14:paraId="707FE292" w14:textId="77777777" w:rsidR="00FD1859" w:rsidRDefault="00FD1859" w:rsidP="003D41CE">
            <w:r>
              <w:rPr>
                <w:rFonts w:cs="Arial"/>
                <w:lang w:val="nl-NL"/>
              </w:rPr>
              <w:t xml:space="preserve">Temperature </w:t>
            </w:r>
            <w:r>
              <w:rPr>
                <w:rFonts w:cs="Arial"/>
                <w:i/>
                <w:lang w:val="nl-NL"/>
              </w:rPr>
              <w:t>(°C)</w:t>
            </w:r>
          </w:p>
        </w:tc>
        <w:tc>
          <w:tcPr>
            <w:tcW w:w="8690" w:type="dxa"/>
            <w:vAlign w:val="center"/>
          </w:tcPr>
          <w:p w14:paraId="7523FB03" w14:textId="77777777" w:rsidR="00FD1859" w:rsidRDefault="00FD1859" w:rsidP="003D41CE">
            <w:r>
              <w:rPr>
                <w:rFonts w:cs="Arial"/>
                <w:lang w:val="en-US"/>
              </w:rPr>
              <w:t>35</w:t>
            </w:r>
          </w:p>
        </w:tc>
      </w:tr>
      <w:tr w:rsidR="00FD1859" w14:paraId="6DEE507C" w14:textId="77777777" w:rsidTr="00680CE7">
        <w:trPr>
          <w:trHeight w:val="170"/>
          <w:jc w:val="center"/>
        </w:trPr>
        <w:tc>
          <w:tcPr>
            <w:tcW w:w="4384" w:type="dxa"/>
            <w:gridSpan w:val="2"/>
          </w:tcPr>
          <w:p w14:paraId="3E0058F5" w14:textId="77777777" w:rsidR="00FD1859" w:rsidRDefault="00FD1859" w:rsidP="003D41CE">
            <w:r>
              <w:t>Retention time (min)</w:t>
            </w:r>
          </w:p>
        </w:tc>
        <w:tc>
          <w:tcPr>
            <w:tcW w:w="8690" w:type="dxa"/>
          </w:tcPr>
          <w:p w14:paraId="2E618314" w14:textId="77777777" w:rsidR="00FD1859" w:rsidRDefault="00FD1859" w:rsidP="003D41CE">
            <w:r>
              <w:t>About 8.0</w:t>
            </w:r>
          </w:p>
        </w:tc>
      </w:tr>
    </w:tbl>
    <w:p w14:paraId="6A92840E" w14:textId="77777777" w:rsidR="00FD1859" w:rsidRDefault="00FD1859" w:rsidP="00FD1859"/>
    <w:p w14:paraId="11E0F337" w14:textId="77777777" w:rsidR="00FD1859" w:rsidRDefault="00FD1859" w:rsidP="00FD1859">
      <w:pPr>
        <w:rPr>
          <w:i/>
          <w:iCs/>
        </w:rPr>
      </w:pPr>
      <w:r>
        <w:rPr>
          <w:i/>
          <w:iCs/>
        </w:rPr>
        <w:t>Validation of the analytical method</w:t>
      </w:r>
    </w:p>
    <w:p w14:paraId="7DDF4E8E" w14:textId="77777777" w:rsidR="00FD1859" w:rsidRPr="006B6683" w:rsidRDefault="00FD1859" w:rsidP="00FD1859"/>
    <w:tbl>
      <w:tblPr>
        <w:tblStyle w:val="TableNormal1"/>
        <w:tblW w:w="13182"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735"/>
        <w:gridCol w:w="11447"/>
      </w:tblGrid>
      <w:tr w:rsidR="00FD1859" w:rsidRPr="00A41B49" w14:paraId="7235478E" w14:textId="77777777" w:rsidTr="00680CE7">
        <w:trPr>
          <w:cantSplit/>
          <w:trHeight w:val="42"/>
          <w:jc w:val="center"/>
        </w:trPr>
        <w:tc>
          <w:tcPr>
            <w:tcW w:w="13182" w:type="dxa"/>
            <w:gridSpan w:val="2"/>
            <w:tcBorders>
              <w:top w:val="single" w:sz="6" w:space="0" w:color="auto"/>
              <w:left w:val="single" w:sz="6" w:space="0" w:color="auto"/>
              <w:bottom w:val="single" w:sz="6" w:space="0" w:color="auto"/>
              <w:right w:val="single" w:sz="6" w:space="0" w:color="auto"/>
            </w:tcBorders>
          </w:tcPr>
          <w:p w14:paraId="7AD5AC05" w14:textId="77777777" w:rsidR="00FD1859" w:rsidRPr="006B6683" w:rsidRDefault="00FD1859" w:rsidP="003D41CE">
            <w:pPr>
              <w:spacing w:line="288" w:lineRule="auto"/>
              <w:rPr>
                <w:b/>
                <w:bCs/>
                <w:lang w:val="en-US"/>
              </w:rPr>
            </w:pPr>
            <w:r w:rsidRPr="006B6683">
              <w:rPr>
                <w:b/>
                <w:bCs/>
                <w:lang w:val="en-US"/>
              </w:rPr>
              <w:lastRenderedPageBreak/>
              <w:t>Test item = Iodiguard</w:t>
            </w:r>
          </w:p>
        </w:tc>
      </w:tr>
      <w:tr w:rsidR="00FD1859" w:rsidRPr="006B6683" w14:paraId="5A48A6FA" w14:textId="77777777" w:rsidTr="00680CE7">
        <w:trPr>
          <w:cantSplit/>
          <w:trHeight w:val="231"/>
          <w:jc w:val="center"/>
        </w:trPr>
        <w:tc>
          <w:tcPr>
            <w:tcW w:w="1735" w:type="dxa"/>
            <w:tcBorders>
              <w:top w:val="single" w:sz="6" w:space="0" w:color="auto"/>
              <w:left w:val="single" w:sz="6" w:space="0" w:color="auto"/>
              <w:right w:val="double" w:sz="4" w:space="0" w:color="auto"/>
            </w:tcBorders>
            <w:hideMark/>
          </w:tcPr>
          <w:p w14:paraId="010709A7" w14:textId="77777777" w:rsidR="00FD1859" w:rsidRPr="00A41B49" w:rsidRDefault="00FD1859" w:rsidP="003D41CE">
            <w:pPr>
              <w:spacing w:line="288" w:lineRule="auto"/>
            </w:pPr>
            <w:r w:rsidRPr="00A41B49">
              <w:t>Linearity</w:t>
            </w:r>
          </w:p>
        </w:tc>
        <w:tc>
          <w:tcPr>
            <w:tcW w:w="11446" w:type="dxa"/>
            <w:tcBorders>
              <w:top w:val="single" w:sz="6" w:space="0" w:color="auto"/>
              <w:left w:val="double" w:sz="4" w:space="0" w:color="auto"/>
              <w:bottom w:val="single" w:sz="4" w:space="0" w:color="auto"/>
              <w:right w:val="single" w:sz="6" w:space="0" w:color="auto"/>
            </w:tcBorders>
          </w:tcPr>
          <w:p w14:paraId="0609F0E9" w14:textId="77777777" w:rsidR="00FD1859" w:rsidRDefault="00FD1859" w:rsidP="003D41CE">
            <w:pPr>
              <w:spacing w:line="288" w:lineRule="auto"/>
              <w:rPr>
                <w:lang w:val="en-US"/>
              </w:rPr>
            </w:pPr>
            <w:r>
              <w:rPr>
                <w:lang w:val="en-US"/>
              </w:rPr>
              <w:t xml:space="preserve">5 concentrations were analysed. Linearity was shown between 0.27 and 3.71 mg/L of iodate. </w:t>
            </w:r>
          </w:p>
          <w:p w14:paraId="466BD8B0" w14:textId="77777777" w:rsidR="00FD1859" w:rsidRPr="00634F50" w:rsidRDefault="00FD1859" w:rsidP="003D41CE">
            <w:pPr>
              <w:spacing w:line="288" w:lineRule="auto"/>
              <w:rPr>
                <w:lang w:val="it-IT"/>
              </w:rPr>
            </w:pPr>
            <w:r w:rsidRPr="00634F50">
              <w:rPr>
                <w:lang w:val="it-IT"/>
              </w:rPr>
              <w:t>Calibration curve: A = 1.85E-01 x C - 7.36E-03</w:t>
            </w:r>
          </w:p>
          <w:p w14:paraId="3264A632" w14:textId="77777777" w:rsidR="00FD1859" w:rsidRPr="006B6683" w:rsidRDefault="00FD1859" w:rsidP="003D41CE">
            <w:pPr>
              <w:spacing w:line="288" w:lineRule="auto"/>
              <w:rPr>
                <w:lang w:val="en-US"/>
              </w:rPr>
            </w:pPr>
            <w:r>
              <w:rPr>
                <w:lang w:val="en-US"/>
              </w:rPr>
              <w:t>r = 0.9997</w:t>
            </w:r>
          </w:p>
        </w:tc>
      </w:tr>
      <w:tr w:rsidR="00FD1859" w:rsidRPr="00A41B49" w14:paraId="266BE27D" w14:textId="77777777" w:rsidTr="00680CE7">
        <w:trPr>
          <w:cantSplit/>
          <w:trHeight w:val="1382"/>
          <w:jc w:val="center"/>
        </w:trPr>
        <w:tc>
          <w:tcPr>
            <w:tcW w:w="1735" w:type="dxa"/>
            <w:tcBorders>
              <w:top w:val="single" w:sz="6" w:space="0" w:color="auto"/>
              <w:left w:val="single" w:sz="6" w:space="0" w:color="auto"/>
              <w:bottom w:val="single" w:sz="6" w:space="0" w:color="auto"/>
              <w:right w:val="double" w:sz="4" w:space="0" w:color="auto"/>
            </w:tcBorders>
            <w:hideMark/>
          </w:tcPr>
          <w:p w14:paraId="303AA45B" w14:textId="77777777" w:rsidR="00FD1859" w:rsidRPr="00A41B49" w:rsidRDefault="00FD1859" w:rsidP="003D41CE">
            <w:pPr>
              <w:spacing w:line="288" w:lineRule="auto"/>
            </w:pPr>
            <w:r w:rsidRPr="00A41B49">
              <w:t>Precision</w:t>
            </w:r>
          </w:p>
        </w:tc>
        <w:tc>
          <w:tcPr>
            <w:tcW w:w="11446" w:type="dxa"/>
            <w:tcBorders>
              <w:top w:val="single" w:sz="6" w:space="0" w:color="auto"/>
              <w:left w:val="double" w:sz="4" w:space="0" w:color="auto"/>
              <w:right w:val="single" w:sz="6" w:space="0" w:color="auto"/>
            </w:tcBorders>
          </w:tcPr>
          <w:p w14:paraId="54C0013D" w14:textId="77777777" w:rsidR="00FD1859" w:rsidRPr="00205EA7" w:rsidRDefault="00FD1859" w:rsidP="003D41CE">
            <w:pPr>
              <w:spacing w:line="288" w:lineRule="auto"/>
              <w:rPr>
                <w:lang w:val="en-US"/>
              </w:rPr>
            </w:pPr>
            <w:r w:rsidRPr="00205EA7">
              <w:rPr>
                <w:lang w:val="en-US"/>
              </w:rPr>
              <w:t>The precision was determined by analysing five test item solutions. The content of the</w:t>
            </w:r>
            <w:r>
              <w:rPr>
                <w:lang w:val="en-US"/>
              </w:rPr>
              <w:t xml:space="preserve"> </w:t>
            </w:r>
            <w:r w:rsidRPr="00205EA7">
              <w:rPr>
                <w:lang w:val="en-US"/>
              </w:rPr>
              <w:t>iodate for each analysis was calculated with the calibration curve.</w:t>
            </w:r>
          </w:p>
          <w:p w14:paraId="64FC5441" w14:textId="77777777" w:rsidR="00FD1859" w:rsidRDefault="00FD1859" w:rsidP="003D41CE">
            <w:pPr>
              <w:spacing w:line="288" w:lineRule="auto"/>
              <w:rPr>
                <w:lang w:val="en-US"/>
              </w:rPr>
            </w:pPr>
            <w:r w:rsidRPr="00205EA7">
              <w:rPr>
                <w:lang w:val="en-US"/>
              </w:rPr>
              <w:t>Then, the average value of the content, the standard deviation</w:t>
            </w:r>
            <w:r>
              <w:rPr>
                <w:lang w:val="en-US"/>
              </w:rPr>
              <w:t xml:space="preserve"> and</w:t>
            </w:r>
            <w:r w:rsidRPr="00205EA7">
              <w:rPr>
                <w:lang w:val="en-US"/>
              </w:rPr>
              <w:t xml:space="preserve"> the Relative Standard</w:t>
            </w:r>
            <w:r>
              <w:rPr>
                <w:lang w:val="en-US"/>
              </w:rPr>
              <w:t xml:space="preserve"> </w:t>
            </w:r>
            <w:r w:rsidRPr="00205EA7">
              <w:rPr>
                <w:lang w:val="en-US"/>
              </w:rPr>
              <w:t>Deviation (R.S.D.)</w:t>
            </w:r>
            <w:r>
              <w:rPr>
                <w:lang w:val="en-US"/>
              </w:rPr>
              <w:t xml:space="preserve"> were calculated.</w:t>
            </w:r>
          </w:p>
          <w:p w14:paraId="3F392C50" w14:textId="77777777" w:rsidR="00FD1859" w:rsidRDefault="00FD1859" w:rsidP="003D41CE">
            <w:pPr>
              <w:spacing w:line="288" w:lineRule="auto"/>
              <w:rPr>
                <w:lang w:val="en-US"/>
              </w:rPr>
            </w:pPr>
            <w:r>
              <w:rPr>
                <w:lang w:val="en-US"/>
              </w:rPr>
              <w:t>Mean = 0.00097% w/w</w:t>
            </w:r>
          </w:p>
          <w:p w14:paraId="4E5ED05A" w14:textId="77777777" w:rsidR="00FD1859" w:rsidRPr="00A41B49" w:rsidRDefault="00FD1859" w:rsidP="003D41CE">
            <w:pPr>
              <w:spacing w:line="288" w:lineRule="auto"/>
              <w:rPr>
                <w:lang w:val="en-US"/>
              </w:rPr>
            </w:pPr>
            <w:r>
              <w:rPr>
                <w:lang w:val="en-US"/>
              </w:rPr>
              <w:t>RSD = 4.01% &lt; Horwitz value = 7.62 %</w:t>
            </w:r>
          </w:p>
        </w:tc>
      </w:tr>
      <w:tr w:rsidR="00FD1859" w:rsidRPr="00A41B49" w14:paraId="6118E0E3" w14:textId="77777777" w:rsidTr="00680CE7">
        <w:trPr>
          <w:cantSplit/>
          <w:trHeight w:val="218"/>
          <w:jc w:val="center"/>
        </w:trPr>
        <w:tc>
          <w:tcPr>
            <w:tcW w:w="1735" w:type="dxa"/>
            <w:tcBorders>
              <w:top w:val="single" w:sz="6" w:space="0" w:color="auto"/>
              <w:left w:val="single" w:sz="6" w:space="0" w:color="auto"/>
              <w:bottom w:val="single" w:sz="6" w:space="0" w:color="auto"/>
              <w:right w:val="double" w:sz="4" w:space="0" w:color="auto"/>
            </w:tcBorders>
          </w:tcPr>
          <w:p w14:paraId="141C5D59" w14:textId="77777777" w:rsidR="00FD1859" w:rsidRPr="00A41B49" w:rsidRDefault="00FD1859" w:rsidP="003D41CE">
            <w:pPr>
              <w:spacing w:line="288" w:lineRule="auto"/>
            </w:pPr>
            <w:r>
              <w:t>LOQ</w:t>
            </w:r>
          </w:p>
        </w:tc>
        <w:tc>
          <w:tcPr>
            <w:tcW w:w="11446" w:type="dxa"/>
            <w:tcBorders>
              <w:top w:val="single" w:sz="6" w:space="0" w:color="auto"/>
              <w:left w:val="double" w:sz="4" w:space="0" w:color="auto"/>
              <w:right w:val="single" w:sz="6" w:space="0" w:color="auto"/>
            </w:tcBorders>
          </w:tcPr>
          <w:p w14:paraId="6FDF359E" w14:textId="77777777" w:rsidR="00FD1859" w:rsidRPr="004503F7" w:rsidRDefault="00FD1859" w:rsidP="003D41CE">
            <w:pPr>
              <w:spacing w:line="288" w:lineRule="auto"/>
              <w:rPr>
                <w:lang w:val="en-US"/>
              </w:rPr>
            </w:pPr>
            <w:r>
              <w:rPr>
                <w:lang w:val="en-US"/>
              </w:rPr>
              <w:t>0.25 mg/L</w:t>
            </w:r>
          </w:p>
        </w:tc>
      </w:tr>
      <w:tr w:rsidR="00FD1859" w:rsidRPr="00A41B49" w14:paraId="2D1FE3CC" w14:textId="77777777" w:rsidTr="00680CE7">
        <w:trPr>
          <w:cantSplit/>
          <w:trHeight w:val="84"/>
          <w:jc w:val="center"/>
        </w:trPr>
        <w:tc>
          <w:tcPr>
            <w:tcW w:w="13182" w:type="dxa"/>
            <w:gridSpan w:val="2"/>
            <w:tcBorders>
              <w:top w:val="single" w:sz="6" w:space="0" w:color="auto"/>
              <w:left w:val="single" w:sz="6" w:space="0" w:color="auto"/>
              <w:bottom w:val="single" w:sz="6" w:space="0" w:color="auto"/>
              <w:right w:val="single" w:sz="6" w:space="0" w:color="auto"/>
            </w:tcBorders>
            <w:vAlign w:val="center"/>
          </w:tcPr>
          <w:p w14:paraId="12785349" w14:textId="77777777" w:rsidR="00FD1859" w:rsidRPr="006B6683" w:rsidRDefault="00FD1859" w:rsidP="003D41CE">
            <w:pPr>
              <w:spacing w:line="288" w:lineRule="auto"/>
              <w:rPr>
                <w:b/>
                <w:bCs/>
                <w:spacing w:val="-2"/>
              </w:rPr>
            </w:pPr>
            <w:r w:rsidRPr="006B6683">
              <w:rPr>
                <w:b/>
                <w:bCs/>
                <w:spacing w:val="-2"/>
              </w:rPr>
              <w:t>Test item = Algofilm</w:t>
            </w:r>
          </w:p>
        </w:tc>
      </w:tr>
      <w:tr w:rsidR="00FD1859" w:rsidRPr="00A41B49" w14:paraId="79CBEF0A" w14:textId="77777777" w:rsidTr="00680CE7">
        <w:trPr>
          <w:cantSplit/>
          <w:trHeight w:val="760"/>
          <w:jc w:val="center"/>
        </w:trPr>
        <w:tc>
          <w:tcPr>
            <w:tcW w:w="1735" w:type="dxa"/>
            <w:tcBorders>
              <w:top w:val="single" w:sz="6" w:space="0" w:color="auto"/>
              <w:left w:val="single" w:sz="6" w:space="0" w:color="auto"/>
              <w:bottom w:val="single" w:sz="6" w:space="0" w:color="auto"/>
              <w:right w:val="double" w:sz="4" w:space="0" w:color="auto"/>
            </w:tcBorders>
          </w:tcPr>
          <w:p w14:paraId="3B72DF81" w14:textId="77777777" w:rsidR="00FD1859" w:rsidRPr="00A41B49" w:rsidRDefault="00FD1859" w:rsidP="003D41CE">
            <w:pPr>
              <w:spacing w:line="288" w:lineRule="auto"/>
            </w:pPr>
            <w:r w:rsidRPr="00A41B49">
              <w:t>Specificity</w:t>
            </w:r>
          </w:p>
        </w:tc>
        <w:tc>
          <w:tcPr>
            <w:tcW w:w="11446" w:type="dxa"/>
            <w:tcBorders>
              <w:top w:val="single" w:sz="6" w:space="0" w:color="auto"/>
              <w:left w:val="double" w:sz="4" w:space="0" w:color="auto"/>
              <w:bottom w:val="single" w:sz="4" w:space="0" w:color="auto"/>
              <w:right w:val="single" w:sz="6" w:space="0" w:color="auto"/>
            </w:tcBorders>
          </w:tcPr>
          <w:p w14:paraId="40F51BE6" w14:textId="77777777" w:rsidR="00FD1859" w:rsidRPr="008C39EF" w:rsidRDefault="00FD1859" w:rsidP="003D41CE">
            <w:pPr>
              <w:spacing w:line="288" w:lineRule="auto"/>
              <w:rPr>
                <w:lang w:val="en-US"/>
              </w:rPr>
            </w:pPr>
            <w:r w:rsidRPr="008C39EF">
              <w:rPr>
                <w:lang w:val="en-US"/>
              </w:rPr>
              <w:t>To define the specificity of the analytical method, the following solutions were</w:t>
            </w:r>
            <w:r>
              <w:rPr>
                <w:lang w:val="en-US"/>
              </w:rPr>
              <w:t xml:space="preserve"> </w:t>
            </w:r>
            <w:r w:rsidRPr="008C39EF">
              <w:rPr>
                <w:lang w:val="en-US"/>
              </w:rPr>
              <w:t>analysed:</w:t>
            </w:r>
          </w:p>
          <w:p w14:paraId="163C1DB3" w14:textId="77777777" w:rsidR="00FD1859" w:rsidRPr="008C39EF" w:rsidRDefault="00FD1859" w:rsidP="003D41CE">
            <w:pPr>
              <w:spacing w:line="288" w:lineRule="auto"/>
              <w:rPr>
                <w:lang w:val="en-US"/>
              </w:rPr>
            </w:pPr>
            <w:r w:rsidRPr="008C39EF">
              <w:rPr>
                <w:lang w:val="en-US"/>
              </w:rPr>
              <w:t>- Solvent blank</w:t>
            </w:r>
          </w:p>
          <w:p w14:paraId="1B4C1906" w14:textId="77777777" w:rsidR="00FD1859" w:rsidRPr="008C39EF" w:rsidRDefault="00FD1859" w:rsidP="003D41CE">
            <w:pPr>
              <w:spacing w:line="288" w:lineRule="auto"/>
              <w:rPr>
                <w:lang w:val="en-US"/>
              </w:rPr>
            </w:pPr>
            <w:r w:rsidRPr="008C39EF">
              <w:rPr>
                <w:lang w:val="en-US"/>
              </w:rPr>
              <w:t>- Formulation blank</w:t>
            </w:r>
          </w:p>
          <w:p w14:paraId="5168A91C" w14:textId="77777777" w:rsidR="00FD1859" w:rsidRPr="008C39EF" w:rsidRDefault="00FD1859" w:rsidP="003D41CE">
            <w:pPr>
              <w:spacing w:line="288" w:lineRule="auto"/>
              <w:rPr>
                <w:lang w:val="en-US"/>
              </w:rPr>
            </w:pPr>
            <w:r w:rsidRPr="008C39EF">
              <w:rPr>
                <w:lang w:val="en-US"/>
              </w:rPr>
              <w:t>- Reference item</w:t>
            </w:r>
          </w:p>
          <w:p w14:paraId="372C7E46" w14:textId="77777777" w:rsidR="00FD1859" w:rsidRDefault="00FD1859" w:rsidP="003D41CE">
            <w:pPr>
              <w:spacing w:line="288" w:lineRule="auto"/>
              <w:rPr>
                <w:lang w:val="en-US"/>
              </w:rPr>
            </w:pPr>
            <w:r w:rsidRPr="008C39EF">
              <w:rPr>
                <w:lang w:val="en-US"/>
              </w:rPr>
              <w:t>- Test item</w:t>
            </w:r>
          </w:p>
          <w:p w14:paraId="40F51ADF" w14:textId="77777777" w:rsidR="00FD1859" w:rsidRPr="008C39EF" w:rsidRDefault="00FD1859" w:rsidP="003D41CE">
            <w:pPr>
              <w:spacing w:line="288" w:lineRule="auto"/>
              <w:rPr>
                <w:lang w:val="en-US"/>
              </w:rPr>
            </w:pPr>
            <w:r w:rsidRPr="008C39EF">
              <w:rPr>
                <w:lang w:val="en-US"/>
              </w:rPr>
              <w:t>Retention times for iodate between reference item and test item confirm the identity of</w:t>
            </w:r>
            <w:r>
              <w:rPr>
                <w:lang w:val="en-US"/>
              </w:rPr>
              <w:t xml:space="preserve"> </w:t>
            </w:r>
            <w:r w:rsidRPr="008C39EF">
              <w:rPr>
                <w:lang w:val="en-US"/>
              </w:rPr>
              <w:t>the analyte.</w:t>
            </w:r>
          </w:p>
          <w:p w14:paraId="1614B5E1" w14:textId="77777777" w:rsidR="00FD1859" w:rsidRPr="008C39EF" w:rsidRDefault="00FD1859" w:rsidP="00680CE7">
            <w:pPr>
              <w:spacing w:line="288" w:lineRule="auto"/>
              <w:jc w:val="both"/>
              <w:rPr>
                <w:lang w:val="en-US"/>
              </w:rPr>
            </w:pPr>
            <w:r w:rsidRPr="008C39EF">
              <w:rPr>
                <w:lang w:val="en-US"/>
              </w:rPr>
              <w:t>A trace of iodate was detected in the formulation blank.</w:t>
            </w:r>
            <w:r>
              <w:rPr>
                <w:lang w:val="en-US"/>
              </w:rPr>
              <w:t xml:space="preserve"> </w:t>
            </w:r>
            <w:r w:rsidRPr="008C39EF">
              <w:rPr>
                <w:lang w:val="en-US"/>
              </w:rPr>
              <w:t>As this trace of iodate was less than the LOQ value (0.00079% w/w</w:t>
            </w:r>
            <w:r>
              <w:rPr>
                <w:lang w:val="en-US"/>
              </w:rPr>
              <w:t>)</w:t>
            </w:r>
            <w:r w:rsidRPr="008C39EF">
              <w:rPr>
                <w:lang w:val="en-US"/>
              </w:rPr>
              <w:t>, this trace was not considered to be interfering peak for the analysis.</w:t>
            </w:r>
          </w:p>
          <w:p w14:paraId="0C29AF76" w14:textId="577A637E" w:rsidR="00FD1859" w:rsidRPr="008C39EF" w:rsidRDefault="00FD1859" w:rsidP="00680CE7">
            <w:pPr>
              <w:spacing w:line="288" w:lineRule="auto"/>
              <w:jc w:val="both"/>
              <w:rPr>
                <w:lang w:val="en-US"/>
              </w:rPr>
            </w:pPr>
            <w:r w:rsidRPr="008C39EF">
              <w:rPr>
                <w:lang w:val="en-US"/>
              </w:rPr>
              <w:t>An unknown peak appears in the reference item, the formulation blank and the test</w:t>
            </w:r>
            <w:r w:rsidR="00036DD3">
              <w:rPr>
                <w:lang w:val="en-US"/>
              </w:rPr>
              <w:t xml:space="preserve"> </w:t>
            </w:r>
            <w:r w:rsidRPr="008C39EF">
              <w:rPr>
                <w:lang w:val="en-US"/>
              </w:rPr>
              <w:t>item near the peak of iodate.</w:t>
            </w:r>
            <w:r>
              <w:rPr>
                <w:lang w:val="en-US"/>
              </w:rPr>
              <w:t xml:space="preserve"> </w:t>
            </w:r>
            <w:r w:rsidRPr="008C39EF">
              <w:rPr>
                <w:lang w:val="en-US"/>
              </w:rPr>
              <w:t>As the calculation of the resolution between the unknown peak and the</w:t>
            </w:r>
            <w:r>
              <w:rPr>
                <w:lang w:val="en-US"/>
              </w:rPr>
              <w:t xml:space="preserve"> </w:t>
            </w:r>
            <w:r w:rsidRPr="008C39EF">
              <w:rPr>
                <w:lang w:val="en-US"/>
              </w:rPr>
              <w:t>iodate peak was more than 1.5, the unknown peak were not considered to be interfering</w:t>
            </w:r>
            <w:r>
              <w:rPr>
                <w:lang w:val="en-US"/>
              </w:rPr>
              <w:t xml:space="preserve"> </w:t>
            </w:r>
            <w:r w:rsidRPr="008C39EF">
              <w:rPr>
                <w:lang w:val="en-US"/>
              </w:rPr>
              <w:t>peaks for the analysis.</w:t>
            </w:r>
          </w:p>
          <w:p w14:paraId="363D0B39" w14:textId="5D82D773" w:rsidR="00FD1859" w:rsidRPr="008C39EF" w:rsidRDefault="00FD1859" w:rsidP="00680CE7">
            <w:pPr>
              <w:spacing w:line="288" w:lineRule="auto"/>
              <w:jc w:val="both"/>
              <w:rPr>
                <w:lang w:val="en-US"/>
              </w:rPr>
            </w:pPr>
            <w:r w:rsidRPr="008C39EF">
              <w:rPr>
                <w:lang w:val="en-US"/>
              </w:rPr>
              <w:t>No other interference was observed in the solvent blank, the reference item, the</w:t>
            </w:r>
            <w:r>
              <w:rPr>
                <w:lang w:val="en-US"/>
              </w:rPr>
              <w:t xml:space="preserve"> </w:t>
            </w:r>
            <w:r w:rsidRPr="008C39EF">
              <w:rPr>
                <w:lang w:val="en-US"/>
              </w:rPr>
              <w:t>formulation blank and the test item at the retention time of iodate.</w:t>
            </w:r>
            <w:r w:rsidR="00036DD3">
              <w:rPr>
                <w:lang w:val="en-US"/>
              </w:rPr>
              <w:t xml:space="preserve"> Chromatograms were provided.</w:t>
            </w:r>
          </w:p>
          <w:p w14:paraId="5EE45CE0" w14:textId="77777777" w:rsidR="00FD1859" w:rsidRPr="00A41B49" w:rsidRDefault="00FD1859" w:rsidP="00680CE7">
            <w:pPr>
              <w:spacing w:line="288" w:lineRule="auto"/>
              <w:jc w:val="both"/>
              <w:rPr>
                <w:lang w:val="en-US"/>
              </w:rPr>
            </w:pPr>
            <w:r w:rsidRPr="008C39EF">
              <w:rPr>
                <w:lang w:val="en-US"/>
              </w:rPr>
              <w:t>Therefore, the analytical method showed a good specificity for analysis of iodate</w:t>
            </w:r>
            <w:r>
              <w:rPr>
                <w:lang w:val="en-US"/>
              </w:rPr>
              <w:t xml:space="preserve"> </w:t>
            </w:r>
            <w:r w:rsidRPr="008C39EF">
              <w:rPr>
                <w:lang w:val="en-US"/>
              </w:rPr>
              <w:t>in ALGOFILM.</w:t>
            </w:r>
          </w:p>
        </w:tc>
      </w:tr>
      <w:tr w:rsidR="00FD1859" w:rsidRPr="00A41B49" w14:paraId="7981AAF0" w14:textId="77777777" w:rsidTr="00680CE7">
        <w:trPr>
          <w:cantSplit/>
          <w:trHeight w:val="562"/>
          <w:jc w:val="center"/>
        </w:trPr>
        <w:tc>
          <w:tcPr>
            <w:tcW w:w="1735" w:type="dxa"/>
            <w:tcBorders>
              <w:top w:val="single" w:sz="6" w:space="0" w:color="auto"/>
              <w:left w:val="single" w:sz="6" w:space="0" w:color="auto"/>
              <w:bottom w:val="single" w:sz="6" w:space="0" w:color="auto"/>
              <w:right w:val="double" w:sz="4" w:space="0" w:color="auto"/>
            </w:tcBorders>
            <w:hideMark/>
          </w:tcPr>
          <w:p w14:paraId="1F9E4187" w14:textId="77777777" w:rsidR="00FD1859" w:rsidRPr="00A41B49" w:rsidRDefault="00FD1859" w:rsidP="003D41CE">
            <w:pPr>
              <w:spacing w:line="288" w:lineRule="auto"/>
            </w:pPr>
            <w:r w:rsidRPr="00A41B49">
              <w:t>Accuracy</w:t>
            </w:r>
          </w:p>
        </w:tc>
        <w:tc>
          <w:tcPr>
            <w:tcW w:w="11446" w:type="dxa"/>
            <w:tcBorders>
              <w:top w:val="single" w:sz="6" w:space="0" w:color="auto"/>
              <w:left w:val="double" w:sz="4" w:space="0" w:color="auto"/>
              <w:right w:val="single" w:sz="6" w:space="0" w:color="auto"/>
            </w:tcBorders>
          </w:tcPr>
          <w:p w14:paraId="1544AB4B" w14:textId="77777777" w:rsidR="00FD1859" w:rsidRDefault="00FD1859" w:rsidP="003D41CE">
            <w:pPr>
              <w:spacing w:line="288" w:lineRule="auto"/>
              <w:rPr>
                <w:lang w:val="en-US"/>
              </w:rPr>
            </w:pPr>
            <w:r w:rsidRPr="008C39EF">
              <w:rPr>
                <w:lang w:val="en-US"/>
              </w:rPr>
              <w:t>Accuracy was checked by analysis of two spiked solutions at LOQ and 10LOQ level</w:t>
            </w:r>
            <w:r>
              <w:rPr>
                <w:lang w:val="en-US"/>
              </w:rPr>
              <w:t xml:space="preserve"> </w:t>
            </w:r>
            <w:r w:rsidRPr="008C39EF">
              <w:rPr>
                <w:lang w:val="en-US"/>
              </w:rPr>
              <w:t>with iodate reference item.</w:t>
            </w:r>
          </w:p>
          <w:p w14:paraId="066C0828" w14:textId="6BD5B600" w:rsidR="00FD1859" w:rsidRPr="00A41B49" w:rsidRDefault="00FD1859" w:rsidP="00036DD3">
            <w:pPr>
              <w:spacing w:line="288" w:lineRule="auto"/>
              <w:rPr>
                <w:lang w:val="en-US"/>
              </w:rPr>
            </w:pPr>
            <w:r>
              <w:rPr>
                <w:lang w:val="en-US"/>
              </w:rPr>
              <w:t>The recoveries were equal to 90.8% and 107.6%</w:t>
            </w:r>
            <w:r w:rsidR="00036DD3">
              <w:rPr>
                <w:lang w:val="en-US"/>
              </w:rPr>
              <w:t xml:space="preserve"> (mean 99.2%)</w:t>
            </w:r>
            <w:r>
              <w:rPr>
                <w:lang w:val="en-US"/>
              </w:rPr>
              <w:t>.</w:t>
            </w:r>
          </w:p>
        </w:tc>
      </w:tr>
    </w:tbl>
    <w:p w14:paraId="7E87B32B" w14:textId="77777777" w:rsidR="00FD1859" w:rsidRDefault="00FD1859" w:rsidP="00FD1859"/>
    <w:p w14:paraId="36F16DBC" w14:textId="77777777" w:rsidR="00FD1859" w:rsidRPr="00A345EE" w:rsidRDefault="00FD1859" w:rsidP="00FD1859"/>
    <w:p w14:paraId="4CA82801" w14:textId="77777777" w:rsidR="00036DD3" w:rsidRDefault="00036DD3" w:rsidP="00680CE7">
      <w:pPr>
        <w:jc w:val="both"/>
        <w:rPr>
          <w:b/>
        </w:rPr>
      </w:pPr>
    </w:p>
    <w:p w14:paraId="7DE17858" w14:textId="77777777" w:rsidR="00036DD3" w:rsidRDefault="00036DD3" w:rsidP="00680CE7">
      <w:pPr>
        <w:jc w:val="both"/>
        <w:rPr>
          <w:b/>
        </w:rPr>
      </w:pPr>
    </w:p>
    <w:p w14:paraId="44A010C1" w14:textId="77777777" w:rsidR="00036DD3" w:rsidRDefault="00036DD3" w:rsidP="00680CE7">
      <w:pPr>
        <w:jc w:val="both"/>
        <w:rPr>
          <w:b/>
        </w:rPr>
      </w:pPr>
    </w:p>
    <w:p w14:paraId="670B9B8A" w14:textId="2CC65C95" w:rsidR="00FD1859" w:rsidRDefault="00FD1859" w:rsidP="00680CE7">
      <w:pPr>
        <w:jc w:val="both"/>
        <w:rPr>
          <w:b/>
        </w:rPr>
      </w:pPr>
      <w:r w:rsidRPr="00A83816">
        <w:rPr>
          <w:b/>
        </w:rPr>
        <w:t xml:space="preserve">Analytical method for determination of </w:t>
      </w:r>
      <w:r>
        <w:rPr>
          <w:b/>
        </w:rPr>
        <w:t>L-(+)-lactic acid</w:t>
      </w:r>
      <w:r w:rsidRPr="00A83816">
        <w:rPr>
          <w:b/>
        </w:rPr>
        <w:t xml:space="preserve"> in the biocidal product</w:t>
      </w:r>
    </w:p>
    <w:p w14:paraId="50DA9DCA" w14:textId="77777777" w:rsidR="00036DD3" w:rsidRDefault="00036DD3" w:rsidP="00680CE7">
      <w:pPr>
        <w:jc w:val="both"/>
        <w:rPr>
          <w:b/>
        </w:rPr>
      </w:pPr>
    </w:p>
    <w:tbl>
      <w:tblPr>
        <w:tblW w:w="1488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067"/>
        <w:gridCol w:w="11817"/>
      </w:tblGrid>
      <w:tr w:rsidR="00036DD3" w:rsidRPr="00A41B49" w14:paraId="4478D9F1" w14:textId="77777777" w:rsidTr="00261A29">
        <w:trPr>
          <w:trHeight w:val="186"/>
        </w:trPr>
        <w:tc>
          <w:tcPr>
            <w:tcW w:w="3067" w:type="dxa"/>
            <w:tcBorders>
              <w:right w:val="single" w:sz="4" w:space="0" w:color="auto"/>
            </w:tcBorders>
            <w:shd w:val="clear" w:color="auto" w:fill="auto"/>
          </w:tcPr>
          <w:p w14:paraId="37DED175" w14:textId="77777777" w:rsidR="00036DD3" w:rsidRPr="00A41B49" w:rsidRDefault="00036DD3" w:rsidP="00261A29">
            <w:pPr>
              <w:pStyle w:val="OECD-table"/>
              <w:rPr>
                <w:rFonts w:ascii="Verdana" w:hAnsi="Verdana"/>
                <w:b/>
                <w:sz w:val="20"/>
                <w:szCs w:val="20"/>
              </w:rPr>
            </w:pPr>
            <w:r w:rsidRPr="00A41B49">
              <w:rPr>
                <w:rFonts w:ascii="Verdana" w:hAnsi="Verdana"/>
                <w:b/>
                <w:sz w:val="20"/>
                <w:szCs w:val="20"/>
              </w:rPr>
              <w:t>Report:</w:t>
            </w:r>
          </w:p>
        </w:tc>
        <w:tc>
          <w:tcPr>
            <w:tcW w:w="11817" w:type="dxa"/>
            <w:tcBorders>
              <w:left w:val="single" w:sz="4" w:space="0" w:color="auto"/>
            </w:tcBorders>
            <w:shd w:val="clear" w:color="auto" w:fill="auto"/>
          </w:tcPr>
          <w:p w14:paraId="7A164C45" w14:textId="3D5B4637" w:rsidR="00036DD3" w:rsidRPr="00A41B49" w:rsidRDefault="002C4B6A" w:rsidP="00261A29">
            <w:pPr>
              <w:rPr>
                <w:lang w:val="fr-FR"/>
              </w:rPr>
            </w:pPr>
            <w:r>
              <w:rPr>
                <w:lang w:val="fr-FR"/>
              </w:rPr>
              <w:t>Ricau H.</w:t>
            </w:r>
            <w:r w:rsidR="00036DD3">
              <w:rPr>
                <w:lang w:val="fr-FR"/>
              </w:rPr>
              <w:t>, 2020</w:t>
            </w:r>
          </w:p>
        </w:tc>
      </w:tr>
      <w:tr w:rsidR="00036DD3" w:rsidRPr="00C1749F" w14:paraId="7BFB694D" w14:textId="77777777" w:rsidTr="00261A29">
        <w:trPr>
          <w:trHeight w:val="178"/>
        </w:trPr>
        <w:tc>
          <w:tcPr>
            <w:tcW w:w="3067" w:type="dxa"/>
            <w:tcBorders>
              <w:right w:val="single" w:sz="4" w:space="0" w:color="auto"/>
            </w:tcBorders>
            <w:shd w:val="clear" w:color="auto" w:fill="auto"/>
          </w:tcPr>
          <w:p w14:paraId="6B4DDB86" w14:textId="77777777" w:rsidR="00036DD3" w:rsidRPr="00A41B49" w:rsidRDefault="00036DD3" w:rsidP="00261A29">
            <w:pPr>
              <w:pStyle w:val="OECD-table"/>
              <w:jc w:val="both"/>
              <w:rPr>
                <w:rFonts w:ascii="Verdana" w:hAnsi="Verdana"/>
                <w:sz w:val="20"/>
                <w:szCs w:val="20"/>
                <w:lang w:val="fr-FR"/>
              </w:rPr>
            </w:pPr>
            <w:r w:rsidRPr="00A41B49">
              <w:rPr>
                <w:rFonts w:ascii="Verdana" w:hAnsi="Verdana"/>
                <w:sz w:val="20"/>
                <w:szCs w:val="20"/>
                <w:lang w:val="fr-FR"/>
              </w:rPr>
              <w:t>Title:</w:t>
            </w:r>
          </w:p>
        </w:tc>
        <w:tc>
          <w:tcPr>
            <w:tcW w:w="11817" w:type="dxa"/>
            <w:tcBorders>
              <w:left w:val="single" w:sz="4" w:space="0" w:color="auto"/>
            </w:tcBorders>
            <w:shd w:val="clear" w:color="auto" w:fill="auto"/>
          </w:tcPr>
          <w:p w14:paraId="24EB8FE1" w14:textId="1E60EAD2" w:rsidR="00036DD3" w:rsidRPr="00C1749F" w:rsidRDefault="00036DD3" w:rsidP="00036DD3">
            <w:pPr>
              <w:autoSpaceDE w:val="0"/>
              <w:autoSpaceDN w:val="0"/>
              <w:adjustRightInd w:val="0"/>
              <w:rPr>
                <w:bCs/>
                <w:lang w:val="en-US"/>
              </w:rPr>
            </w:pPr>
            <w:r w:rsidRPr="00036DD3">
              <w:rPr>
                <w:color w:val="000000"/>
                <w:lang w:val="en-US"/>
              </w:rPr>
              <w:t>Validation of the analytical method for the</w:t>
            </w:r>
            <w:r>
              <w:rPr>
                <w:color w:val="000000"/>
                <w:lang w:val="en-US"/>
              </w:rPr>
              <w:t xml:space="preserve"> </w:t>
            </w:r>
            <w:r w:rsidRPr="00036DD3">
              <w:rPr>
                <w:color w:val="000000"/>
                <w:lang w:val="en-US"/>
              </w:rPr>
              <w:t>determination of L-(+)-lactic acid</w:t>
            </w:r>
            <w:r>
              <w:rPr>
                <w:color w:val="000000"/>
                <w:lang w:val="en-US"/>
              </w:rPr>
              <w:t xml:space="preserve"> </w:t>
            </w:r>
            <w:r w:rsidRPr="00036DD3">
              <w:rPr>
                <w:color w:val="000000"/>
                <w:lang w:val="en-US"/>
              </w:rPr>
              <w:t>(CAS [79-33-4])</w:t>
            </w:r>
            <w:r>
              <w:rPr>
                <w:color w:val="000000"/>
                <w:lang w:val="en-US"/>
              </w:rPr>
              <w:t xml:space="preserve"> </w:t>
            </w:r>
            <w:r w:rsidRPr="00036DD3">
              <w:rPr>
                <w:color w:val="000000"/>
                <w:lang w:val="en-US"/>
              </w:rPr>
              <w:t>in ALGOFILM</w:t>
            </w:r>
          </w:p>
        </w:tc>
      </w:tr>
      <w:tr w:rsidR="00036DD3" w:rsidRPr="00A41B49" w14:paraId="472A2880" w14:textId="77777777" w:rsidTr="00261A29">
        <w:trPr>
          <w:trHeight w:val="186"/>
        </w:trPr>
        <w:tc>
          <w:tcPr>
            <w:tcW w:w="3067" w:type="dxa"/>
            <w:tcBorders>
              <w:right w:val="single" w:sz="4" w:space="0" w:color="auto"/>
            </w:tcBorders>
            <w:shd w:val="clear" w:color="auto" w:fill="auto"/>
          </w:tcPr>
          <w:p w14:paraId="7703A282" w14:textId="77777777" w:rsidR="00036DD3" w:rsidRPr="00A41B49" w:rsidRDefault="00036DD3" w:rsidP="00261A29">
            <w:pPr>
              <w:pStyle w:val="OECD-table"/>
              <w:rPr>
                <w:rFonts w:ascii="Verdana" w:hAnsi="Verdana"/>
                <w:sz w:val="20"/>
                <w:szCs w:val="20"/>
                <w:lang w:val="fr-FR"/>
              </w:rPr>
            </w:pPr>
            <w:r w:rsidRPr="00A41B49">
              <w:rPr>
                <w:rFonts w:ascii="Verdana" w:hAnsi="Verdana"/>
                <w:sz w:val="20"/>
                <w:szCs w:val="20"/>
                <w:lang w:val="fr-FR"/>
              </w:rPr>
              <w:t>Document No</w:t>
            </w:r>
          </w:p>
        </w:tc>
        <w:tc>
          <w:tcPr>
            <w:tcW w:w="11817" w:type="dxa"/>
            <w:tcBorders>
              <w:left w:val="single" w:sz="4" w:space="0" w:color="auto"/>
            </w:tcBorders>
            <w:shd w:val="clear" w:color="auto" w:fill="auto"/>
          </w:tcPr>
          <w:p w14:paraId="617E5906" w14:textId="259281AD" w:rsidR="00036DD3" w:rsidRPr="00A41B49" w:rsidRDefault="00036DD3" w:rsidP="00261A29">
            <w:pPr>
              <w:pStyle w:val="OECD-table"/>
              <w:rPr>
                <w:rFonts w:ascii="Verdana" w:hAnsi="Verdana"/>
                <w:sz w:val="20"/>
                <w:szCs w:val="20"/>
                <w:lang w:val="fr-FR"/>
              </w:rPr>
            </w:pPr>
            <w:r>
              <w:rPr>
                <w:rFonts w:ascii="Verdana" w:hAnsi="Verdana"/>
                <w:sz w:val="20"/>
                <w:szCs w:val="20"/>
                <w:lang w:val="fr-FR"/>
              </w:rPr>
              <w:t>20-912017-005</w:t>
            </w:r>
          </w:p>
        </w:tc>
      </w:tr>
      <w:tr w:rsidR="00036DD3" w:rsidRPr="00C1749F" w14:paraId="3BC169FE" w14:textId="77777777" w:rsidTr="00261A29">
        <w:trPr>
          <w:trHeight w:val="344"/>
        </w:trPr>
        <w:tc>
          <w:tcPr>
            <w:tcW w:w="3067" w:type="dxa"/>
            <w:tcBorders>
              <w:right w:val="single" w:sz="4" w:space="0" w:color="auto"/>
            </w:tcBorders>
            <w:shd w:val="clear" w:color="auto" w:fill="auto"/>
          </w:tcPr>
          <w:p w14:paraId="376090DD" w14:textId="77777777" w:rsidR="00036DD3" w:rsidRPr="00A41B49" w:rsidRDefault="00036DD3" w:rsidP="00261A29">
            <w:pPr>
              <w:pStyle w:val="OECD-table"/>
              <w:rPr>
                <w:rFonts w:ascii="Verdana" w:hAnsi="Verdana"/>
                <w:sz w:val="20"/>
                <w:szCs w:val="20"/>
                <w:lang w:val="fr-FR"/>
              </w:rPr>
            </w:pPr>
            <w:r w:rsidRPr="00A41B49">
              <w:rPr>
                <w:rFonts w:ascii="Verdana" w:hAnsi="Verdana"/>
                <w:sz w:val="20"/>
                <w:szCs w:val="20"/>
                <w:lang w:val="fr-FR"/>
              </w:rPr>
              <w:t>Test facility</w:t>
            </w:r>
          </w:p>
        </w:tc>
        <w:tc>
          <w:tcPr>
            <w:tcW w:w="11817" w:type="dxa"/>
            <w:tcBorders>
              <w:left w:val="single" w:sz="4" w:space="0" w:color="auto"/>
            </w:tcBorders>
            <w:shd w:val="clear" w:color="auto" w:fill="auto"/>
          </w:tcPr>
          <w:p w14:paraId="0EA24A60"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DEFITRACES</w:t>
            </w:r>
          </w:p>
          <w:p w14:paraId="030C016C"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Z.A. des Andrés</w:t>
            </w:r>
          </w:p>
          <w:p w14:paraId="7E9F36B7"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150, rue Pré-Magne</w:t>
            </w:r>
          </w:p>
          <w:p w14:paraId="3D030A50" w14:textId="77777777" w:rsidR="00036DD3" w:rsidRPr="00096A18" w:rsidRDefault="00036DD3" w:rsidP="00261A29">
            <w:pPr>
              <w:pStyle w:val="OECD-table"/>
              <w:rPr>
                <w:rFonts w:ascii="Verdana" w:hAnsi="Verdana"/>
                <w:sz w:val="20"/>
                <w:szCs w:val="20"/>
                <w:lang w:val="fr-FR"/>
              </w:rPr>
            </w:pPr>
            <w:r w:rsidRPr="00096A18">
              <w:rPr>
                <w:rFonts w:ascii="Verdana" w:hAnsi="Verdana"/>
                <w:sz w:val="20"/>
                <w:szCs w:val="20"/>
                <w:lang w:val="fr-FR"/>
              </w:rPr>
              <w:t>69126 BRINDAS</w:t>
            </w:r>
          </w:p>
          <w:p w14:paraId="38AF64F9" w14:textId="77777777" w:rsidR="00036DD3" w:rsidRPr="00A41B49" w:rsidRDefault="00036DD3" w:rsidP="00261A29">
            <w:pPr>
              <w:pStyle w:val="OECD-table"/>
              <w:rPr>
                <w:rFonts w:ascii="Verdana" w:hAnsi="Verdana"/>
                <w:sz w:val="20"/>
                <w:szCs w:val="20"/>
                <w:lang w:val="fr-FR"/>
              </w:rPr>
            </w:pPr>
            <w:r w:rsidRPr="00096A18">
              <w:rPr>
                <w:rFonts w:ascii="Verdana" w:hAnsi="Verdana"/>
                <w:sz w:val="20"/>
                <w:szCs w:val="20"/>
                <w:lang w:val="fr-FR"/>
              </w:rPr>
              <w:t>FRANCE</w:t>
            </w:r>
          </w:p>
        </w:tc>
      </w:tr>
      <w:tr w:rsidR="00036DD3" w:rsidRPr="00A41B49" w14:paraId="567B2C22" w14:textId="77777777" w:rsidTr="00261A29">
        <w:trPr>
          <w:trHeight w:val="186"/>
        </w:trPr>
        <w:tc>
          <w:tcPr>
            <w:tcW w:w="3067" w:type="dxa"/>
            <w:tcBorders>
              <w:right w:val="single" w:sz="4" w:space="0" w:color="auto"/>
            </w:tcBorders>
            <w:shd w:val="clear" w:color="auto" w:fill="auto"/>
          </w:tcPr>
          <w:p w14:paraId="060BFE55"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Guidelines:</w:t>
            </w:r>
          </w:p>
        </w:tc>
        <w:tc>
          <w:tcPr>
            <w:tcW w:w="11817" w:type="dxa"/>
            <w:tcBorders>
              <w:left w:val="single" w:sz="4" w:space="0" w:color="auto"/>
            </w:tcBorders>
            <w:shd w:val="clear" w:color="auto" w:fill="auto"/>
          </w:tcPr>
          <w:p w14:paraId="1528BA2E"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w:t>
            </w:r>
          </w:p>
        </w:tc>
      </w:tr>
      <w:tr w:rsidR="00036DD3" w:rsidRPr="00A41B49" w14:paraId="1ADAB3D0" w14:textId="77777777" w:rsidTr="00261A29">
        <w:trPr>
          <w:trHeight w:val="178"/>
        </w:trPr>
        <w:tc>
          <w:tcPr>
            <w:tcW w:w="3067" w:type="dxa"/>
            <w:tcBorders>
              <w:right w:val="single" w:sz="4" w:space="0" w:color="auto"/>
            </w:tcBorders>
            <w:shd w:val="clear" w:color="auto" w:fill="auto"/>
          </w:tcPr>
          <w:p w14:paraId="4E5901BF" w14:textId="77777777" w:rsidR="00036DD3" w:rsidRPr="00A41B49" w:rsidRDefault="00036DD3" w:rsidP="00261A29">
            <w:pPr>
              <w:pStyle w:val="OECD-table"/>
              <w:rPr>
                <w:rFonts w:ascii="Verdana" w:hAnsi="Verdana"/>
                <w:sz w:val="20"/>
                <w:szCs w:val="20"/>
              </w:rPr>
            </w:pPr>
            <w:r w:rsidRPr="00A41B49">
              <w:rPr>
                <w:rFonts w:ascii="Verdana" w:hAnsi="Verdana"/>
                <w:sz w:val="20"/>
                <w:szCs w:val="20"/>
              </w:rPr>
              <w:t>GLP</w:t>
            </w:r>
          </w:p>
        </w:tc>
        <w:tc>
          <w:tcPr>
            <w:tcW w:w="11817" w:type="dxa"/>
            <w:tcBorders>
              <w:left w:val="single" w:sz="4" w:space="0" w:color="auto"/>
            </w:tcBorders>
            <w:shd w:val="clear" w:color="auto" w:fill="auto"/>
          </w:tcPr>
          <w:p w14:paraId="47A4DDB8" w14:textId="77777777" w:rsidR="00036DD3" w:rsidRPr="00A41B49" w:rsidRDefault="00036DD3" w:rsidP="00261A29">
            <w:pPr>
              <w:pStyle w:val="OECD-table"/>
              <w:rPr>
                <w:rFonts w:ascii="Verdana" w:hAnsi="Verdana"/>
                <w:sz w:val="20"/>
                <w:szCs w:val="20"/>
              </w:rPr>
            </w:pPr>
            <w:r>
              <w:rPr>
                <w:rFonts w:ascii="Verdana" w:hAnsi="Verdana"/>
                <w:sz w:val="20"/>
                <w:szCs w:val="20"/>
              </w:rPr>
              <w:t>Yes</w:t>
            </w:r>
          </w:p>
        </w:tc>
      </w:tr>
    </w:tbl>
    <w:p w14:paraId="76BCCD31" w14:textId="77777777" w:rsidR="00036DD3" w:rsidRDefault="00036DD3" w:rsidP="00680CE7">
      <w:pPr>
        <w:jc w:val="both"/>
        <w:rPr>
          <w:bCs/>
        </w:rPr>
      </w:pPr>
    </w:p>
    <w:p w14:paraId="435AD998" w14:textId="7D27B0F6" w:rsidR="00FD1859" w:rsidRDefault="00FD1859" w:rsidP="00680CE7">
      <w:pPr>
        <w:jc w:val="both"/>
        <w:rPr>
          <w:bCs/>
        </w:rPr>
      </w:pPr>
      <w:r>
        <w:rPr>
          <w:bCs/>
        </w:rPr>
        <w:t>A method for the determination of L-(+)-lactic acid in the Algofilm has been validated by assessment of the linearity, specificity, accuracy and precision of the method (H. Ricau, 2020, Report No. 20-912017-005).</w:t>
      </w:r>
    </w:p>
    <w:p w14:paraId="0F5A7B9B" w14:textId="77777777" w:rsidR="00FD1859" w:rsidRDefault="00FD1859" w:rsidP="00680CE7">
      <w:pPr>
        <w:jc w:val="both"/>
        <w:rPr>
          <w:bCs/>
        </w:rPr>
      </w:pPr>
    </w:p>
    <w:p w14:paraId="1D44A58E" w14:textId="77777777" w:rsidR="00FD1859" w:rsidRDefault="00FD1859" w:rsidP="00680CE7">
      <w:pPr>
        <w:jc w:val="both"/>
      </w:pPr>
      <w:r>
        <w:rPr>
          <w:i/>
          <w:iCs/>
        </w:rPr>
        <w:t>Principle of the method</w:t>
      </w:r>
    </w:p>
    <w:p w14:paraId="6D8FED8F" w14:textId="77777777" w:rsidR="00FD1859" w:rsidRDefault="00FD1859" w:rsidP="00680CE7">
      <w:pPr>
        <w:jc w:val="both"/>
      </w:pPr>
      <w:r>
        <w:t>L-(+)-lactic acid is analysed after extraction from the formulation and quantified by liquid chromatography using a reverse phase column and a UV detector.</w:t>
      </w:r>
    </w:p>
    <w:p w14:paraId="459970E6" w14:textId="77777777" w:rsidR="00FD1859" w:rsidRDefault="00FD1859" w:rsidP="00680CE7">
      <w:pPr>
        <w:jc w:val="both"/>
      </w:pPr>
    </w:p>
    <w:p w14:paraId="2A8CFB67" w14:textId="77777777" w:rsidR="00FD1859" w:rsidRDefault="00FD1859" w:rsidP="00680CE7">
      <w:pPr>
        <w:jc w:val="both"/>
      </w:pPr>
      <w:r>
        <w:t>A quantity of about 1.0 g of the test item was weighed (to the nearest 0.01 mg) into a 10-mL volumetric flask and the volume was made up with a sulfuric acid 1N solution. The solution was manually homogenised. The flask was put in a water-bath between 85 °C and 90 °C for 1 hour then the solution was left to stand at room temperature. An aliquot was filtered on a 0.45-μm nylon filter before analysis.</w:t>
      </w:r>
    </w:p>
    <w:p w14:paraId="7D955BB5" w14:textId="77777777" w:rsidR="00FD1859" w:rsidRDefault="00FD1859" w:rsidP="00FD1859"/>
    <w:p w14:paraId="65EC1EEB" w14:textId="77777777" w:rsidR="00FD1859" w:rsidRDefault="00FD1859" w:rsidP="00FD1859">
      <w:pPr>
        <w:rPr>
          <w:i/>
          <w:iCs/>
        </w:rPr>
      </w:pPr>
      <w:r>
        <w:rPr>
          <w:i/>
          <w:iCs/>
        </w:rPr>
        <w:t>Instrumental analysis</w:t>
      </w:r>
    </w:p>
    <w:p w14:paraId="2E6B1A6E" w14:textId="77777777" w:rsidR="00FD1859" w:rsidRPr="00782DC1" w:rsidRDefault="00FD1859" w:rsidP="00FD1859"/>
    <w:tbl>
      <w:tblPr>
        <w:tblStyle w:val="Grilledutableau"/>
        <w:tblW w:w="0" w:type="auto"/>
        <w:jc w:val="center"/>
        <w:tblLook w:val="04A0" w:firstRow="1" w:lastRow="0" w:firstColumn="1" w:lastColumn="0" w:noHBand="0" w:noVBand="1"/>
      </w:tblPr>
      <w:tblGrid>
        <w:gridCol w:w="2506"/>
        <w:gridCol w:w="4169"/>
        <w:gridCol w:w="5876"/>
      </w:tblGrid>
      <w:tr w:rsidR="00FD1859" w14:paraId="34E3ECE3" w14:textId="77777777" w:rsidTr="00680CE7">
        <w:trPr>
          <w:trHeight w:val="267"/>
          <w:jc w:val="center"/>
        </w:trPr>
        <w:tc>
          <w:tcPr>
            <w:tcW w:w="12551" w:type="dxa"/>
            <w:gridSpan w:val="3"/>
          </w:tcPr>
          <w:p w14:paraId="5DE1A781" w14:textId="77777777" w:rsidR="00FD1859" w:rsidRDefault="00FD1859" w:rsidP="003D41CE">
            <w:pPr>
              <w:jc w:val="center"/>
            </w:pPr>
            <w:r>
              <w:t>Liquid chromatographic conditions</w:t>
            </w:r>
          </w:p>
        </w:tc>
      </w:tr>
      <w:tr w:rsidR="00FD1859" w14:paraId="0C47D51E" w14:textId="77777777" w:rsidTr="00680CE7">
        <w:trPr>
          <w:trHeight w:val="246"/>
          <w:jc w:val="center"/>
        </w:trPr>
        <w:tc>
          <w:tcPr>
            <w:tcW w:w="2506" w:type="dxa"/>
            <w:vMerge w:val="restart"/>
            <w:vAlign w:val="center"/>
          </w:tcPr>
          <w:p w14:paraId="27037EF5" w14:textId="77777777" w:rsidR="00FD1859" w:rsidRDefault="00FD1859" w:rsidP="003D41CE">
            <w:r>
              <w:t>Column</w:t>
            </w:r>
          </w:p>
        </w:tc>
        <w:tc>
          <w:tcPr>
            <w:tcW w:w="4169" w:type="dxa"/>
          </w:tcPr>
          <w:p w14:paraId="4C2A4336" w14:textId="77777777" w:rsidR="00FD1859" w:rsidRDefault="00FD1859" w:rsidP="003D41CE">
            <w:r w:rsidRPr="00E611A1">
              <w:t>Type</w:t>
            </w:r>
          </w:p>
        </w:tc>
        <w:tc>
          <w:tcPr>
            <w:tcW w:w="5876" w:type="dxa"/>
            <w:vAlign w:val="center"/>
          </w:tcPr>
          <w:p w14:paraId="0C615007" w14:textId="77777777" w:rsidR="00FD1859" w:rsidRDefault="00FD1859" w:rsidP="003D41CE">
            <w:r>
              <w:rPr>
                <w:rFonts w:cs="Arial"/>
              </w:rPr>
              <w:t>Phenomenex</w:t>
            </w:r>
          </w:p>
        </w:tc>
      </w:tr>
      <w:tr w:rsidR="00FD1859" w:rsidRPr="00816B5E" w14:paraId="49805ADF" w14:textId="77777777" w:rsidTr="00680CE7">
        <w:trPr>
          <w:trHeight w:val="288"/>
          <w:jc w:val="center"/>
        </w:trPr>
        <w:tc>
          <w:tcPr>
            <w:tcW w:w="2506" w:type="dxa"/>
            <w:vMerge/>
            <w:vAlign w:val="center"/>
          </w:tcPr>
          <w:p w14:paraId="3AC798B2" w14:textId="77777777" w:rsidR="00FD1859" w:rsidRDefault="00FD1859" w:rsidP="003D41CE"/>
        </w:tc>
        <w:tc>
          <w:tcPr>
            <w:tcW w:w="4169" w:type="dxa"/>
          </w:tcPr>
          <w:p w14:paraId="1639B25E" w14:textId="77777777" w:rsidR="00FD1859" w:rsidRDefault="00FD1859" w:rsidP="003D41CE">
            <w:r w:rsidRPr="00E611A1">
              <w:t>Phase</w:t>
            </w:r>
          </w:p>
        </w:tc>
        <w:tc>
          <w:tcPr>
            <w:tcW w:w="5876" w:type="dxa"/>
            <w:vAlign w:val="center"/>
          </w:tcPr>
          <w:p w14:paraId="3E7C817D" w14:textId="77777777" w:rsidR="00FD1859" w:rsidRPr="00634F50" w:rsidRDefault="00FD1859" w:rsidP="003D41CE">
            <w:pPr>
              <w:rPr>
                <w:lang w:val="it-IT"/>
              </w:rPr>
            </w:pPr>
            <w:r w:rsidRPr="00634F50">
              <w:rPr>
                <w:rFonts w:cs="Arial"/>
                <w:lang w:val="it-IT"/>
              </w:rPr>
              <w:t>Synergi 4µm Hydro-RP 80A</w:t>
            </w:r>
          </w:p>
        </w:tc>
      </w:tr>
      <w:tr w:rsidR="00FD1859" w14:paraId="2422D9D3" w14:textId="77777777" w:rsidTr="00680CE7">
        <w:trPr>
          <w:trHeight w:val="267"/>
          <w:jc w:val="center"/>
        </w:trPr>
        <w:tc>
          <w:tcPr>
            <w:tcW w:w="2506" w:type="dxa"/>
            <w:vMerge/>
            <w:vAlign w:val="center"/>
          </w:tcPr>
          <w:p w14:paraId="5C2AFB45" w14:textId="77777777" w:rsidR="00FD1859" w:rsidRPr="00634F50" w:rsidRDefault="00FD1859" w:rsidP="003D41CE">
            <w:pPr>
              <w:rPr>
                <w:lang w:val="it-IT"/>
              </w:rPr>
            </w:pPr>
          </w:p>
        </w:tc>
        <w:tc>
          <w:tcPr>
            <w:tcW w:w="4169" w:type="dxa"/>
          </w:tcPr>
          <w:p w14:paraId="77F6733C" w14:textId="77777777" w:rsidR="00FD1859" w:rsidRDefault="00FD1859" w:rsidP="003D41CE">
            <w:r w:rsidRPr="00E611A1">
              <w:t>Length (cm)</w:t>
            </w:r>
          </w:p>
        </w:tc>
        <w:tc>
          <w:tcPr>
            <w:tcW w:w="5876" w:type="dxa"/>
            <w:vAlign w:val="center"/>
          </w:tcPr>
          <w:p w14:paraId="44AFB796" w14:textId="77777777" w:rsidR="00FD1859" w:rsidRDefault="00FD1859" w:rsidP="003D41CE">
            <w:r>
              <w:rPr>
                <w:rFonts w:cs="Arial"/>
              </w:rPr>
              <w:t>25</w:t>
            </w:r>
          </w:p>
        </w:tc>
      </w:tr>
      <w:tr w:rsidR="00FD1859" w14:paraId="4F408DC0" w14:textId="77777777" w:rsidTr="00680CE7">
        <w:trPr>
          <w:trHeight w:val="288"/>
          <w:jc w:val="center"/>
        </w:trPr>
        <w:tc>
          <w:tcPr>
            <w:tcW w:w="2506" w:type="dxa"/>
            <w:vMerge/>
            <w:vAlign w:val="center"/>
          </w:tcPr>
          <w:p w14:paraId="680B2F71" w14:textId="77777777" w:rsidR="00FD1859" w:rsidRDefault="00FD1859" w:rsidP="003D41CE"/>
        </w:tc>
        <w:tc>
          <w:tcPr>
            <w:tcW w:w="4169" w:type="dxa"/>
          </w:tcPr>
          <w:p w14:paraId="1028004F" w14:textId="77777777" w:rsidR="00FD1859" w:rsidRDefault="00FD1859" w:rsidP="003D41CE">
            <w:r w:rsidRPr="00E611A1">
              <w:t>Internal diameter (mm)</w:t>
            </w:r>
          </w:p>
        </w:tc>
        <w:tc>
          <w:tcPr>
            <w:tcW w:w="5876" w:type="dxa"/>
            <w:vAlign w:val="center"/>
          </w:tcPr>
          <w:p w14:paraId="69A08CA5" w14:textId="77777777" w:rsidR="00FD1859" w:rsidRDefault="00FD1859" w:rsidP="003D41CE">
            <w:r>
              <w:rPr>
                <w:rFonts w:cs="Arial"/>
              </w:rPr>
              <w:t>4.6</w:t>
            </w:r>
          </w:p>
        </w:tc>
      </w:tr>
      <w:tr w:rsidR="00FD1859" w14:paraId="393C6C73" w14:textId="77777777" w:rsidTr="00680CE7">
        <w:trPr>
          <w:trHeight w:val="267"/>
          <w:jc w:val="center"/>
        </w:trPr>
        <w:tc>
          <w:tcPr>
            <w:tcW w:w="2506" w:type="dxa"/>
            <w:vMerge/>
            <w:vAlign w:val="center"/>
          </w:tcPr>
          <w:p w14:paraId="7A8AE998" w14:textId="77777777" w:rsidR="00FD1859" w:rsidRDefault="00FD1859" w:rsidP="003D41CE"/>
        </w:tc>
        <w:tc>
          <w:tcPr>
            <w:tcW w:w="4169" w:type="dxa"/>
          </w:tcPr>
          <w:p w14:paraId="3E306D2C" w14:textId="77777777" w:rsidR="00FD1859" w:rsidRDefault="00FD1859" w:rsidP="003D41CE">
            <w:r w:rsidRPr="00E611A1">
              <w:t>Granulometry (µm)</w:t>
            </w:r>
          </w:p>
        </w:tc>
        <w:tc>
          <w:tcPr>
            <w:tcW w:w="5876" w:type="dxa"/>
            <w:vAlign w:val="center"/>
          </w:tcPr>
          <w:p w14:paraId="62D8FBB0" w14:textId="77777777" w:rsidR="00FD1859" w:rsidRDefault="00FD1859" w:rsidP="003D41CE">
            <w:r>
              <w:rPr>
                <w:rFonts w:cs="Arial"/>
              </w:rPr>
              <w:t>4.0</w:t>
            </w:r>
          </w:p>
        </w:tc>
      </w:tr>
      <w:tr w:rsidR="00FD1859" w14:paraId="11F7233F" w14:textId="77777777" w:rsidTr="00680CE7">
        <w:trPr>
          <w:trHeight w:val="267"/>
          <w:jc w:val="center"/>
        </w:trPr>
        <w:tc>
          <w:tcPr>
            <w:tcW w:w="2506" w:type="dxa"/>
            <w:vMerge w:val="restart"/>
            <w:vAlign w:val="center"/>
          </w:tcPr>
          <w:p w14:paraId="5E1945A0" w14:textId="77777777" w:rsidR="00FD1859" w:rsidRDefault="00FD1859" w:rsidP="003D41CE">
            <w:r>
              <w:t>Detector</w:t>
            </w:r>
          </w:p>
        </w:tc>
        <w:tc>
          <w:tcPr>
            <w:tcW w:w="4169" w:type="dxa"/>
          </w:tcPr>
          <w:p w14:paraId="0A9100C4" w14:textId="77777777" w:rsidR="00FD1859" w:rsidRDefault="00FD1859" w:rsidP="003D41CE">
            <w:r w:rsidRPr="00E611A1">
              <w:t>Type</w:t>
            </w:r>
          </w:p>
        </w:tc>
        <w:tc>
          <w:tcPr>
            <w:tcW w:w="5876" w:type="dxa"/>
            <w:vAlign w:val="center"/>
          </w:tcPr>
          <w:p w14:paraId="77D7196B" w14:textId="77777777" w:rsidR="00FD1859" w:rsidRDefault="00FD1859" w:rsidP="003D41CE">
            <w:r>
              <w:rPr>
                <w:rFonts w:cs="Arial"/>
              </w:rPr>
              <w:t>Ultraviolet absorption</w:t>
            </w:r>
          </w:p>
        </w:tc>
      </w:tr>
      <w:tr w:rsidR="00FD1859" w14:paraId="15678DAC" w14:textId="77777777" w:rsidTr="00680CE7">
        <w:trPr>
          <w:trHeight w:val="267"/>
          <w:jc w:val="center"/>
        </w:trPr>
        <w:tc>
          <w:tcPr>
            <w:tcW w:w="2506" w:type="dxa"/>
            <w:vMerge/>
          </w:tcPr>
          <w:p w14:paraId="510FE7A6" w14:textId="77777777" w:rsidR="00FD1859" w:rsidRDefault="00FD1859" w:rsidP="003D41CE"/>
        </w:tc>
        <w:tc>
          <w:tcPr>
            <w:tcW w:w="4169" w:type="dxa"/>
          </w:tcPr>
          <w:p w14:paraId="6A36BB3F" w14:textId="77777777" w:rsidR="00FD1859" w:rsidRDefault="00FD1859" w:rsidP="003D41CE">
            <w:r>
              <w:t>Wavelength (nm)</w:t>
            </w:r>
          </w:p>
        </w:tc>
        <w:tc>
          <w:tcPr>
            <w:tcW w:w="5876" w:type="dxa"/>
            <w:vAlign w:val="center"/>
          </w:tcPr>
          <w:p w14:paraId="50BA47F6" w14:textId="77777777" w:rsidR="00FD1859" w:rsidRDefault="00FD1859" w:rsidP="003D41CE">
            <w:r>
              <w:rPr>
                <w:rFonts w:cs="Arial"/>
                <w:lang w:val="en-US"/>
              </w:rPr>
              <w:t>210</w:t>
            </w:r>
          </w:p>
        </w:tc>
      </w:tr>
      <w:tr w:rsidR="00FD1859" w14:paraId="0E79A66D" w14:textId="77777777" w:rsidTr="00680CE7">
        <w:trPr>
          <w:trHeight w:val="288"/>
          <w:jc w:val="center"/>
        </w:trPr>
        <w:tc>
          <w:tcPr>
            <w:tcW w:w="2506" w:type="dxa"/>
            <w:vMerge/>
          </w:tcPr>
          <w:p w14:paraId="40B2C924" w14:textId="77777777" w:rsidR="00FD1859" w:rsidRDefault="00FD1859" w:rsidP="003D41CE"/>
        </w:tc>
        <w:tc>
          <w:tcPr>
            <w:tcW w:w="4169" w:type="dxa"/>
          </w:tcPr>
          <w:p w14:paraId="25DB32C3" w14:textId="77777777" w:rsidR="00FD1859" w:rsidRDefault="00FD1859" w:rsidP="003D41CE">
            <w:r w:rsidRPr="00E611A1">
              <w:t>Mobile phase</w:t>
            </w:r>
          </w:p>
        </w:tc>
        <w:tc>
          <w:tcPr>
            <w:tcW w:w="5876" w:type="dxa"/>
            <w:vAlign w:val="center"/>
          </w:tcPr>
          <w:p w14:paraId="65371DA8" w14:textId="77777777" w:rsidR="00FD1859" w:rsidRDefault="00FD1859" w:rsidP="003D41CE">
            <w:r>
              <w:rPr>
                <w:iCs/>
              </w:rPr>
              <w:t>buffer phosphate pH 2.8 solution</w:t>
            </w:r>
          </w:p>
        </w:tc>
      </w:tr>
      <w:tr w:rsidR="00FD1859" w14:paraId="78F87690" w14:textId="77777777" w:rsidTr="00680CE7">
        <w:trPr>
          <w:trHeight w:val="267"/>
          <w:jc w:val="center"/>
        </w:trPr>
        <w:tc>
          <w:tcPr>
            <w:tcW w:w="2506" w:type="dxa"/>
            <w:vMerge/>
          </w:tcPr>
          <w:p w14:paraId="6BF268C1" w14:textId="77777777" w:rsidR="00FD1859" w:rsidRDefault="00FD1859" w:rsidP="003D41CE"/>
        </w:tc>
        <w:tc>
          <w:tcPr>
            <w:tcW w:w="4169" w:type="dxa"/>
          </w:tcPr>
          <w:p w14:paraId="4DA9A70E" w14:textId="77777777" w:rsidR="00FD1859" w:rsidRDefault="00FD1859" w:rsidP="003D41CE">
            <w:r w:rsidRPr="00E611A1">
              <w:t>Flow (mL/min)</w:t>
            </w:r>
          </w:p>
        </w:tc>
        <w:tc>
          <w:tcPr>
            <w:tcW w:w="5876" w:type="dxa"/>
            <w:vAlign w:val="center"/>
          </w:tcPr>
          <w:p w14:paraId="007A9024" w14:textId="77777777" w:rsidR="00FD1859" w:rsidRDefault="00FD1859" w:rsidP="003D41CE">
            <w:r>
              <w:rPr>
                <w:rFonts w:cs="Arial"/>
                <w:color w:val="000000"/>
                <w:lang w:val="en-US"/>
              </w:rPr>
              <w:t>0.8</w:t>
            </w:r>
          </w:p>
        </w:tc>
      </w:tr>
      <w:tr w:rsidR="00FD1859" w14:paraId="1A151B8E" w14:textId="77777777" w:rsidTr="00680CE7">
        <w:trPr>
          <w:trHeight w:val="288"/>
          <w:jc w:val="center"/>
        </w:trPr>
        <w:tc>
          <w:tcPr>
            <w:tcW w:w="2506" w:type="dxa"/>
            <w:vMerge/>
          </w:tcPr>
          <w:p w14:paraId="6EE96913" w14:textId="77777777" w:rsidR="00FD1859" w:rsidRDefault="00FD1859" w:rsidP="003D41CE"/>
        </w:tc>
        <w:tc>
          <w:tcPr>
            <w:tcW w:w="4169" w:type="dxa"/>
            <w:vAlign w:val="center"/>
          </w:tcPr>
          <w:p w14:paraId="0B70DF8A" w14:textId="77777777" w:rsidR="00FD1859" w:rsidRDefault="00FD1859" w:rsidP="003D41CE">
            <w:r>
              <w:rPr>
                <w:rFonts w:cs="Arial"/>
                <w:lang w:val="en-US"/>
              </w:rPr>
              <w:t xml:space="preserve">Volume injected </w:t>
            </w:r>
            <w:r>
              <w:rPr>
                <w:rFonts w:cs="Arial"/>
                <w:i/>
                <w:iCs/>
                <w:lang w:val="en-US"/>
              </w:rPr>
              <w:t>(µL)</w:t>
            </w:r>
          </w:p>
        </w:tc>
        <w:tc>
          <w:tcPr>
            <w:tcW w:w="5876" w:type="dxa"/>
            <w:vAlign w:val="center"/>
          </w:tcPr>
          <w:p w14:paraId="043C5853" w14:textId="77777777" w:rsidR="00FD1859" w:rsidRDefault="00FD1859" w:rsidP="003D41CE">
            <w:r>
              <w:rPr>
                <w:rFonts w:cs="Arial"/>
                <w:lang w:val="nl-NL"/>
              </w:rPr>
              <w:t>20</w:t>
            </w:r>
          </w:p>
        </w:tc>
      </w:tr>
      <w:tr w:rsidR="00FD1859" w14:paraId="3FACCCC5" w14:textId="77777777" w:rsidTr="00680CE7">
        <w:trPr>
          <w:trHeight w:val="246"/>
          <w:jc w:val="center"/>
        </w:trPr>
        <w:tc>
          <w:tcPr>
            <w:tcW w:w="2506" w:type="dxa"/>
          </w:tcPr>
          <w:p w14:paraId="36CEE14A" w14:textId="77777777" w:rsidR="00FD1859" w:rsidRDefault="00FD1859" w:rsidP="003D41CE">
            <w:r>
              <w:t>Oven</w:t>
            </w:r>
          </w:p>
        </w:tc>
        <w:tc>
          <w:tcPr>
            <w:tcW w:w="4169" w:type="dxa"/>
            <w:vAlign w:val="center"/>
          </w:tcPr>
          <w:p w14:paraId="39A5B165" w14:textId="77777777" w:rsidR="00FD1859" w:rsidRDefault="00FD1859" w:rsidP="003D41CE">
            <w:r>
              <w:rPr>
                <w:rFonts w:cs="Arial"/>
                <w:lang w:val="nl-NL"/>
              </w:rPr>
              <w:t xml:space="preserve">Temperature </w:t>
            </w:r>
            <w:r>
              <w:rPr>
                <w:rFonts w:cs="Arial"/>
                <w:i/>
                <w:lang w:val="nl-NL"/>
              </w:rPr>
              <w:t>(°C)</w:t>
            </w:r>
          </w:p>
        </w:tc>
        <w:tc>
          <w:tcPr>
            <w:tcW w:w="5876" w:type="dxa"/>
            <w:vAlign w:val="center"/>
          </w:tcPr>
          <w:p w14:paraId="24933D8B" w14:textId="77777777" w:rsidR="00FD1859" w:rsidRDefault="00FD1859" w:rsidP="003D41CE">
            <w:r>
              <w:rPr>
                <w:rFonts w:cs="Arial"/>
                <w:lang w:val="nl-NL"/>
              </w:rPr>
              <w:t>15</w:t>
            </w:r>
          </w:p>
        </w:tc>
      </w:tr>
      <w:tr w:rsidR="00FD1859" w14:paraId="4FA273B0" w14:textId="77777777" w:rsidTr="00680CE7">
        <w:trPr>
          <w:trHeight w:val="246"/>
          <w:jc w:val="center"/>
        </w:trPr>
        <w:tc>
          <w:tcPr>
            <w:tcW w:w="6675" w:type="dxa"/>
            <w:gridSpan w:val="2"/>
          </w:tcPr>
          <w:p w14:paraId="63388226" w14:textId="77777777" w:rsidR="00FD1859" w:rsidRDefault="00FD1859" w:rsidP="003D41CE">
            <w:r>
              <w:t>Retention time (min)</w:t>
            </w:r>
          </w:p>
        </w:tc>
        <w:tc>
          <w:tcPr>
            <w:tcW w:w="5876" w:type="dxa"/>
          </w:tcPr>
          <w:p w14:paraId="09E5CAD1" w14:textId="77777777" w:rsidR="00FD1859" w:rsidRDefault="00FD1859" w:rsidP="003D41CE">
            <w:r>
              <w:t>About 6.1</w:t>
            </w:r>
          </w:p>
        </w:tc>
      </w:tr>
    </w:tbl>
    <w:p w14:paraId="263D16E2" w14:textId="77777777" w:rsidR="00FD1859" w:rsidRDefault="00FD1859" w:rsidP="00FD1859"/>
    <w:p w14:paraId="10A39DD1" w14:textId="77777777" w:rsidR="00FD1859" w:rsidRDefault="00FD1859" w:rsidP="00FD1859">
      <w:pPr>
        <w:rPr>
          <w:i/>
          <w:iCs/>
        </w:rPr>
      </w:pPr>
      <w:r>
        <w:rPr>
          <w:i/>
          <w:iCs/>
        </w:rPr>
        <w:t>Validation of the analytical method</w:t>
      </w:r>
    </w:p>
    <w:p w14:paraId="6FEA19DD" w14:textId="77777777" w:rsidR="00FD1859" w:rsidRPr="006B6683" w:rsidRDefault="00FD1859" w:rsidP="00FD1859"/>
    <w:tbl>
      <w:tblPr>
        <w:tblStyle w:val="TableNormal1"/>
        <w:tblW w:w="12622"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662"/>
        <w:gridCol w:w="10960"/>
      </w:tblGrid>
      <w:tr w:rsidR="00FD1859" w:rsidRPr="006B6683" w14:paraId="187DB38C" w14:textId="77777777" w:rsidTr="00680CE7">
        <w:trPr>
          <w:cantSplit/>
          <w:trHeight w:val="183"/>
          <w:jc w:val="center"/>
        </w:trPr>
        <w:tc>
          <w:tcPr>
            <w:tcW w:w="1662" w:type="dxa"/>
            <w:tcBorders>
              <w:top w:val="single" w:sz="6" w:space="0" w:color="auto"/>
              <w:left w:val="single" w:sz="6" w:space="0" w:color="auto"/>
              <w:right w:val="double" w:sz="4" w:space="0" w:color="auto"/>
            </w:tcBorders>
            <w:hideMark/>
          </w:tcPr>
          <w:p w14:paraId="02EF234F" w14:textId="77777777" w:rsidR="00FD1859" w:rsidRPr="00A41B49" w:rsidRDefault="00FD1859" w:rsidP="003D41CE">
            <w:pPr>
              <w:spacing w:line="288" w:lineRule="auto"/>
            </w:pPr>
            <w:r w:rsidRPr="00A41B49">
              <w:t>Linearity</w:t>
            </w:r>
          </w:p>
        </w:tc>
        <w:tc>
          <w:tcPr>
            <w:tcW w:w="10960" w:type="dxa"/>
            <w:tcBorders>
              <w:top w:val="single" w:sz="6" w:space="0" w:color="auto"/>
              <w:left w:val="double" w:sz="4" w:space="0" w:color="auto"/>
              <w:bottom w:val="single" w:sz="4" w:space="0" w:color="auto"/>
              <w:right w:val="single" w:sz="6" w:space="0" w:color="auto"/>
            </w:tcBorders>
          </w:tcPr>
          <w:p w14:paraId="2B2A3018" w14:textId="77777777" w:rsidR="00FD1859" w:rsidRDefault="00FD1859" w:rsidP="003D41CE">
            <w:pPr>
              <w:spacing w:line="288" w:lineRule="auto"/>
              <w:rPr>
                <w:lang w:val="en-US"/>
              </w:rPr>
            </w:pPr>
            <w:r>
              <w:rPr>
                <w:lang w:val="en-US"/>
              </w:rPr>
              <w:t>5 concentrations were analysed. Linearity was shown between 39.85 and 121.15 mg/L of L-(+)-lactic acid.</w:t>
            </w:r>
          </w:p>
          <w:p w14:paraId="0C83CA83" w14:textId="77777777" w:rsidR="00FD1859" w:rsidRPr="00634F50" w:rsidRDefault="00FD1859" w:rsidP="003D41CE">
            <w:pPr>
              <w:spacing w:line="288" w:lineRule="auto"/>
              <w:rPr>
                <w:lang w:val="it-IT"/>
              </w:rPr>
            </w:pPr>
            <w:r w:rsidRPr="00634F50">
              <w:rPr>
                <w:lang w:val="it-IT"/>
              </w:rPr>
              <w:t>Calibration curve: 4.40E+03 x C - 1.71E+03</w:t>
            </w:r>
          </w:p>
          <w:p w14:paraId="36FCBA23" w14:textId="77777777" w:rsidR="00FD1859" w:rsidRPr="006B6683" w:rsidRDefault="00FD1859" w:rsidP="003D41CE">
            <w:pPr>
              <w:spacing w:line="288" w:lineRule="auto"/>
              <w:rPr>
                <w:lang w:val="en-US"/>
              </w:rPr>
            </w:pPr>
            <w:r>
              <w:rPr>
                <w:lang w:val="en-US"/>
              </w:rPr>
              <w:t>r = 0.9998</w:t>
            </w:r>
          </w:p>
        </w:tc>
      </w:tr>
      <w:tr w:rsidR="00FD1859" w:rsidRPr="00A41B49" w14:paraId="202C22A6" w14:textId="77777777" w:rsidTr="00680CE7">
        <w:trPr>
          <w:cantSplit/>
          <w:trHeight w:val="1088"/>
          <w:jc w:val="center"/>
        </w:trPr>
        <w:tc>
          <w:tcPr>
            <w:tcW w:w="1662" w:type="dxa"/>
            <w:tcBorders>
              <w:top w:val="single" w:sz="6" w:space="0" w:color="auto"/>
              <w:left w:val="single" w:sz="6" w:space="0" w:color="auto"/>
              <w:bottom w:val="single" w:sz="6" w:space="0" w:color="auto"/>
              <w:right w:val="double" w:sz="4" w:space="0" w:color="auto"/>
            </w:tcBorders>
            <w:hideMark/>
          </w:tcPr>
          <w:p w14:paraId="295DCBBE" w14:textId="77777777" w:rsidR="00FD1859" w:rsidRPr="00A41B49" w:rsidRDefault="00FD1859" w:rsidP="003D41CE">
            <w:pPr>
              <w:spacing w:line="288" w:lineRule="auto"/>
            </w:pPr>
            <w:r w:rsidRPr="00A41B49">
              <w:t>Precision</w:t>
            </w:r>
          </w:p>
        </w:tc>
        <w:tc>
          <w:tcPr>
            <w:tcW w:w="10960" w:type="dxa"/>
            <w:tcBorders>
              <w:top w:val="single" w:sz="6" w:space="0" w:color="auto"/>
              <w:left w:val="double" w:sz="4" w:space="0" w:color="auto"/>
              <w:right w:val="single" w:sz="6" w:space="0" w:color="auto"/>
            </w:tcBorders>
          </w:tcPr>
          <w:p w14:paraId="0E5DEF40" w14:textId="77777777" w:rsidR="00FD1859" w:rsidRDefault="00FD1859" w:rsidP="003D41CE">
            <w:pPr>
              <w:spacing w:line="288" w:lineRule="auto"/>
              <w:rPr>
                <w:lang w:val="en-US"/>
              </w:rPr>
            </w:pPr>
            <w:r w:rsidRPr="009155D3">
              <w:rPr>
                <w:lang w:val="en-US"/>
              </w:rPr>
              <w:t>The precision was determined by analysing twice five test item solutions. The content</w:t>
            </w:r>
            <w:r>
              <w:rPr>
                <w:lang w:val="en-US"/>
              </w:rPr>
              <w:t xml:space="preserve"> </w:t>
            </w:r>
            <w:r w:rsidRPr="009155D3">
              <w:rPr>
                <w:lang w:val="en-US"/>
              </w:rPr>
              <w:t>of L-(+)-lactic acid for each analysis was calculated with the average value of the response</w:t>
            </w:r>
            <w:r>
              <w:rPr>
                <w:lang w:val="en-US"/>
              </w:rPr>
              <w:t xml:space="preserve"> </w:t>
            </w:r>
            <w:r w:rsidRPr="009155D3">
              <w:rPr>
                <w:lang w:val="en-US"/>
              </w:rPr>
              <w:t>factor of the two calibration solutions bracketing the test item. Then, the average value of the</w:t>
            </w:r>
            <w:r>
              <w:rPr>
                <w:lang w:val="en-US"/>
              </w:rPr>
              <w:t xml:space="preserve"> </w:t>
            </w:r>
            <w:r w:rsidRPr="009155D3">
              <w:rPr>
                <w:lang w:val="en-US"/>
              </w:rPr>
              <w:t>content, the standard deviation</w:t>
            </w:r>
            <w:r>
              <w:rPr>
                <w:lang w:val="en-US"/>
              </w:rPr>
              <w:t xml:space="preserve"> and</w:t>
            </w:r>
            <w:r w:rsidRPr="009155D3">
              <w:rPr>
                <w:lang w:val="en-US"/>
              </w:rPr>
              <w:t xml:space="preserve"> the Relative Standard Deviation (R.S.D.)</w:t>
            </w:r>
            <w:r>
              <w:rPr>
                <w:lang w:val="en-US"/>
              </w:rPr>
              <w:t xml:space="preserve"> were calculated.</w:t>
            </w:r>
          </w:p>
          <w:p w14:paraId="32B0A2E8" w14:textId="658F910B" w:rsidR="00FD1859" w:rsidRDefault="008D7B5E" w:rsidP="003D41CE">
            <w:pPr>
              <w:spacing w:line="288" w:lineRule="auto"/>
              <w:rPr>
                <w:lang w:val="en-US"/>
              </w:rPr>
            </w:pPr>
            <w:r>
              <w:rPr>
                <w:lang w:val="en-US"/>
              </w:rPr>
              <w:t>Mean = 0.072% w/w</w:t>
            </w:r>
          </w:p>
          <w:p w14:paraId="3D667F3D" w14:textId="77777777" w:rsidR="00FD1859" w:rsidRPr="00A41B49" w:rsidRDefault="00FD1859" w:rsidP="003D41CE">
            <w:pPr>
              <w:spacing w:line="288" w:lineRule="auto"/>
              <w:rPr>
                <w:lang w:val="en-US"/>
              </w:rPr>
            </w:pPr>
            <w:r>
              <w:rPr>
                <w:lang w:val="en-US"/>
              </w:rPr>
              <w:t>RSD = 1.08% &lt; Horwitz value = 3.98%</w:t>
            </w:r>
          </w:p>
        </w:tc>
      </w:tr>
      <w:tr w:rsidR="00FD1859" w:rsidRPr="00A41B49" w14:paraId="6EED8922" w14:textId="77777777" w:rsidTr="00680CE7">
        <w:trPr>
          <w:cantSplit/>
          <w:trHeight w:val="598"/>
          <w:jc w:val="center"/>
        </w:trPr>
        <w:tc>
          <w:tcPr>
            <w:tcW w:w="1662" w:type="dxa"/>
            <w:tcBorders>
              <w:top w:val="single" w:sz="6" w:space="0" w:color="auto"/>
              <w:left w:val="single" w:sz="6" w:space="0" w:color="auto"/>
              <w:bottom w:val="single" w:sz="6" w:space="0" w:color="auto"/>
              <w:right w:val="double" w:sz="4" w:space="0" w:color="auto"/>
            </w:tcBorders>
          </w:tcPr>
          <w:p w14:paraId="583A0BD3" w14:textId="77777777" w:rsidR="00FD1859" w:rsidRPr="00A41B49" w:rsidRDefault="00FD1859" w:rsidP="003D41CE">
            <w:pPr>
              <w:spacing w:line="288" w:lineRule="auto"/>
            </w:pPr>
            <w:r w:rsidRPr="00A41B49">
              <w:t>Specificity</w:t>
            </w:r>
          </w:p>
        </w:tc>
        <w:tc>
          <w:tcPr>
            <w:tcW w:w="10960" w:type="dxa"/>
            <w:tcBorders>
              <w:top w:val="single" w:sz="6" w:space="0" w:color="auto"/>
              <w:left w:val="double" w:sz="4" w:space="0" w:color="auto"/>
              <w:bottom w:val="single" w:sz="4" w:space="0" w:color="auto"/>
              <w:right w:val="single" w:sz="6" w:space="0" w:color="auto"/>
            </w:tcBorders>
          </w:tcPr>
          <w:p w14:paraId="45E48F78" w14:textId="77777777" w:rsidR="00FD1859" w:rsidRPr="00E97FED" w:rsidRDefault="00FD1859" w:rsidP="003D41CE">
            <w:pPr>
              <w:spacing w:line="288" w:lineRule="auto"/>
              <w:rPr>
                <w:lang w:val="en-US"/>
              </w:rPr>
            </w:pPr>
            <w:r w:rsidRPr="00E97FED">
              <w:rPr>
                <w:lang w:val="en-US"/>
              </w:rPr>
              <w:t>To define the specificity of the analytical method, the following solutions were</w:t>
            </w:r>
            <w:r>
              <w:rPr>
                <w:lang w:val="en-US"/>
              </w:rPr>
              <w:t xml:space="preserve"> </w:t>
            </w:r>
            <w:r w:rsidRPr="00E97FED">
              <w:rPr>
                <w:lang w:val="en-US"/>
              </w:rPr>
              <w:t>analysed:</w:t>
            </w:r>
          </w:p>
          <w:p w14:paraId="6C60C50F" w14:textId="77777777" w:rsidR="00FD1859" w:rsidRPr="00E97FED" w:rsidRDefault="00FD1859" w:rsidP="003D41CE">
            <w:pPr>
              <w:spacing w:line="288" w:lineRule="auto"/>
              <w:rPr>
                <w:lang w:val="en-US"/>
              </w:rPr>
            </w:pPr>
            <w:r w:rsidRPr="00E97FED">
              <w:rPr>
                <w:lang w:val="en-US"/>
              </w:rPr>
              <w:t>- Solvent blank</w:t>
            </w:r>
          </w:p>
          <w:p w14:paraId="5774C1D1" w14:textId="77777777" w:rsidR="00FD1859" w:rsidRPr="00E97FED" w:rsidRDefault="00FD1859" w:rsidP="003D41CE">
            <w:pPr>
              <w:spacing w:line="288" w:lineRule="auto"/>
              <w:rPr>
                <w:lang w:val="en-US"/>
              </w:rPr>
            </w:pPr>
            <w:r w:rsidRPr="00E97FED">
              <w:rPr>
                <w:lang w:val="en-US"/>
              </w:rPr>
              <w:t>- Formulation blank</w:t>
            </w:r>
          </w:p>
          <w:p w14:paraId="353C4206" w14:textId="77777777" w:rsidR="00FD1859" w:rsidRPr="00E97FED" w:rsidRDefault="00FD1859" w:rsidP="003D41CE">
            <w:pPr>
              <w:spacing w:line="288" w:lineRule="auto"/>
              <w:rPr>
                <w:lang w:val="en-US"/>
              </w:rPr>
            </w:pPr>
            <w:r w:rsidRPr="00E97FED">
              <w:rPr>
                <w:lang w:val="en-US"/>
              </w:rPr>
              <w:t>- Reference item</w:t>
            </w:r>
          </w:p>
          <w:p w14:paraId="63BDA483" w14:textId="77777777" w:rsidR="00FD1859" w:rsidRDefault="00FD1859" w:rsidP="003D41CE">
            <w:pPr>
              <w:spacing w:line="288" w:lineRule="auto"/>
              <w:rPr>
                <w:lang w:val="en-US"/>
              </w:rPr>
            </w:pPr>
            <w:r w:rsidRPr="00E97FED">
              <w:rPr>
                <w:lang w:val="en-US"/>
              </w:rPr>
              <w:t>- Test item</w:t>
            </w:r>
          </w:p>
          <w:p w14:paraId="7D5D289A" w14:textId="77777777" w:rsidR="00FD1859" w:rsidRPr="00E97FED" w:rsidRDefault="00FD1859" w:rsidP="003D41CE">
            <w:pPr>
              <w:spacing w:line="288" w:lineRule="auto"/>
              <w:rPr>
                <w:lang w:val="en-US"/>
              </w:rPr>
            </w:pPr>
            <w:r w:rsidRPr="00E97FED">
              <w:rPr>
                <w:lang w:val="en-US"/>
              </w:rPr>
              <w:t>No peak appears in the solvent blank and in the formulation blank near the peak of</w:t>
            </w:r>
            <w:r>
              <w:rPr>
                <w:lang w:val="en-US"/>
              </w:rPr>
              <w:t xml:space="preserve"> </w:t>
            </w:r>
            <w:r w:rsidRPr="00E97FED">
              <w:rPr>
                <w:lang w:val="en-US"/>
              </w:rPr>
              <w:t>L-(+)-lactic acid.</w:t>
            </w:r>
          </w:p>
          <w:p w14:paraId="79EB952D" w14:textId="77777777" w:rsidR="00FD1859" w:rsidRPr="00E97FED" w:rsidRDefault="00FD1859" w:rsidP="003D41CE">
            <w:pPr>
              <w:spacing w:line="288" w:lineRule="auto"/>
              <w:rPr>
                <w:lang w:val="en-US"/>
              </w:rPr>
            </w:pPr>
            <w:r w:rsidRPr="00E97FED">
              <w:rPr>
                <w:lang w:val="en-US"/>
              </w:rPr>
              <w:t>In the reference item and in the test item, the peak at the retention time at about</w:t>
            </w:r>
            <w:r>
              <w:rPr>
                <w:lang w:val="en-US"/>
              </w:rPr>
              <w:t xml:space="preserve"> </w:t>
            </w:r>
            <w:r w:rsidRPr="00E97FED">
              <w:rPr>
                <w:lang w:val="en-US"/>
              </w:rPr>
              <w:t>6.128 min represents L-(+)-lactic acid.</w:t>
            </w:r>
          </w:p>
          <w:p w14:paraId="5DC6DBA7" w14:textId="77777777" w:rsidR="00FD1859" w:rsidRDefault="00FD1859" w:rsidP="003D41CE">
            <w:pPr>
              <w:spacing w:line="288" w:lineRule="auto"/>
              <w:rPr>
                <w:lang w:val="en-US"/>
              </w:rPr>
            </w:pPr>
            <w:r w:rsidRPr="00E97FED">
              <w:rPr>
                <w:lang w:val="en-US"/>
              </w:rPr>
              <w:t>No additional peak appears in the reference item and in the test item near the peak of</w:t>
            </w:r>
            <w:r>
              <w:rPr>
                <w:lang w:val="en-US"/>
              </w:rPr>
              <w:t xml:space="preserve"> </w:t>
            </w:r>
            <w:r w:rsidRPr="00E97FED">
              <w:rPr>
                <w:lang w:val="en-US"/>
              </w:rPr>
              <w:t>L-(+)-lactic acid.</w:t>
            </w:r>
          </w:p>
          <w:p w14:paraId="30E57CB2" w14:textId="2FFBFB8E" w:rsidR="00FD1859" w:rsidRPr="00A41B49" w:rsidRDefault="008D7B5E" w:rsidP="003D41CE">
            <w:pPr>
              <w:spacing w:line="288" w:lineRule="auto"/>
              <w:rPr>
                <w:lang w:val="en-US"/>
              </w:rPr>
            </w:pPr>
            <w:r>
              <w:rPr>
                <w:lang w:val="en-US"/>
              </w:rPr>
              <w:t xml:space="preserve">Chromatograms were provided. </w:t>
            </w:r>
            <w:r w:rsidR="00FD1859" w:rsidRPr="00E97FED">
              <w:rPr>
                <w:lang w:val="en-US"/>
              </w:rPr>
              <w:t>The specificity is therefore defined.</w:t>
            </w:r>
          </w:p>
        </w:tc>
      </w:tr>
      <w:tr w:rsidR="00FD1859" w:rsidRPr="00A41B49" w14:paraId="209811C8" w14:textId="77777777" w:rsidTr="00680CE7">
        <w:trPr>
          <w:cantSplit/>
          <w:trHeight w:val="443"/>
          <w:jc w:val="center"/>
        </w:trPr>
        <w:tc>
          <w:tcPr>
            <w:tcW w:w="1662" w:type="dxa"/>
            <w:tcBorders>
              <w:top w:val="single" w:sz="6" w:space="0" w:color="auto"/>
              <w:left w:val="single" w:sz="6" w:space="0" w:color="auto"/>
              <w:bottom w:val="single" w:sz="6" w:space="0" w:color="auto"/>
              <w:right w:val="double" w:sz="4" w:space="0" w:color="auto"/>
            </w:tcBorders>
            <w:hideMark/>
          </w:tcPr>
          <w:p w14:paraId="29B2E0B4" w14:textId="77777777" w:rsidR="00FD1859" w:rsidRPr="00A41B49" w:rsidRDefault="00FD1859" w:rsidP="003D41CE">
            <w:pPr>
              <w:spacing w:line="288" w:lineRule="auto"/>
            </w:pPr>
            <w:r w:rsidRPr="00A41B49">
              <w:t>Accuracy</w:t>
            </w:r>
          </w:p>
        </w:tc>
        <w:tc>
          <w:tcPr>
            <w:tcW w:w="10960" w:type="dxa"/>
            <w:tcBorders>
              <w:top w:val="single" w:sz="6" w:space="0" w:color="auto"/>
              <w:left w:val="double" w:sz="4" w:space="0" w:color="auto"/>
              <w:right w:val="single" w:sz="6" w:space="0" w:color="auto"/>
            </w:tcBorders>
          </w:tcPr>
          <w:p w14:paraId="4E631CE7" w14:textId="77777777" w:rsidR="00FD1859" w:rsidRDefault="00FD1859" w:rsidP="003D41CE">
            <w:pPr>
              <w:spacing w:line="288" w:lineRule="auto"/>
              <w:rPr>
                <w:lang w:val="en-US"/>
              </w:rPr>
            </w:pPr>
            <w:r w:rsidRPr="00E97FED">
              <w:rPr>
                <w:lang w:val="en-US"/>
              </w:rPr>
              <w:t xml:space="preserve">The accuracy was determined by </w:t>
            </w:r>
            <w:r>
              <w:rPr>
                <w:lang w:val="en-US"/>
              </w:rPr>
              <w:t>analysis of</w:t>
            </w:r>
            <w:r w:rsidRPr="00E97FED">
              <w:rPr>
                <w:lang w:val="en-US"/>
              </w:rPr>
              <w:t xml:space="preserve"> two</w:t>
            </w:r>
            <w:r>
              <w:rPr>
                <w:lang w:val="en-US"/>
              </w:rPr>
              <w:t xml:space="preserve"> </w:t>
            </w:r>
            <w:r w:rsidRPr="00E97FED">
              <w:rPr>
                <w:lang w:val="en-US"/>
              </w:rPr>
              <w:t>reconstituted test items.</w:t>
            </w:r>
          </w:p>
          <w:p w14:paraId="4B5896A5" w14:textId="77777777" w:rsidR="00FD1859" w:rsidRPr="00A41B49" w:rsidRDefault="00FD1859" w:rsidP="003D41CE">
            <w:pPr>
              <w:spacing w:line="288" w:lineRule="auto"/>
              <w:rPr>
                <w:lang w:val="en-US"/>
              </w:rPr>
            </w:pPr>
            <w:r>
              <w:rPr>
                <w:lang w:val="en-US"/>
              </w:rPr>
              <w:t>Mean recovery = 98.0%.</w:t>
            </w:r>
          </w:p>
        </w:tc>
      </w:tr>
    </w:tbl>
    <w:p w14:paraId="665ABC15" w14:textId="77777777" w:rsidR="00FD1859" w:rsidRDefault="00FD1859" w:rsidP="00E353FD">
      <w:pPr>
        <w:spacing w:before="60" w:after="60"/>
        <w:rPr>
          <w:rFonts w:ascii="Arial" w:hAnsi="Arial" w:cs="Arial"/>
          <w:b/>
          <w:sz w:val="18"/>
        </w:rPr>
        <w:sectPr w:rsidR="00FD1859" w:rsidSect="00B72962">
          <w:pgSz w:w="16838" w:h="11906" w:orient="landscape"/>
          <w:pgMar w:top="1418" w:right="1021" w:bottom="709" w:left="1021" w:header="709" w:footer="709" w:gutter="0"/>
          <w:cols w:space="708"/>
          <w:docGrid w:linePitch="360"/>
        </w:sectPr>
      </w:pPr>
    </w:p>
    <w:p w14:paraId="0C359545" w14:textId="12655559" w:rsidR="00E353FD" w:rsidRPr="00A83816" w:rsidRDefault="00E353FD" w:rsidP="00E353FD">
      <w:pPr>
        <w:rPr>
          <w:b/>
        </w:rPr>
      </w:pPr>
      <w:r w:rsidRPr="00A83816">
        <w:rPr>
          <w:b/>
        </w:rPr>
        <w:lastRenderedPageBreak/>
        <w:t>Analytical methods for determining relevant components and/or residues</w:t>
      </w:r>
      <w:r w:rsidR="00FD1859">
        <w:rPr>
          <w:b/>
        </w:rPr>
        <w:t xml:space="preserve"> of iodine</w:t>
      </w:r>
      <w:r w:rsidRPr="00A83816">
        <w:rPr>
          <w:b/>
        </w:rPr>
        <w:t xml:space="preserve"> in different matrices</w:t>
      </w:r>
    </w:p>
    <w:p w14:paraId="7EAC23BF" w14:textId="77777777" w:rsidR="00E353FD" w:rsidRDefault="00E353FD" w:rsidP="00E353FD"/>
    <w:p w14:paraId="2CE4529F" w14:textId="77777777" w:rsidR="00E353FD" w:rsidRPr="00A41B49" w:rsidRDefault="00E353FD" w:rsidP="00E353FD"/>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5"/>
        <w:gridCol w:w="1156"/>
        <w:gridCol w:w="1172"/>
        <w:gridCol w:w="1412"/>
        <w:gridCol w:w="1183"/>
        <w:gridCol w:w="940"/>
        <w:gridCol w:w="962"/>
        <w:gridCol w:w="714"/>
        <w:gridCol w:w="842"/>
        <w:gridCol w:w="1194"/>
        <w:gridCol w:w="861"/>
        <w:gridCol w:w="1172"/>
        <w:gridCol w:w="898"/>
      </w:tblGrid>
      <w:tr w:rsidR="00E353FD" w:rsidRPr="00A41B49" w14:paraId="5FC2CE56" w14:textId="77777777" w:rsidTr="00680CE7">
        <w:trPr>
          <w:tblHeader/>
        </w:trPr>
        <w:tc>
          <w:tcPr>
            <w:tcW w:w="306" w:type="pct"/>
            <w:vMerge w:val="restart"/>
            <w:vAlign w:val="center"/>
          </w:tcPr>
          <w:p w14:paraId="4E425788" w14:textId="77777777" w:rsidR="00E353FD" w:rsidRPr="00A41B49" w:rsidRDefault="00E353FD" w:rsidP="00E353FD">
            <w:pPr>
              <w:jc w:val="center"/>
              <w:rPr>
                <w:b/>
                <w:sz w:val="18"/>
                <w:szCs w:val="18"/>
              </w:rPr>
            </w:pPr>
            <w:r w:rsidRPr="00A41B49">
              <w:rPr>
                <w:b/>
                <w:sz w:val="18"/>
                <w:szCs w:val="18"/>
              </w:rPr>
              <w:t>Matrix</w:t>
            </w:r>
          </w:p>
        </w:tc>
        <w:tc>
          <w:tcPr>
            <w:tcW w:w="434" w:type="pct"/>
            <w:vMerge w:val="restart"/>
            <w:vAlign w:val="center"/>
          </w:tcPr>
          <w:p w14:paraId="6224D7F8" w14:textId="77777777" w:rsidR="00E353FD" w:rsidRPr="002A7269" w:rsidRDefault="00E353FD" w:rsidP="00E353FD">
            <w:pPr>
              <w:pStyle w:val="En-tte"/>
              <w:tabs>
                <w:tab w:val="clear" w:pos="9072"/>
              </w:tabs>
              <w:ind w:right="-70"/>
              <w:jc w:val="center"/>
              <w:rPr>
                <w:rFonts w:ascii="Verdana" w:hAnsi="Verdana"/>
                <w:b/>
                <w:sz w:val="18"/>
                <w:szCs w:val="18"/>
                <w:lang w:val="en-GB"/>
              </w:rPr>
            </w:pPr>
            <w:r w:rsidRPr="002A7269">
              <w:rPr>
                <w:rFonts w:ascii="Verdana" w:hAnsi="Verdana"/>
                <w:b/>
                <w:sz w:val="18"/>
                <w:szCs w:val="18"/>
                <w:lang w:val="en-GB"/>
              </w:rPr>
              <w:t>Test substance</w:t>
            </w:r>
          </w:p>
        </w:tc>
        <w:tc>
          <w:tcPr>
            <w:tcW w:w="440" w:type="pct"/>
            <w:vMerge w:val="restart"/>
            <w:vAlign w:val="center"/>
          </w:tcPr>
          <w:p w14:paraId="3A7E1D96" w14:textId="77777777" w:rsidR="00E353FD" w:rsidRPr="00A41B49" w:rsidRDefault="00E353FD" w:rsidP="00E353FD">
            <w:pPr>
              <w:pStyle w:val="Pieddepage"/>
              <w:ind w:right="-70"/>
              <w:jc w:val="center"/>
              <w:rPr>
                <w:rFonts w:ascii="Verdana" w:hAnsi="Verdana"/>
                <w:b/>
                <w:i/>
                <w:sz w:val="18"/>
                <w:szCs w:val="18"/>
              </w:rPr>
            </w:pPr>
            <w:r w:rsidRPr="00A41B49">
              <w:rPr>
                <w:rFonts w:ascii="Verdana" w:hAnsi="Verdana"/>
                <w:b/>
                <w:sz w:val="18"/>
                <w:szCs w:val="18"/>
              </w:rPr>
              <w:t>Analytical method</w:t>
            </w:r>
          </w:p>
        </w:tc>
        <w:tc>
          <w:tcPr>
            <w:tcW w:w="530" w:type="pct"/>
            <w:vMerge w:val="restart"/>
            <w:vAlign w:val="center"/>
          </w:tcPr>
          <w:p w14:paraId="1341CAD4" w14:textId="77777777" w:rsidR="00E353FD" w:rsidRPr="00A41B49" w:rsidRDefault="00E353FD" w:rsidP="00E353FD">
            <w:pPr>
              <w:pStyle w:val="En-tte"/>
              <w:tabs>
                <w:tab w:val="clear" w:pos="9072"/>
              </w:tabs>
              <w:jc w:val="center"/>
              <w:rPr>
                <w:rFonts w:ascii="Verdana" w:hAnsi="Verdana"/>
                <w:b/>
                <w:sz w:val="18"/>
                <w:szCs w:val="18"/>
                <w:lang w:val="en-GB"/>
              </w:rPr>
            </w:pPr>
            <w:r w:rsidRPr="00A41B49">
              <w:rPr>
                <w:rFonts w:ascii="Verdana" w:hAnsi="Verdana"/>
                <w:b/>
                <w:sz w:val="18"/>
                <w:szCs w:val="18"/>
                <w:lang w:val="en-GB"/>
              </w:rPr>
              <w:t>Fortification range / Number of measurements</w:t>
            </w:r>
          </w:p>
        </w:tc>
        <w:tc>
          <w:tcPr>
            <w:tcW w:w="444" w:type="pct"/>
            <w:vMerge w:val="restart"/>
            <w:vAlign w:val="center"/>
          </w:tcPr>
          <w:p w14:paraId="5E0ED77E" w14:textId="77777777" w:rsidR="00E353FD" w:rsidRPr="00A41B49" w:rsidRDefault="00E353FD" w:rsidP="00E353FD">
            <w:pPr>
              <w:pStyle w:val="En-tte"/>
              <w:tabs>
                <w:tab w:val="clear" w:pos="9072"/>
              </w:tabs>
              <w:jc w:val="center"/>
              <w:rPr>
                <w:rFonts w:ascii="Verdana" w:hAnsi="Verdana"/>
                <w:b/>
                <w:sz w:val="18"/>
                <w:szCs w:val="18"/>
                <w:lang w:val="en-GB"/>
              </w:rPr>
            </w:pPr>
            <w:r w:rsidRPr="00A41B49">
              <w:rPr>
                <w:rFonts w:ascii="Verdana" w:hAnsi="Verdana"/>
                <w:b/>
                <w:sz w:val="18"/>
                <w:szCs w:val="18"/>
                <w:lang w:val="en-GB"/>
              </w:rPr>
              <w:t>Linearity</w:t>
            </w:r>
          </w:p>
        </w:tc>
        <w:tc>
          <w:tcPr>
            <w:tcW w:w="353" w:type="pct"/>
            <w:vMerge w:val="restart"/>
            <w:vAlign w:val="center"/>
          </w:tcPr>
          <w:p w14:paraId="7A6DEA9D" w14:textId="77777777" w:rsidR="00E353FD" w:rsidRPr="00A41B49" w:rsidRDefault="00E353FD" w:rsidP="00E353FD">
            <w:pPr>
              <w:pStyle w:val="En-tte"/>
              <w:tabs>
                <w:tab w:val="clear" w:pos="9072"/>
              </w:tabs>
              <w:jc w:val="center"/>
              <w:rPr>
                <w:rFonts w:ascii="Verdana" w:hAnsi="Verdana"/>
                <w:b/>
                <w:sz w:val="18"/>
                <w:szCs w:val="18"/>
                <w:lang w:val="en-GB"/>
              </w:rPr>
            </w:pPr>
            <w:r w:rsidRPr="00A41B49">
              <w:rPr>
                <w:rFonts w:ascii="Verdana" w:hAnsi="Verdana"/>
                <w:b/>
                <w:sz w:val="18"/>
                <w:szCs w:val="18"/>
                <w:lang w:val="en-GB"/>
              </w:rPr>
              <w:t>Specificity</w:t>
            </w:r>
          </w:p>
        </w:tc>
        <w:tc>
          <w:tcPr>
            <w:tcW w:w="945" w:type="pct"/>
            <w:gridSpan w:val="3"/>
            <w:vAlign w:val="center"/>
          </w:tcPr>
          <w:p w14:paraId="65CE942D" w14:textId="77777777" w:rsidR="00E353FD" w:rsidRPr="00A41B49" w:rsidRDefault="00E353FD" w:rsidP="00E353FD">
            <w:pPr>
              <w:pStyle w:val="Tabellenformat"/>
              <w:spacing w:before="0" w:after="0"/>
              <w:jc w:val="center"/>
              <w:rPr>
                <w:b/>
                <w:sz w:val="18"/>
                <w:szCs w:val="18"/>
              </w:rPr>
            </w:pPr>
            <w:r w:rsidRPr="00A41B49">
              <w:rPr>
                <w:b/>
                <w:sz w:val="18"/>
                <w:szCs w:val="18"/>
              </w:rPr>
              <w:t>Recovery rate (%)</w:t>
            </w:r>
          </w:p>
        </w:tc>
        <w:tc>
          <w:tcPr>
            <w:tcW w:w="448" w:type="pct"/>
            <w:vMerge w:val="restart"/>
            <w:vAlign w:val="center"/>
          </w:tcPr>
          <w:p w14:paraId="41176807" w14:textId="77777777" w:rsidR="00E353FD" w:rsidRPr="00A41B49" w:rsidRDefault="00E353FD" w:rsidP="00E353FD">
            <w:pPr>
              <w:pStyle w:val="Tabellenformat"/>
              <w:spacing w:before="0" w:after="0"/>
              <w:jc w:val="center"/>
              <w:rPr>
                <w:b/>
                <w:sz w:val="18"/>
                <w:szCs w:val="18"/>
              </w:rPr>
            </w:pPr>
            <w:r w:rsidRPr="00A41B49">
              <w:rPr>
                <w:b/>
                <w:sz w:val="18"/>
                <w:szCs w:val="18"/>
              </w:rPr>
              <w:t>Limit of quantification / detection (LOQ / LOD)</w:t>
            </w:r>
          </w:p>
        </w:tc>
        <w:tc>
          <w:tcPr>
            <w:tcW w:w="323" w:type="pct"/>
            <w:vMerge w:val="restart"/>
            <w:vAlign w:val="center"/>
          </w:tcPr>
          <w:p w14:paraId="39FE9AAD" w14:textId="77777777" w:rsidR="00E353FD" w:rsidRPr="00A41B49" w:rsidRDefault="00E353FD" w:rsidP="00E353FD">
            <w:pPr>
              <w:pStyle w:val="Tabellenformat"/>
              <w:spacing w:before="0" w:after="0"/>
              <w:jc w:val="center"/>
              <w:rPr>
                <w:b/>
                <w:sz w:val="18"/>
                <w:szCs w:val="18"/>
              </w:rPr>
            </w:pPr>
            <w:r w:rsidRPr="00A41B49">
              <w:rPr>
                <w:b/>
                <w:sz w:val="18"/>
                <w:szCs w:val="18"/>
              </w:rPr>
              <w:t>LOQ required</w:t>
            </w:r>
          </w:p>
        </w:tc>
        <w:tc>
          <w:tcPr>
            <w:tcW w:w="440" w:type="pct"/>
            <w:vMerge w:val="restart"/>
            <w:vAlign w:val="center"/>
          </w:tcPr>
          <w:p w14:paraId="7780B948" w14:textId="77777777" w:rsidR="00E353FD" w:rsidRPr="00A41B49" w:rsidRDefault="00E353FD" w:rsidP="00E353FD">
            <w:pPr>
              <w:pStyle w:val="Tabellenformat"/>
              <w:spacing w:before="0" w:after="0"/>
              <w:jc w:val="center"/>
              <w:rPr>
                <w:b/>
                <w:sz w:val="18"/>
                <w:szCs w:val="18"/>
              </w:rPr>
            </w:pPr>
            <w:r w:rsidRPr="00A41B49">
              <w:rPr>
                <w:b/>
                <w:sz w:val="18"/>
                <w:szCs w:val="18"/>
              </w:rPr>
              <w:t>Acceptance</w:t>
            </w:r>
          </w:p>
        </w:tc>
        <w:tc>
          <w:tcPr>
            <w:tcW w:w="337" w:type="pct"/>
            <w:vMerge w:val="restart"/>
            <w:vAlign w:val="center"/>
          </w:tcPr>
          <w:p w14:paraId="20510894" w14:textId="77777777" w:rsidR="00E353FD" w:rsidRPr="00A41B49" w:rsidRDefault="00E353FD" w:rsidP="00E353FD">
            <w:pPr>
              <w:pStyle w:val="Tabellenformat"/>
              <w:spacing w:before="0" w:after="0"/>
              <w:jc w:val="center"/>
              <w:rPr>
                <w:b/>
                <w:sz w:val="18"/>
                <w:szCs w:val="18"/>
              </w:rPr>
            </w:pPr>
            <w:r w:rsidRPr="00A41B49">
              <w:rPr>
                <w:b/>
                <w:sz w:val="18"/>
                <w:szCs w:val="18"/>
              </w:rPr>
              <w:t>Reference</w:t>
            </w:r>
          </w:p>
        </w:tc>
      </w:tr>
      <w:tr w:rsidR="00E353FD" w:rsidRPr="00A41B49" w14:paraId="06DD7FFB" w14:textId="77777777" w:rsidTr="00680CE7">
        <w:trPr>
          <w:tblHeader/>
        </w:trPr>
        <w:tc>
          <w:tcPr>
            <w:tcW w:w="306" w:type="pct"/>
            <w:vMerge/>
            <w:vAlign w:val="center"/>
          </w:tcPr>
          <w:p w14:paraId="4F729867" w14:textId="77777777" w:rsidR="00E353FD" w:rsidRPr="00A41B49" w:rsidRDefault="00E353FD" w:rsidP="00E353FD">
            <w:pPr>
              <w:spacing w:before="60" w:after="60"/>
              <w:jc w:val="center"/>
              <w:rPr>
                <w:i/>
                <w:sz w:val="18"/>
                <w:szCs w:val="18"/>
              </w:rPr>
            </w:pPr>
          </w:p>
        </w:tc>
        <w:tc>
          <w:tcPr>
            <w:tcW w:w="434" w:type="pct"/>
            <w:vMerge/>
            <w:vAlign w:val="center"/>
          </w:tcPr>
          <w:p w14:paraId="7A4D751E" w14:textId="77777777" w:rsidR="00E353FD" w:rsidRPr="00A41B49" w:rsidRDefault="00E353FD" w:rsidP="00E353FD">
            <w:pPr>
              <w:spacing w:before="60" w:after="60"/>
              <w:jc w:val="center"/>
              <w:rPr>
                <w:i/>
                <w:sz w:val="18"/>
                <w:szCs w:val="18"/>
              </w:rPr>
            </w:pPr>
          </w:p>
        </w:tc>
        <w:tc>
          <w:tcPr>
            <w:tcW w:w="440" w:type="pct"/>
            <w:vMerge/>
            <w:vAlign w:val="center"/>
          </w:tcPr>
          <w:p w14:paraId="0892E79A" w14:textId="77777777" w:rsidR="00E353FD" w:rsidRPr="00A41B49" w:rsidRDefault="00E353FD" w:rsidP="00E353FD">
            <w:pPr>
              <w:pStyle w:val="Standard-italics"/>
              <w:keepNext w:val="0"/>
              <w:jc w:val="center"/>
              <w:rPr>
                <w:i w:val="0"/>
                <w:sz w:val="18"/>
                <w:szCs w:val="18"/>
              </w:rPr>
            </w:pPr>
          </w:p>
        </w:tc>
        <w:tc>
          <w:tcPr>
            <w:tcW w:w="530" w:type="pct"/>
            <w:vMerge/>
            <w:vAlign w:val="center"/>
          </w:tcPr>
          <w:p w14:paraId="06CBC169" w14:textId="77777777" w:rsidR="00E353FD" w:rsidRPr="00A41B49" w:rsidRDefault="00E353FD" w:rsidP="00E353FD">
            <w:pPr>
              <w:spacing w:before="60" w:after="60"/>
              <w:jc w:val="center"/>
              <w:rPr>
                <w:sz w:val="18"/>
                <w:szCs w:val="18"/>
              </w:rPr>
            </w:pPr>
          </w:p>
        </w:tc>
        <w:tc>
          <w:tcPr>
            <w:tcW w:w="444" w:type="pct"/>
            <w:vMerge/>
            <w:vAlign w:val="center"/>
          </w:tcPr>
          <w:p w14:paraId="51C7910A" w14:textId="77777777" w:rsidR="00E353FD" w:rsidRPr="00A41B49" w:rsidRDefault="00E353FD" w:rsidP="00E353FD">
            <w:pPr>
              <w:spacing w:before="60" w:after="60"/>
              <w:jc w:val="center"/>
              <w:rPr>
                <w:sz w:val="18"/>
                <w:szCs w:val="18"/>
              </w:rPr>
            </w:pPr>
          </w:p>
        </w:tc>
        <w:tc>
          <w:tcPr>
            <w:tcW w:w="353" w:type="pct"/>
            <w:vMerge/>
            <w:vAlign w:val="center"/>
          </w:tcPr>
          <w:p w14:paraId="701419CD" w14:textId="77777777" w:rsidR="00E353FD" w:rsidRPr="00A41B49" w:rsidRDefault="00E353FD" w:rsidP="00E353FD">
            <w:pPr>
              <w:spacing w:before="60" w:after="60"/>
              <w:jc w:val="center"/>
              <w:rPr>
                <w:sz w:val="18"/>
                <w:szCs w:val="18"/>
              </w:rPr>
            </w:pPr>
          </w:p>
        </w:tc>
        <w:tc>
          <w:tcPr>
            <w:tcW w:w="361" w:type="pct"/>
            <w:vAlign w:val="center"/>
          </w:tcPr>
          <w:p w14:paraId="4E2EC043" w14:textId="77777777" w:rsidR="00E353FD" w:rsidRPr="00A41B49" w:rsidRDefault="00E353FD" w:rsidP="00E353FD">
            <w:pPr>
              <w:spacing w:before="60" w:after="60"/>
              <w:jc w:val="center"/>
              <w:rPr>
                <w:sz w:val="18"/>
                <w:szCs w:val="18"/>
              </w:rPr>
            </w:pPr>
            <w:r w:rsidRPr="00A41B49">
              <w:rPr>
                <w:sz w:val="18"/>
                <w:szCs w:val="18"/>
              </w:rPr>
              <w:t>Range</w:t>
            </w:r>
          </w:p>
        </w:tc>
        <w:tc>
          <w:tcPr>
            <w:tcW w:w="268" w:type="pct"/>
            <w:vAlign w:val="center"/>
          </w:tcPr>
          <w:p w14:paraId="7292AEAB" w14:textId="77777777" w:rsidR="00E353FD" w:rsidRPr="00A41B49" w:rsidRDefault="00E353FD" w:rsidP="00E353FD">
            <w:pPr>
              <w:spacing w:before="60" w:after="60"/>
              <w:jc w:val="center"/>
              <w:rPr>
                <w:sz w:val="18"/>
                <w:szCs w:val="18"/>
              </w:rPr>
            </w:pPr>
            <w:r w:rsidRPr="00A41B49">
              <w:rPr>
                <w:sz w:val="18"/>
                <w:szCs w:val="18"/>
              </w:rPr>
              <w:t>Mean</w:t>
            </w:r>
          </w:p>
        </w:tc>
        <w:tc>
          <w:tcPr>
            <w:tcW w:w="316" w:type="pct"/>
            <w:vAlign w:val="center"/>
          </w:tcPr>
          <w:p w14:paraId="0043B848" w14:textId="77777777" w:rsidR="00E353FD" w:rsidRPr="00A41B49" w:rsidRDefault="00E353FD" w:rsidP="00E353FD">
            <w:pPr>
              <w:spacing w:before="60" w:after="60"/>
              <w:jc w:val="center"/>
              <w:rPr>
                <w:sz w:val="18"/>
                <w:szCs w:val="18"/>
              </w:rPr>
            </w:pPr>
            <w:r w:rsidRPr="00A41B49">
              <w:rPr>
                <w:sz w:val="18"/>
                <w:szCs w:val="18"/>
              </w:rPr>
              <w:t>St. dev.</w:t>
            </w:r>
          </w:p>
        </w:tc>
        <w:tc>
          <w:tcPr>
            <w:tcW w:w="448" w:type="pct"/>
            <w:vMerge/>
            <w:vAlign w:val="center"/>
          </w:tcPr>
          <w:p w14:paraId="410153D5" w14:textId="77777777" w:rsidR="00E353FD" w:rsidRPr="00A41B49" w:rsidRDefault="00E353FD" w:rsidP="00E353FD">
            <w:pPr>
              <w:spacing w:before="60" w:after="60"/>
              <w:jc w:val="center"/>
              <w:rPr>
                <w:sz w:val="18"/>
                <w:szCs w:val="18"/>
              </w:rPr>
            </w:pPr>
          </w:p>
        </w:tc>
        <w:tc>
          <w:tcPr>
            <w:tcW w:w="323" w:type="pct"/>
            <w:vMerge/>
          </w:tcPr>
          <w:p w14:paraId="6AF9FCA0" w14:textId="77777777" w:rsidR="00E353FD" w:rsidRPr="00A41B49" w:rsidRDefault="00E353FD" w:rsidP="00E353FD">
            <w:pPr>
              <w:spacing w:before="60" w:after="60"/>
              <w:jc w:val="center"/>
              <w:rPr>
                <w:sz w:val="18"/>
                <w:szCs w:val="18"/>
              </w:rPr>
            </w:pPr>
          </w:p>
        </w:tc>
        <w:tc>
          <w:tcPr>
            <w:tcW w:w="440" w:type="pct"/>
            <w:vMerge/>
          </w:tcPr>
          <w:p w14:paraId="135D8415" w14:textId="77777777" w:rsidR="00E353FD" w:rsidRPr="00A41B49" w:rsidRDefault="00E353FD" w:rsidP="00E353FD">
            <w:pPr>
              <w:spacing w:before="60" w:after="60"/>
              <w:jc w:val="center"/>
              <w:rPr>
                <w:sz w:val="18"/>
                <w:szCs w:val="18"/>
              </w:rPr>
            </w:pPr>
          </w:p>
        </w:tc>
        <w:tc>
          <w:tcPr>
            <w:tcW w:w="337" w:type="pct"/>
            <w:vMerge/>
            <w:vAlign w:val="center"/>
          </w:tcPr>
          <w:p w14:paraId="05A0DA25" w14:textId="77777777" w:rsidR="00E353FD" w:rsidRPr="00A41B49" w:rsidRDefault="00E353FD" w:rsidP="00E353FD">
            <w:pPr>
              <w:spacing w:before="60" w:after="60"/>
              <w:jc w:val="center"/>
              <w:rPr>
                <w:sz w:val="18"/>
                <w:szCs w:val="18"/>
              </w:rPr>
            </w:pPr>
          </w:p>
        </w:tc>
      </w:tr>
      <w:tr w:rsidR="00E353FD" w:rsidRPr="00A41B49" w14:paraId="0216283D" w14:textId="77777777" w:rsidTr="00680CE7">
        <w:tc>
          <w:tcPr>
            <w:tcW w:w="306" w:type="pct"/>
            <w:vMerge w:val="restart"/>
            <w:vAlign w:val="center"/>
          </w:tcPr>
          <w:p w14:paraId="7A837F0C" w14:textId="77777777" w:rsidR="00E353FD" w:rsidRPr="00A41B49" w:rsidRDefault="00E353FD" w:rsidP="00E353FD">
            <w:pPr>
              <w:spacing w:before="60" w:after="60"/>
              <w:jc w:val="center"/>
              <w:rPr>
                <w:sz w:val="18"/>
                <w:szCs w:val="18"/>
              </w:rPr>
            </w:pPr>
            <w:r w:rsidRPr="00A41B49">
              <w:rPr>
                <w:sz w:val="18"/>
                <w:szCs w:val="18"/>
              </w:rPr>
              <w:t>Soil</w:t>
            </w:r>
          </w:p>
        </w:tc>
        <w:tc>
          <w:tcPr>
            <w:tcW w:w="434" w:type="pct"/>
            <w:vAlign w:val="center"/>
          </w:tcPr>
          <w:p w14:paraId="21ADD869" w14:textId="77777777" w:rsidR="00E353FD" w:rsidRPr="00A41B49" w:rsidRDefault="00E353FD" w:rsidP="00E353FD">
            <w:pPr>
              <w:spacing w:before="60" w:after="60"/>
              <w:ind w:left="-70" w:right="-70"/>
              <w:jc w:val="center"/>
              <w:rPr>
                <w:sz w:val="18"/>
                <w:szCs w:val="18"/>
              </w:rPr>
            </w:pPr>
            <w:r w:rsidRPr="00A41B49">
              <w:rPr>
                <w:sz w:val="18"/>
                <w:szCs w:val="18"/>
              </w:rPr>
              <w:t>iodide and iodate are determined as a sum value, which is reported as iodine equivalents</w:t>
            </w:r>
          </w:p>
        </w:tc>
        <w:tc>
          <w:tcPr>
            <w:tcW w:w="440" w:type="pct"/>
            <w:vAlign w:val="center"/>
          </w:tcPr>
          <w:p w14:paraId="25540119" w14:textId="77777777" w:rsidR="00E353FD" w:rsidRPr="00A41B49" w:rsidRDefault="00E353FD" w:rsidP="00E353FD">
            <w:pPr>
              <w:pStyle w:val="Standard-italics"/>
              <w:keepNext w:val="0"/>
              <w:jc w:val="center"/>
              <w:rPr>
                <w:i w:val="0"/>
                <w:sz w:val="18"/>
                <w:szCs w:val="18"/>
              </w:rPr>
            </w:pPr>
            <w:r w:rsidRPr="00A41B49">
              <w:rPr>
                <w:i w:val="0"/>
                <w:sz w:val="18"/>
                <w:szCs w:val="18"/>
              </w:rPr>
              <w:t>ICP-MS</w:t>
            </w:r>
          </w:p>
        </w:tc>
        <w:tc>
          <w:tcPr>
            <w:tcW w:w="530" w:type="pct"/>
            <w:vAlign w:val="center"/>
          </w:tcPr>
          <w:p w14:paraId="22BAE477" w14:textId="77777777" w:rsidR="00E353FD" w:rsidRPr="00A41B49" w:rsidRDefault="00E353FD" w:rsidP="00E353FD">
            <w:pPr>
              <w:spacing w:before="60" w:after="60"/>
              <w:jc w:val="center"/>
              <w:rPr>
                <w:sz w:val="18"/>
                <w:szCs w:val="18"/>
              </w:rPr>
            </w:pPr>
            <w:r w:rsidRPr="00A41B49">
              <w:rPr>
                <w:sz w:val="18"/>
                <w:szCs w:val="18"/>
              </w:rPr>
              <w:t>Not reported</w:t>
            </w:r>
          </w:p>
        </w:tc>
        <w:tc>
          <w:tcPr>
            <w:tcW w:w="444" w:type="pct"/>
            <w:vAlign w:val="center"/>
          </w:tcPr>
          <w:p w14:paraId="76DB6E89" w14:textId="77777777" w:rsidR="00E353FD" w:rsidRPr="00A41B49" w:rsidRDefault="00E353FD" w:rsidP="00E353FD">
            <w:pPr>
              <w:spacing w:before="60" w:after="60"/>
              <w:jc w:val="center"/>
              <w:rPr>
                <w:sz w:val="18"/>
                <w:szCs w:val="18"/>
              </w:rPr>
            </w:pPr>
            <w:r w:rsidRPr="00A41B49">
              <w:rPr>
                <w:sz w:val="18"/>
                <w:szCs w:val="18"/>
              </w:rPr>
              <w:t>200 – 500 µg/L</w:t>
            </w:r>
          </w:p>
        </w:tc>
        <w:tc>
          <w:tcPr>
            <w:tcW w:w="353" w:type="pct"/>
            <w:vAlign w:val="center"/>
          </w:tcPr>
          <w:p w14:paraId="5B2C7EA5" w14:textId="77777777" w:rsidR="00E353FD" w:rsidRPr="00A41B49" w:rsidRDefault="00E353FD" w:rsidP="00E353FD">
            <w:pPr>
              <w:spacing w:before="60" w:after="60"/>
              <w:jc w:val="center"/>
              <w:rPr>
                <w:sz w:val="18"/>
                <w:szCs w:val="18"/>
              </w:rPr>
            </w:pPr>
            <w:r w:rsidRPr="00A41B49">
              <w:rPr>
                <w:sz w:val="18"/>
                <w:szCs w:val="18"/>
              </w:rPr>
              <w:t>Yes</w:t>
            </w:r>
          </w:p>
        </w:tc>
        <w:tc>
          <w:tcPr>
            <w:tcW w:w="945" w:type="pct"/>
            <w:gridSpan w:val="3"/>
            <w:vAlign w:val="center"/>
          </w:tcPr>
          <w:p w14:paraId="550369F7" w14:textId="77777777" w:rsidR="00E353FD" w:rsidRPr="00A41B49" w:rsidRDefault="00E353FD" w:rsidP="00E353FD">
            <w:pPr>
              <w:spacing w:before="60" w:after="60"/>
              <w:jc w:val="center"/>
              <w:rPr>
                <w:sz w:val="18"/>
                <w:szCs w:val="18"/>
              </w:rPr>
            </w:pPr>
            <w:r w:rsidRPr="00A41B49">
              <w:rPr>
                <w:sz w:val="18"/>
                <w:szCs w:val="18"/>
              </w:rPr>
              <w:t>Not reported</w:t>
            </w:r>
          </w:p>
        </w:tc>
        <w:tc>
          <w:tcPr>
            <w:tcW w:w="448" w:type="pct"/>
            <w:vAlign w:val="center"/>
          </w:tcPr>
          <w:p w14:paraId="7F050364" w14:textId="77777777" w:rsidR="00E353FD" w:rsidRPr="00A41B49" w:rsidRDefault="00E353FD" w:rsidP="00E353FD">
            <w:pPr>
              <w:spacing w:before="60" w:after="60"/>
              <w:jc w:val="center"/>
              <w:rPr>
                <w:sz w:val="18"/>
                <w:szCs w:val="18"/>
              </w:rPr>
            </w:pPr>
            <w:r w:rsidRPr="00A41B49">
              <w:rPr>
                <w:sz w:val="18"/>
                <w:szCs w:val="18"/>
              </w:rPr>
              <w:t xml:space="preserve">Quoted LOD = 0.01µg I /L (relates to the water extract of the soil) </w:t>
            </w:r>
          </w:p>
        </w:tc>
        <w:tc>
          <w:tcPr>
            <w:tcW w:w="323" w:type="pct"/>
          </w:tcPr>
          <w:p w14:paraId="7E600B49" w14:textId="77777777" w:rsidR="00E353FD" w:rsidRPr="00A41B49" w:rsidRDefault="00E353FD" w:rsidP="00E353FD">
            <w:pPr>
              <w:spacing w:before="60" w:after="60"/>
              <w:jc w:val="center"/>
              <w:rPr>
                <w:sz w:val="18"/>
                <w:szCs w:val="18"/>
                <w:lang w:val="it-IT"/>
              </w:rPr>
            </w:pPr>
            <w:r w:rsidRPr="00A41B49">
              <w:rPr>
                <w:sz w:val="18"/>
                <w:szCs w:val="18"/>
                <w:lang w:val="it-IT"/>
              </w:rPr>
              <w:t>0.05 mg/kg*</w:t>
            </w:r>
          </w:p>
        </w:tc>
        <w:tc>
          <w:tcPr>
            <w:tcW w:w="440" w:type="pct"/>
          </w:tcPr>
          <w:p w14:paraId="459DE861" w14:textId="77777777" w:rsidR="00E353FD" w:rsidRPr="00A41B49" w:rsidRDefault="00E353FD" w:rsidP="00E353FD">
            <w:pPr>
              <w:spacing w:before="60" w:after="60"/>
              <w:jc w:val="center"/>
              <w:rPr>
                <w:sz w:val="18"/>
                <w:szCs w:val="18"/>
                <w:lang w:val="it-IT"/>
              </w:rPr>
            </w:pPr>
            <w:r w:rsidRPr="00A41B49">
              <w:rPr>
                <w:sz w:val="18"/>
                <w:szCs w:val="18"/>
                <w:u w:val="single"/>
                <w:lang w:val="it-IT"/>
              </w:rPr>
              <w:t xml:space="preserve">Not acceptable as </w:t>
            </w:r>
            <w:r w:rsidRPr="00A41B49">
              <w:rPr>
                <w:sz w:val="18"/>
                <w:szCs w:val="18"/>
                <w:lang w:val="it-IT"/>
              </w:rPr>
              <w:t>no support</w:t>
            </w:r>
            <w:r>
              <w:rPr>
                <w:sz w:val="18"/>
                <w:szCs w:val="18"/>
                <w:lang w:val="it-IT"/>
              </w:rPr>
              <w:t>i</w:t>
            </w:r>
            <w:r w:rsidRPr="00A41B49">
              <w:rPr>
                <w:sz w:val="18"/>
                <w:szCs w:val="18"/>
                <w:lang w:val="it-IT"/>
              </w:rPr>
              <w:t xml:space="preserve">ng validation data is provided. No method required due to low PECs in comparison to natural background levels </w:t>
            </w:r>
          </w:p>
        </w:tc>
        <w:tc>
          <w:tcPr>
            <w:tcW w:w="337" w:type="pct"/>
            <w:vAlign w:val="center"/>
          </w:tcPr>
          <w:p w14:paraId="55E8AAA0" w14:textId="77777777" w:rsidR="00E353FD" w:rsidRPr="00A41B49" w:rsidRDefault="00E353FD" w:rsidP="00E353FD">
            <w:pPr>
              <w:spacing w:before="60" w:after="60"/>
              <w:jc w:val="center"/>
              <w:rPr>
                <w:sz w:val="18"/>
                <w:szCs w:val="18"/>
                <w:lang w:val="it-IT"/>
              </w:rPr>
            </w:pPr>
            <w:r w:rsidRPr="00A41B49">
              <w:rPr>
                <w:sz w:val="18"/>
                <w:szCs w:val="18"/>
                <w:lang w:val="it-IT"/>
              </w:rPr>
              <w:t>J. Popke et al. (1997), Doc. No. 492-009; A4.2a/01</w:t>
            </w:r>
          </w:p>
          <w:p w14:paraId="59E6B0B6" w14:textId="77777777" w:rsidR="00E353FD" w:rsidRPr="00A41B49" w:rsidRDefault="00E353FD" w:rsidP="00E353FD">
            <w:pPr>
              <w:spacing w:before="60" w:after="60"/>
              <w:jc w:val="center"/>
              <w:rPr>
                <w:sz w:val="18"/>
                <w:szCs w:val="18"/>
                <w:lang w:val="it-IT"/>
              </w:rPr>
            </w:pPr>
            <w:r w:rsidRPr="00A41B49">
              <w:rPr>
                <w:sz w:val="18"/>
                <w:szCs w:val="18"/>
                <w:lang w:val="it-IT"/>
              </w:rPr>
              <w:t>P. Schramel (1997), Doc. No. 492-008; A4.2a/02</w:t>
            </w:r>
          </w:p>
        </w:tc>
      </w:tr>
      <w:tr w:rsidR="00E353FD" w:rsidRPr="00A41B49" w14:paraId="57209A30" w14:textId="77777777" w:rsidTr="00680CE7">
        <w:tc>
          <w:tcPr>
            <w:tcW w:w="306" w:type="pct"/>
            <w:vMerge/>
            <w:vAlign w:val="center"/>
          </w:tcPr>
          <w:p w14:paraId="271251C7" w14:textId="77777777" w:rsidR="00E353FD" w:rsidRPr="00A41B49" w:rsidRDefault="00E353FD" w:rsidP="00E353FD">
            <w:pPr>
              <w:spacing w:before="60" w:after="60"/>
              <w:jc w:val="center"/>
              <w:rPr>
                <w:sz w:val="18"/>
                <w:szCs w:val="18"/>
              </w:rPr>
            </w:pPr>
          </w:p>
        </w:tc>
        <w:tc>
          <w:tcPr>
            <w:tcW w:w="434" w:type="pct"/>
            <w:vAlign w:val="center"/>
          </w:tcPr>
          <w:p w14:paraId="04D7F9D1" w14:textId="77777777" w:rsidR="00E353FD" w:rsidRPr="00A41B49" w:rsidRDefault="00E353FD" w:rsidP="00E353FD">
            <w:pPr>
              <w:spacing w:before="60" w:after="60"/>
              <w:jc w:val="center"/>
              <w:rPr>
                <w:sz w:val="18"/>
                <w:szCs w:val="18"/>
              </w:rPr>
            </w:pPr>
            <w:r w:rsidRPr="00A41B49">
              <w:rPr>
                <w:sz w:val="18"/>
                <w:szCs w:val="18"/>
              </w:rPr>
              <w:t>iodine</w:t>
            </w:r>
          </w:p>
        </w:tc>
        <w:tc>
          <w:tcPr>
            <w:tcW w:w="440" w:type="pct"/>
            <w:vAlign w:val="center"/>
          </w:tcPr>
          <w:p w14:paraId="6C978C15" w14:textId="77777777" w:rsidR="00E353FD" w:rsidRPr="00A41B49" w:rsidRDefault="00E353FD" w:rsidP="00E353FD">
            <w:pPr>
              <w:pStyle w:val="Standard-italics"/>
              <w:keepNext w:val="0"/>
              <w:jc w:val="center"/>
              <w:rPr>
                <w:i w:val="0"/>
                <w:sz w:val="18"/>
                <w:szCs w:val="18"/>
              </w:rPr>
            </w:pPr>
            <w:r w:rsidRPr="00A41B49">
              <w:rPr>
                <w:i w:val="0"/>
                <w:sz w:val="18"/>
                <w:szCs w:val="18"/>
              </w:rPr>
              <w:t>Sandel-Kolthoff methodology</w:t>
            </w:r>
          </w:p>
          <w:p w14:paraId="0CE5F493" w14:textId="77777777" w:rsidR="00E353FD" w:rsidRPr="00A41B49" w:rsidRDefault="00E353FD" w:rsidP="00E353FD">
            <w:pPr>
              <w:pStyle w:val="Standard-italics"/>
              <w:keepNext w:val="0"/>
              <w:jc w:val="center"/>
              <w:rPr>
                <w:i w:val="0"/>
                <w:sz w:val="18"/>
                <w:szCs w:val="18"/>
              </w:rPr>
            </w:pPr>
            <w:r w:rsidRPr="00A41B49">
              <w:rPr>
                <w:i w:val="0"/>
                <w:sz w:val="18"/>
                <w:szCs w:val="18"/>
              </w:rPr>
              <w:t>Photometric determination</w:t>
            </w:r>
          </w:p>
        </w:tc>
        <w:tc>
          <w:tcPr>
            <w:tcW w:w="530" w:type="pct"/>
            <w:vAlign w:val="center"/>
          </w:tcPr>
          <w:p w14:paraId="6CE45117" w14:textId="77777777" w:rsidR="00E353FD" w:rsidRPr="00A41B49" w:rsidRDefault="00E353FD" w:rsidP="00E353FD">
            <w:pPr>
              <w:spacing w:before="60" w:after="60"/>
              <w:jc w:val="center"/>
              <w:rPr>
                <w:sz w:val="18"/>
                <w:szCs w:val="18"/>
              </w:rPr>
            </w:pPr>
            <w:r w:rsidRPr="00A41B49">
              <w:rPr>
                <w:sz w:val="18"/>
                <w:szCs w:val="18"/>
              </w:rPr>
              <w:t>5 – 1000 mg/kg moist soil / 5 replicates for natural soil, 3 replicates for artifical soil</w:t>
            </w:r>
          </w:p>
        </w:tc>
        <w:tc>
          <w:tcPr>
            <w:tcW w:w="444" w:type="pct"/>
            <w:vAlign w:val="center"/>
          </w:tcPr>
          <w:p w14:paraId="0E07C736" w14:textId="77777777" w:rsidR="00E353FD" w:rsidRPr="00A41B49" w:rsidRDefault="00E353FD" w:rsidP="00E353FD">
            <w:pPr>
              <w:spacing w:before="60" w:after="60"/>
              <w:jc w:val="center"/>
              <w:rPr>
                <w:sz w:val="18"/>
                <w:szCs w:val="18"/>
              </w:rPr>
            </w:pPr>
            <w:r w:rsidRPr="00A41B49">
              <w:rPr>
                <w:sz w:val="18"/>
                <w:szCs w:val="18"/>
              </w:rPr>
              <w:t>0.1 – 0.5 µg iodine</w:t>
            </w:r>
          </w:p>
        </w:tc>
        <w:tc>
          <w:tcPr>
            <w:tcW w:w="353" w:type="pct"/>
            <w:vAlign w:val="center"/>
          </w:tcPr>
          <w:p w14:paraId="5B720CCD" w14:textId="77777777" w:rsidR="00E353FD" w:rsidRPr="00A41B49" w:rsidRDefault="00E353FD" w:rsidP="00E353FD">
            <w:pPr>
              <w:spacing w:before="60" w:after="60"/>
              <w:jc w:val="center"/>
              <w:rPr>
                <w:sz w:val="18"/>
                <w:szCs w:val="18"/>
              </w:rPr>
            </w:pPr>
            <w:r w:rsidRPr="00A41B49">
              <w:rPr>
                <w:sz w:val="18"/>
                <w:szCs w:val="18"/>
              </w:rPr>
              <w:t>Yes</w:t>
            </w:r>
          </w:p>
        </w:tc>
        <w:tc>
          <w:tcPr>
            <w:tcW w:w="361" w:type="pct"/>
            <w:vAlign w:val="center"/>
          </w:tcPr>
          <w:p w14:paraId="4161F86D" w14:textId="77777777" w:rsidR="00E353FD" w:rsidRPr="00A41B49" w:rsidRDefault="00E353FD" w:rsidP="00E353FD">
            <w:pPr>
              <w:spacing w:before="60" w:after="60"/>
              <w:jc w:val="center"/>
              <w:rPr>
                <w:sz w:val="18"/>
                <w:szCs w:val="18"/>
                <w:u w:val="single"/>
              </w:rPr>
            </w:pPr>
            <w:r w:rsidRPr="00A41B49">
              <w:rPr>
                <w:sz w:val="18"/>
                <w:szCs w:val="18"/>
                <w:u w:val="single"/>
              </w:rPr>
              <w:t xml:space="preserve">Natural soil: </w:t>
            </w:r>
          </w:p>
          <w:p w14:paraId="66845346" w14:textId="77777777" w:rsidR="00E353FD" w:rsidRPr="00A41B49" w:rsidRDefault="00E353FD" w:rsidP="00E353FD">
            <w:pPr>
              <w:spacing w:before="60" w:after="60"/>
              <w:jc w:val="center"/>
              <w:rPr>
                <w:sz w:val="18"/>
                <w:szCs w:val="18"/>
              </w:rPr>
            </w:pPr>
            <w:r w:rsidRPr="00A41B49">
              <w:rPr>
                <w:sz w:val="18"/>
                <w:szCs w:val="18"/>
              </w:rPr>
              <w:t>72.9 – 100%</w:t>
            </w:r>
          </w:p>
          <w:p w14:paraId="7D7B90EC" w14:textId="77777777" w:rsidR="00E353FD" w:rsidRPr="00A41B49" w:rsidRDefault="00E353FD" w:rsidP="00E353FD">
            <w:pPr>
              <w:spacing w:before="60" w:after="60"/>
              <w:jc w:val="center"/>
              <w:rPr>
                <w:sz w:val="18"/>
                <w:szCs w:val="18"/>
                <w:u w:val="single"/>
              </w:rPr>
            </w:pPr>
            <w:r w:rsidRPr="00A41B49">
              <w:rPr>
                <w:sz w:val="18"/>
                <w:szCs w:val="18"/>
                <w:u w:val="single"/>
              </w:rPr>
              <w:t xml:space="preserve">Artificial soil: </w:t>
            </w:r>
          </w:p>
          <w:p w14:paraId="0873AE8A" w14:textId="77777777" w:rsidR="00E353FD" w:rsidRPr="00A41B49" w:rsidRDefault="00E353FD" w:rsidP="00E353FD">
            <w:pPr>
              <w:spacing w:before="60" w:after="60"/>
              <w:jc w:val="center"/>
              <w:rPr>
                <w:sz w:val="18"/>
                <w:szCs w:val="18"/>
              </w:rPr>
            </w:pPr>
            <w:r w:rsidRPr="00A41B49">
              <w:rPr>
                <w:sz w:val="18"/>
                <w:szCs w:val="18"/>
              </w:rPr>
              <w:t>74.5 – 93%</w:t>
            </w:r>
          </w:p>
        </w:tc>
        <w:tc>
          <w:tcPr>
            <w:tcW w:w="268" w:type="pct"/>
            <w:vAlign w:val="center"/>
          </w:tcPr>
          <w:p w14:paraId="58FBA0E6" w14:textId="77777777" w:rsidR="00E353FD" w:rsidRPr="00A41B49" w:rsidRDefault="00E353FD" w:rsidP="00E353FD">
            <w:pPr>
              <w:spacing w:before="60" w:after="60"/>
              <w:jc w:val="center"/>
              <w:rPr>
                <w:sz w:val="18"/>
                <w:szCs w:val="18"/>
              </w:rPr>
            </w:pPr>
            <w:r w:rsidRPr="00A41B49">
              <w:rPr>
                <w:sz w:val="18"/>
                <w:szCs w:val="18"/>
                <w:u w:val="single"/>
              </w:rPr>
              <w:t>Natural soil:</w:t>
            </w:r>
            <w:r w:rsidRPr="00A41B49">
              <w:rPr>
                <w:sz w:val="18"/>
                <w:szCs w:val="18"/>
              </w:rPr>
              <w:t xml:space="preserve"> 86.3%</w:t>
            </w:r>
          </w:p>
          <w:p w14:paraId="48587D4F" w14:textId="77777777" w:rsidR="00E353FD" w:rsidRPr="00A41B49" w:rsidRDefault="00E353FD" w:rsidP="00E353FD">
            <w:pPr>
              <w:spacing w:before="60" w:after="60"/>
              <w:jc w:val="center"/>
              <w:rPr>
                <w:sz w:val="18"/>
                <w:szCs w:val="18"/>
              </w:rPr>
            </w:pPr>
            <w:r w:rsidRPr="00A41B49">
              <w:rPr>
                <w:sz w:val="18"/>
                <w:szCs w:val="18"/>
                <w:u w:val="single"/>
              </w:rPr>
              <w:t>Artificial soil:</w:t>
            </w:r>
            <w:r w:rsidRPr="00A41B49">
              <w:rPr>
                <w:sz w:val="18"/>
                <w:szCs w:val="18"/>
              </w:rPr>
              <w:t xml:space="preserve"> 86.2%</w:t>
            </w:r>
          </w:p>
        </w:tc>
        <w:tc>
          <w:tcPr>
            <w:tcW w:w="316" w:type="pct"/>
            <w:vAlign w:val="center"/>
          </w:tcPr>
          <w:p w14:paraId="05CC0CCE" w14:textId="77777777" w:rsidR="00E353FD" w:rsidRPr="00A41B49" w:rsidRDefault="00E353FD" w:rsidP="00E353FD">
            <w:pPr>
              <w:spacing w:before="60" w:after="60"/>
              <w:jc w:val="center"/>
              <w:rPr>
                <w:sz w:val="18"/>
                <w:szCs w:val="18"/>
                <w:u w:val="single"/>
              </w:rPr>
            </w:pPr>
            <w:r w:rsidRPr="00A41B49">
              <w:rPr>
                <w:sz w:val="18"/>
                <w:szCs w:val="18"/>
                <w:u w:val="single"/>
              </w:rPr>
              <w:t>Natural soil:</w:t>
            </w:r>
          </w:p>
          <w:p w14:paraId="0013EACB" w14:textId="77777777" w:rsidR="00E353FD" w:rsidRPr="00A41B49" w:rsidRDefault="00E353FD" w:rsidP="00E353FD">
            <w:pPr>
              <w:spacing w:before="60" w:after="60"/>
              <w:jc w:val="center"/>
              <w:rPr>
                <w:sz w:val="18"/>
                <w:szCs w:val="18"/>
              </w:rPr>
            </w:pPr>
            <w:r w:rsidRPr="00A41B49">
              <w:rPr>
                <w:sz w:val="18"/>
                <w:szCs w:val="18"/>
              </w:rPr>
              <w:t>5.9 - 10.0%</w:t>
            </w:r>
          </w:p>
          <w:p w14:paraId="17232AD1" w14:textId="77777777" w:rsidR="00E353FD" w:rsidRPr="00A41B49" w:rsidRDefault="00E353FD" w:rsidP="00E353FD">
            <w:pPr>
              <w:spacing w:before="60" w:after="60"/>
              <w:jc w:val="center"/>
              <w:rPr>
                <w:sz w:val="18"/>
                <w:szCs w:val="18"/>
                <w:u w:val="single"/>
              </w:rPr>
            </w:pPr>
            <w:r w:rsidRPr="00A41B49">
              <w:rPr>
                <w:sz w:val="18"/>
                <w:szCs w:val="18"/>
                <w:u w:val="single"/>
              </w:rPr>
              <w:t xml:space="preserve">Artificial soil: </w:t>
            </w:r>
          </w:p>
          <w:p w14:paraId="3B2E48D4" w14:textId="77777777" w:rsidR="00E353FD" w:rsidRPr="00A41B49" w:rsidRDefault="00E353FD" w:rsidP="00E353FD">
            <w:pPr>
              <w:spacing w:before="60" w:after="60"/>
              <w:jc w:val="center"/>
              <w:rPr>
                <w:sz w:val="18"/>
                <w:szCs w:val="18"/>
              </w:rPr>
            </w:pPr>
            <w:r w:rsidRPr="00A41B49">
              <w:rPr>
                <w:sz w:val="18"/>
                <w:szCs w:val="18"/>
              </w:rPr>
              <w:t xml:space="preserve">3.1 and 7.5% </w:t>
            </w:r>
          </w:p>
        </w:tc>
        <w:tc>
          <w:tcPr>
            <w:tcW w:w="448" w:type="pct"/>
          </w:tcPr>
          <w:p w14:paraId="79ACB749" w14:textId="77777777" w:rsidR="00E353FD" w:rsidRPr="00A41B49" w:rsidRDefault="00E353FD" w:rsidP="00E353FD">
            <w:pPr>
              <w:spacing w:before="60" w:after="60"/>
              <w:jc w:val="center"/>
              <w:rPr>
                <w:sz w:val="18"/>
                <w:szCs w:val="18"/>
              </w:rPr>
            </w:pPr>
            <w:r w:rsidRPr="00A41B49">
              <w:rPr>
                <w:sz w:val="18"/>
                <w:szCs w:val="18"/>
              </w:rPr>
              <w:t>LOD = 5 mg /kg dry soil</w:t>
            </w:r>
          </w:p>
        </w:tc>
        <w:tc>
          <w:tcPr>
            <w:tcW w:w="323" w:type="pct"/>
          </w:tcPr>
          <w:p w14:paraId="72006414" w14:textId="77777777" w:rsidR="00E353FD" w:rsidRPr="00A41B49" w:rsidRDefault="00E353FD" w:rsidP="00E353FD">
            <w:pPr>
              <w:spacing w:before="60" w:after="60"/>
              <w:jc w:val="center"/>
              <w:rPr>
                <w:sz w:val="18"/>
                <w:szCs w:val="18"/>
              </w:rPr>
            </w:pPr>
            <w:r w:rsidRPr="00A41B49">
              <w:rPr>
                <w:sz w:val="18"/>
                <w:szCs w:val="18"/>
                <w:lang w:val="it-IT"/>
              </w:rPr>
              <w:t>0.05 mg/kg*</w:t>
            </w:r>
          </w:p>
        </w:tc>
        <w:tc>
          <w:tcPr>
            <w:tcW w:w="440" w:type="pct"/>
          </w:tcPr>
          <w:p w14:paraId="140C3726" w14:textId="77777777" w:rsidR="00E353FD" w:rsidRPr="00A41B49" w:rsidRDefault="00E353FD" w:rsidP="00E353FD">
            <w:pPr>
              <w:spacing w:before="60" w:after="60"/>
              <w:jc w:val="center"/>
              <w:rPr>
                <w:sz w:val="18"/>
                <w:szCs w:val="18"/>
              </w:rPr>
            </w:pPr>
            <w:r w:rsidRPr="00A41B49">
              <w:rPr>
                <w:sz w:val="18"/>
                <w:szCs w:val="18"/>
                <w:u w:val="single"/>
              </w:rPr>
              <w:t>Not acceptable</w:t>
            </w:r>
            <w:r w:rsidRPr="00A41B49">
              <w:rPr>
                <w:sz w:val="18"/>
                <w:szCs w:val="18"/>
              </w:rPr>
              <w:t xml:space="preserve"> for monitoring due to the use of carcinogenic substance (As</w:t>
            </w:r>
            <w:r w:rsidRPr="00A41B49">
              <w:rPr>
                <w:sz w:val="18"/>
                <w:szCs w:val="18"/>
                <w:vertAlign w:val="subscript"/>
              </w:rPr>
              <w:t>2</w:t>
            </w:r>
            <w:r w:rsidRPr="00A41B49">
              <w:rPr>
                <w:sz w:val="18"/>
                <w:szCs w:val="18"/>
              </w:rPr>
              <w:t>O</w:t>
            </w:r>
            <w:r w:rsidRPr="00A41B49">
              <w:rPr>
                <w:sz w:val="18"/>
                <w:szCs w:val="18"/>
                <w:vertAlign w:val="subscript"/>
              </w:rPr>
              <w:t>3</w:t>
            </w:r>
            <w:r w:rsidRPr="00A41B49">
              <w:rPr>
                <w:sz w:val="18"/>
                <w:szCs w:val="18"/>
              </w:rPr>
              <w:t>)</w:t>
            </w:r>
          </w:p>
          <w:p w14:paraId="33AC653A" w14:textId="77777777" w:rsidR="00E353FD" w:rsidRPr="00A41B49" w:rsidRDefault="00E353FD" w:rsidP="00E353FD">
            <w:pPr>
              <w:spacing w:before="60" w:after="60"/>
              <w:jc w:val="center"/>
              <w:rPr>
                <w:sz w:val="18"/>
                <w:szCs w:val="18"/>
              </w:rPr>
            </w:pPr>
            <w:r w:rsidRPr="00A41B49">
              <w:rPr>
                <w:sz w:val="18"/>
                <w:szCs w:val="18"/>
                <w:lang w:val="it-IT"/>
              </w:rPr>
              <w:lastRenderedPageBreak/>
              <w:t>No method required due to low PECs in comparison to natural background levels</w:t>
            </w:r>
          </w:p>
        </w:tc>
        <w:tc>
          <w:tcPr>
            <w:tcW w:w="337" w:type="pct"/>
            <w:vAlign w:val="center"/>
          </w:tcPr>
          <w:p w14:paraId="77B4334A" w14:textId="77777777" w:rsidR="00E353FD" w:rsidRPr="00A41B49" w:rsidRDefault="00E353FD" w:rsidP="00E353FD">
            <w:pPr>
              <w:spacing w:before="60" w:after="60"/>
              <w:jc w:val="center"/>
              <w:rPr>
                <w:sz w:val="18"/>
                <w:szCs w:val="18"/>
              </w:rPr>
            </w:pPr>
            <w:r w:rsidRPr="00A41B49">
              <w:rPr>
                <w:sz w:val="18"/>
                <w:szCs w:val="18"/>
              </w:rPr>
              <w:lastRenderedPageBreak/>
              <w:t>Knoch, E. (2009), Doc. No. 434-001, A4.2a/03</w:t>
            </w:r>
          </w:p>
        </w:tc>
      </w:tr>
      <w:tr w:rsidR="00E353FD" w:rsidRPr="00A41B49" w14:paraId="76B82E4A" w14:textId="77777777" w:rsidTr="00680CE7">
        <w:tc>
          <w:tcPr>
            <w:tcW w:w="306" w:type="pct"/>
            <w:vMerge/>
            <w:vAlign w:val="center"/>
          </w:tcPr>
          <w:p w14:paraId="18C80A77" w14:textId="77777777" w:rsidR="00E353FD" w:rsidRPr="00A41B49" w:rsidRDefault="00E353FD" w:rsidP="00E353FD">
            <w:pPr>
              <w:spacing w:before="60" w:after="60"/>
              <w:jc w:val="center"/>
              <w:rPr>
                <w:sz w:val="18"/>
                <w:szCs w:val="18"/>
              </w:rPr>
            </w:pPr>
          </w:p>
        </w:tc>
        <w:tc>
          <w:tcPr>
            <w:tcW w:w="434" w:type="pct"/>
            <w:vAlign w:val="center"/>
          </w:tcPr>
          <w:p w14:paraId="4D4647B4" w14:textId="77777777" w:rsidR="00E353FD" w:rsidRPr="00A41B49" w:rsidRDefault="00E353FD" w:rsidP="00E353FD">
            <w:pPr>
              <w:spacing w:before="60" w:after="60"/>
              <w:jc w:val="center"/>
              <w:rPr>
                <w:sz w:val="18"/>
                <w:szCs w:val="18"/>
              </w:rPr>
            </w:pPr>
            <w:r w:rsidRPr="00A41B49">
              <w:rPr>
                <w:sz w:val="18"/>
                <w:szCs w:val="18"/>
              </w:rPr>
              <w:t>iodide and iodate are determined as a sum value, which is reported as iodine</w:t>
            </w:r>
          </w:p>
        </w:tc>
        <w:tc>
          <w:tcPr>
            <w:tcW w:w="440" w:type="pct"/>
            <w:vAlign w:val="center"/>
          </w:tcPr>
          <w:p w14:paraId="1C39A161" w14:textId="77777777" w:rsidR="00E353FD" w:rsidRPr="00A41B49" w:rsidRDefault="00E353FD" w:rsidP="00E353FD">
            <w:pPr>
              <w:pStyle w:val="Standard-italics"/>
              <w:keepNext w:val="0"/>
              <w:jc w:val="center"/>
              <w:rPr>
                <w:i w:val="0"/>
                <w:sz w:val="18"/>
                <w:szCs w:val="18"/>
              </w:rPr>
            </w:pPr>
            <w:r w:rsidRPr="00A41B49">
              <w:rPr>
                <w:i w:val="0"/>
                <w:sz w:val="18"/>
                <w:szCs w:val="18"/>
              </w:rPr>
              <w:t>ICP-MS</w:t>
            </w:r>
          </w:p>
        </w:tc>
        <w:tc>
          <w:tcPr>
            <w:tcW w:w="530" w:type="pct"/>
            <w:vAlign w:val="center"/>
          </w:tcPr>
          <w:p w14:paraId="69F0C9AC" w14:textId="77777777" w:rsidR="00E353FD" w:rsidRPr="00A41B49" w:rsidRDefault="00E353FD" w:rsidP="00E353FD">
            <w:pPr>
              <w:spacing w:before="60" w:after="60"/>
              <w:jc w:val="center"/>
              <w:rPr>
                <w:sz w:val="18"/>
                <w:szCs w:val="18"/>
              </w:rPr>
            </w:pPr>
            <w:r w:rsidRPr="00A41B49">
              <w:rPr>
                <w:sz w:val="18"/>
                <w:szCs w:val="18"/>
              </w:rPr>
              <w:t>22.4-36.2 mg/kg of iodine, 2 soils 2 replicates</w:t>
            </w:r>
          </w:p>
          <w:p w14:paraId="5575B79B" w14:textId="77777777" w:rsidR="00E353FD" w:rsidRPr="00A41B49" w:rsidRDefault="00E353FD" w:rsidP="00E353FD">
            <w:pPr>
              <w:spacing w:before="60" w:after="60"/>
              <w:jc w:val="center"/>
              <w:rPr>
                <w:sz w:val="18"/>
                <w:szCs w:val="18"/>
              </w:rPr>
            </w:pPr>
            <w:r w:rsidRPr="00A41B49">
              <w:rPr>
                <w:sz w:val="18"/>
                <w:szCs w:val="18"/>
              </w:rPr>
              <w:t xml:space="preserve">5 replicate analyses of 4 soils with certified iodine content (1.9-19.3 mg/kg) </w:t>
            </w:r>
          </w:p>
        </w:tc>
        <w:tc>
          <w:tcPr>
            <w:tcW w:w="444" w:type="pct"/>
            <w:vAlign w:val="center"/>
          </w:tcPr>
          <w:p w14:paraId="20119345" w14:textId="77777777" w:rsidR="00E353FD" w:rsidRPr="00A41B49" w:rsidRDefault="00E353FD" w:rsidP="00E353FD">
            <w:pPr>
              <w:spacing w:before="60" w:after="60"/>
              <w:jc w:val="center"/>
              <w:rPr>
                <w:sz w:val="18"/>
                <w:szCs w:val="18"/>
              </w:rPr>
            </w:pPr>
            <w:r w:rsidRPr="00A41B49">
              <w:rPr>
                <w:sz w:val="18"/>
                <w:szCs w:val="18"/>
              </w:rPr>
              <w:t>5-50 µg iodine/L (iodine/indium ratio of 0.05-0.5)</w:t>
            </w:r>
          </w:p>
        </w:tc>
        <w:tc>
          <w:tcPr>
            <w:tcW w:w="353" w:type="pct"/>
            <w:vAlign w:val="center"/>
          </w:tcPr>
          <w:p w14:paraId="5D4B8F5D" w14:textId="77777777" w:rsidR="00E353FD" w:rsidRPr="00A41B49" w:rsidRDefault="00E353FD" w:rsidP="00E353FD">
            <w:pPr>
              <w:spacing w:before="60" w:after="60"/>
              <w:jc w:val="center"/>
              <w:rPr>
                <w:sz w:val="18"/>
                <w:szCs w:val="18"/>
              </w:rPr>
            </w:pPr>
            <w:r w:rsidRPr="00A41B49">
              <w:rPr>
                <w:sz w:val="18"/>
                <w:szCs w:val="18"/>
              </w:rPr>
              <w:t>Yes</w:t>
            </w:r>
          </w:p>
        </w:tc>
        <w:tc>
          <w:tcPr>
            <w:tcW w:w="361" w:type="pct"/>
            <w:vAlign w:val="center"/>
          </w:tcPr>
          <w:p w14:paraId="36C7BFB2" w14:textId="77777777" w:rsidR="00E353FD" w:rsidRPr="00A41B49" w:rsidRDefault="00E353FD" w:rsidP="00E353FD">
            <w:pPr>
              <w:spacing w:before="60" w:after="60"/>
              <w:jc w:val="center"/>
              <w:rPr>
                <w:sz w:val="18"/>
                <w:szCs w:val="18"/>
                <w:u w:val="single"/>
              </w:rPr>
            </w:pPr>
            <w:r w:rsidRPr="00A41B49">
              <w:rPr>
                <w:sz w:val="18"/>
                <w:szCs w:val="18"/>
                <w:u w:val="single"/>
              </w:rPr>
              <w:t>92-105% for fortified samples. Good agreement with certified levels</w:t>
            </w:r>
          </w:p>
        </w:tc>
        <w:tc>
          <w:tcPr>
            <w:tcW w:w="268" w:type="pct"/>
            <w:vAlign w:val="center"/>
          </w:tcPr>
          <w:p w14:paraId="2811F27F" w14:textId="77777777" w:rsidR="00E353FD" w:rsidRPr="00A41B49" w:rsidRDefault="00E353FD" w:rsidP="00E353FD">
            <w:pPr>
              <w:spacing w:before="60" w:after="60"/>
              <w:jc w:val="center"/>
              <w:rPr>
                <w:sz w:val="18"/>
                <w:szCs w:val="18"/>
                <w:u w:val="single"/>
              </w:rPr>
            </w:pPr>
            <w:r w:rsidRPr="00A41B49">
              <w:rPr>
                <w:sz w:val="18"/>
                <w:szCs w:val="18"/>
                <w:u w:val="single"/>
              </w:rPr>
              <w:t>-</w:t>
            </w:r>
          </w:p>
        </w:tc>
        <w:tc>
          <w:tcPr>
            <w:tcW w:w="316" w:type="pct"/>
            <w:vAlign w:val="center"/>
          </w:tcPr>
          <w:p w14:paraId="5390BC04" w14:textId="77777777" w:rsidR="00E353FD" w:rsidRPr="00A41B49" w:rsidRDefault="00E353FD" w:rsidP="00E353FD">
            <w:pPr>
              <w:spacing w:before="60" w:after="60"/>
              <w:jc w:val="center"/>
              <w:rPr>
                <w:sz w:val="18"/>
                <w:szCs w:val="18"/>
                <w:u w:val="single"/>
              </w:rPr>
            </w:pPr>
            <w:r w:rsidRPr="00A41B49">
              <w:rPr>
                <w:sz w:val="18"/>
                <w:szCs w:val="18"/>
                <w:u w:val="single"/>
              </w:rPr>
              <w:t>0-2.7%</w:t>
            </w:r>
          </w:p>
        </w:tc>
        <w:tc>
          <w:tcPr>
            <w:tcW w:w="448" w:type="pct"/>
          </w:tcPr>
          <w:p w14:paraId="7289C309" w14:textId="77777777" w:rsidR="00E353FD" w:rsidRPr="00A41B49" w:rsidRDefault="00E353FD" w:rsidP="00E353FD">
            <w:pPr>
              <w:spacing w:before="60" w:after="60"/>
              <w:jc w:val="center"/>
              <w:rPr>
                <w:sz w:val="18"/>
                <w:szCs w:val="18"/>
                <w:lang w:val="en-US"/>
              </w:rPr>
            </w:pPr>
            <w:r w:rsidRPr="00A41B49">
              <w:rPr>
                <w:sz w:val="18"/>
                <w:szCs w:val="18"/>
                <w:lang w:val="en-US"/>
              </w:rPr>
              <w:t>LOD = 0.02 µg/L (refers to the water extract)</w:t>
            </w:r>
          </w:p>
          <w:p w14:paraId="2A0C2B74" w14:textId="77777777" w:rsidR="00E353FD" w:rsidRPr="00A41B49" w:rsidRDefault="00E353FD" w:rsidP="00E353FD">
            <w:pPr>
              <w:spacing w:before="60" w:after="60"/>
              <w:jc w:val="center"/>
              <w:rPr>
                <w:sz w:val="18"/>
                <w:szCs w:val="18"/>
                <w:lang w:val="en-US"/>
              </w:rPr>
            </w:pPr>
            <w:r w:rsidRPr="00A41B49">
              <w:rPr>
                <w:sz w:val="18"/>
                <w:szCs w:val="18"/>
                <w:lang w:val="en-US"/>
              </w:rPr>
              <w:t>LOQ at least 0.7 mg/kg</w:t>
            </w:r>
          </w:p>
        </w:tc>
        <w:tc>
          <w:tcPr>
            <w:tcW w:w="323" w:type="pct"/>
          </w:tcPr>
          <w:p w14:paraId="2FEBCC4C" w14:textId="77777777" w:rsidR="00E353FD" w:rsidRPr="00A41B49" w:rsidRDefault="00E353FD" w:rsidP="00E353FD">
            <w:pPr>
              <w:spacing w:before="60" w:after="60"/>
              <w:jc w:val="center"/>
              <w:rPr>
                <w:sz w:val="18"/>
                <w:szCs w:val="18"/>
                <w:lang w:val="it-IT"/>
              </w:rPr>
            </w:pPr>
            <w:r w:rsidRPr="00A41B49">
              <w:rPr>
                <w:sz w:val="18"/>
                <w:szCs w:val="18"/>
                <w:lang w:val="it-IT"/>
              </w:rPr>
              <w:t>0.05 mg/kg*</w:t>
            </w:r>
          </w:p>
        </w:tc>
        <w:tc>
          <w:tcPr>
            <w:tcW w:w="440" w:type="pct"/>
          </w:tcPr>
          <w:p w14:paraId="04093A35" w14:textId="77777777" w:rsidR="00E353FD" w:rsidRPr="00A41B49" w:rsidRDefault="00E353FD" w:rsidP="00E353FD">
            <w:pPr>
              <w:spacing w:before="60" w:after="60"/>
              <w:jc w:val="center"/>
              <w:rPr>
                <w:sz w:val="18"/>
                <w:szCs w:val="18"/>
                <w:u w:val="single"/>
              </w:rPr>
            </w:pPr>
            <w:r w:rsidRPr="00A41B49">
              <w:rPr>
                <w:sz w:val="18"/>
                <w:szCs w:val="18"/>
                <w:u w:val="single"/>
              </w:rPr>
              <w:t>Not fully acceptable (some missing information)</w:t>
            </w:r>
          </w:p>
          <w:p w14:paraId="710AB860" w14:textId="77777777" w:rsidR="00E353FD" w:rsidRPr="00A41B49" w:rsidRDefault="00E353FD" w:rsidP="00E353FD">
            <w:pPr>
              <w:spacing w:before="60" w:after="60"/>
              <w:jc w:val="center"/>
              <w:rPr>
                <w:sz w:val="18"/>
                <w:szCs w:val="18"/>
                <w:u w:val="single"/>
              </w:rPr>
            </w:pPr>
            <w:r w:rsidRPr="00A41B49">
              <w:rPr>
                <w:sz w:val="18"/>
                <w:szCs w:val="18"/>
                <w:lang w:val="it-IT"/>
              </w:rPr>
              <w:t>No method required due to low PECs in comparison to natural background levels</w:t>
            </w:r>
          </w:p>
        </w:tc>
        <w:tc>
          <w:tcPr>
            <w:tcW w:w="337" w:type="pct"/>
            <w:vAlign w:val="center"/>
          </w:tcPr>
          <w:p w14:paraId="435032C3" w14:textId="77777777" w:rsidR="00E353FD" w:rsidRPr="00A41B49" w:rsidRDefault="00E353FD" w:rsidP="00E353FD">
            <w:pPr>
              <w:spacing w:before="60" w:after="60"/>
              <w:jc w:val="center"/>
              <w:rPr>
                <w:sz w:val="18"/>
                <w:szCs w:val="18"/>
              </w:rPr>
            </w:pPr>
            <w:r w:rsidRPr="00A41B49">
              <w:rPr>
                <w:sz w:val="18"/>
                <w:szCs w:val="18"/>
              </w:rPr>
              <w:t>H. Yamada et al (1996), Doc. No. 492-017, A4.2a/04</w:t>
            </w:r>
          </w:p>
        </w:tc>
      </w:tr>
      <w:tr w:rsidR="00E353FD" w:rsidRPr="00A41B49" w14:paraId="2859A5B1" w14:textId="77777777" w:rsidTr="00680CE7">
        <w:tc>
          <w:tcPr>
            <w:tcW w:w="306" w:type="pct"/>
            <w:vMerge w:val="restart"/>
            <w:vAlign w:val="center"/>
          </w:tcPr>
          <w:p w14:paraId="12D4C9B7" w14:textId="77777777" w:rsidR="00E353FD" w:rsidRPr="00A41B49" w:rsidRDefault="00E353FD" w:rsidP="00E353FD">
            <w:pPr>
              <w:spacing w:before="60" w:after="60"/>
              <w:jc w:val="center"/>
              <w:rPr>
                <w:sz w:val="18"/>
                <w:szCs w:val="18"/>
              </w:rPr>
            </w:pPr>
            <w:r w:rsidRPr="00A41B49">
              <w:rPr>
                <w:sz w:val="18"/>
                <w:szCs w:val="18"/>
              </w:rPr>
              <w:t>Air</w:t>
            </w:r>
          </w:p>
        </w:tc>
        <w:tc>
          <w:tcPr>
            <w:tcW w:w="434" w:type="pct"/>
            <w:vMerge w:val="restart"/>
            <w:vAlign w:val="center"/>
          </w:tcPr>
          <w:p w14:paraId="084B3CA3" w14:textId="77777777" w:rsidR="00E353FD" w:rsidRPr="00A41B49" w:rsidRDefault="00E353FD" w:rsidP="00E353FD">
            <w:pPr>
              <w:spacing w:before="60" w:after="60"/>
              <w:jc w:val="center"/>
              <w:rPr>
                <w:i/>
                <w:sz w:val="18"/>
                <w:szCs w:val="18"/>
              </w:rPr>
            </w:pPr>
            <w:r w:rsidRPr="00A41B49">
              <w:rPr>
                <w:sz w:val="18"/>
                <w:szCs w:val="18"/>
              </w:rPr>
              <w:t>iodine</w:t>
            </w:r>
          </w:p>
        </w:tc>
        <w:tc>
          <w:tcPr>
            <w:tcW w:w="440" w:type="pct"/>
            <w:vAlign w:val="center"/>
          </w:tcPr>
          <w:p w14:paraId="4961F3CF" w14:textId="77777777" w:rsidR="00E353FD" w:rsidRPr="00A41B49" w:rsidRDefault="00E353FD" w:rsidP="00E353FD">
            <w:pPr>
              <w:pStyle w:val="Standard-italics"/>
              <w:keepNext w:val="0"/>
              <w:jc w:val="center"/>
              <w:rPr>
                <w:i w:val="0"/>
                <w:sz w:val="18"/>
                <w:szCs w:val="18"/>
              </w:rPr>
            </w:pPr>
            <w:r w:rsidRPr="00A41B49">
              <w:rPr>
                <w:i w:val="0"/>
                <w:sz w:val="18"/>
                <w:szCs w:val="18"/>
              </w:rPr>
              <w:t>In air sampling tubes, I</w:t>
            </w:r>
            <w:r w:rsidRPr="00A41B49">
              <w:rPr>
                <w:i w:val="0"/>
                <w:sz w:val="18"/>
                <w:szCs w:val="18"/>
                <w:vertAlign w:val="subscript"/>
              </w:rPr>
              <w:t>2</w:t>
            </w:r>
            <w:r w:rsidRPr="00A41B49">
              <w:rPr>
                <w:i w:val="0"/>
                <w:sz w:val="18"/>
                <w:szCs w:val="18"/>
              </w:rPr>
              <w:t xml:space="preserve"> is partially but stoichiometrically converted to iodide. </w:t>
            </w:r>
            <w:r w:rsidRPr="00A41B49">
              <w:rPr>
                <w:i w:val="0"/>
                <w:sz w:val="18"/>
                <w:szCs w:val="18"/>
              </w:rPr>
              <w:lastRenderedPageBreak/>
              <w:t>Iodide is determined by IC-PED.</w:t>
            </w:r>
          </w:p>
        </w:tc>
        <w:tc>
          <w:tcPr>
            <w:tcW w:w="530" w:type="pct"/>
          </w:tcPr>
          <w:p w14:paraId="4DD327B0" w14:textId="77777777" w:rsidR="00E353FD" w:rsidRPr="00A41B49" w:rsidRDefault="00E353FD" w:rsidP="00E353FD">
            <w:pPr>
              <w:pStyle w:val="Standard-italics"/>
              <w:rPr>
                <w:i w:val="0"/>
                <w:sz w:val="18"/>
                <w:szCs w:val="18"/>
              </w:rPr>
            </w:pPr>
            <w:r w:rsidRPr="00A41B49">
              <w:rPr>
                <w:i w:val="0"/>
                <w:sz w:val="18"/>
                <w:szCs w:val="18"/>
              </w:rPr>
              <w:lastRenderedPageBreak/>
              <w:t xml:space="preserve">Air at concentration of 0.05, 0.1 and 0.2 ppm and  relative humidities of 25%, 50%, and 80% </w:t>
            </w:r>
            <w:r w:rsidRPr="00A41B49">
              <w:rPr>
                <w:i w:val="0"/>
                <w:sz w:val="18"/>
                <w:szCs w:val="18"/>
              </w:rPr>
              <w:lastRenderedPageBreak/>
              <w:t>were sampled.</w:t>
            </w:r>
          </w:p>
          <w:p w14:paraId="38A65C76" w14:textId="77777777" w:rsidR="00E353FD" w:rsidRPr="00A41B49" w:rsidRDefault="00E353FD" w:rsidP="00E353FD">
            <w:pPr>
              <w:pStyle w:val="Standard-italics"/>
              <w:rPr>
                <w:i w:val="0"/>
                <w:sz w:val="18"/>
                <w:szCs w:val="18"/>
                <w:highlight w:val="yellow"/>
              </w:rPr>
            </w:pPr>
            <w:r w:rsidRPr="00A41B49">
              <w:rPr>
                <w:i w:val="0"/>
                <w:sz w:val="18"/>
                <w:szCs w:val="18"/>
              </w:rPr>
              <w:t>6 measurements per concentration / relative humidity combination (only 5 in one case).</w:t>
            </w:r>
          </w:p>
        </w:tc>
        <w:tc>
          <w:tcPr>
            <w:tcW w:w="444" w:type="pct"/>
          </w:tcPr>
          <w:p w14:paraId="6135E651" w14:textId="77777777" w:rsidR="00E353FD" w:rsidRPr="00A41B49" w:rsidRDefault="00E353FD" w:rsidP="00E353FD">
            <w:pPr>
              <w:spacing w:before="60" w:after="60"/>
              <w:jc w:val="center"/>
              <w:rPr>
                <w:sz w:val="18"/>
                <w:szCs w:val="18"/>
              </w:rPr>
            </w:pPr>
            <w:r w:rsidRPr="00A41B49">
              <w:rPr>
                <w:sz w:val="18"/>
                <w:szCs w:val="18"/>
              </w:rPr>
              <w:lastRenderedPageBreak/>
              <w:t>Calibration range: 0.1 – 5.0 µg iodide/mL</w:t>
            </w:r>
          </w:p>
        </w:tc>
        <w:tc>
          <w:tcPr>
            <w:tcW w:w="353" w:type="pct"/>
            <w:vAlign w:val="center"/>
          </w:tcPr>
          <w:p w14:paraId="6BD1AE41" w14:textId="77777777" w:rsidR="00E353FD" w:rsidRPr="00A41B49" w:rsidRDefault="00E353FD" w:rsidP="00E353FD">
            <w:pPr>
              <w:spacing w:before="60" w:after="60"/>
              <w:jc w:val="center"/>
              <w:rPr>
                <w:sz w:val="18"/>
                <w:szCs w:val="18"/>
              </w:rPr>
            </w:pPr>
            <w:r w:rsidRPr="00A41B49">
              <w:rPr>
                <w:sz w:val="18"/>
                <w:szCs w:val="18"/>
              </w:rPr>
              <w:t>Yes</w:t>
            </w:r>
          </w:p>
        </w:tc>
        <w:tc>
          <w:tcPr>
            <w:tcW w:w="361" w:type="pct"/>
          </w:tcPr>
          <w:p w14:paraId="6616E4FA" w14:textId="77777777" w:rsidR="00E353FD" w:rsidRPr="00A41B49" w:rsidRDefault="00E353FD" w:rsidP="00E353FD">
            <w:pPr>
              <w:rPr>
                <w:sz w:val="18"/>
                <w:szCs w:val="18"/>
              </w:rPr>
            </w:pPr>
            <w:r w:rsidRPr="00A41B49">
              <w:rPr>
                <w:sz w:val="18"/>
                <w:szCs w:val="18"/>
              </w:rPr>
              <w:t>Overall</w:t>
            </w:r>
          </w:p>
          <w:p w14:paraId="175B4448" w14:textId="77777777" w:rsidR="00E353FD" w:rsidRPr="00A41B49" w:rsidRDefault="00E353FD" w:rsidP="00E353FD">
            <w:pPr>
              <w:rPr>
                <w:sz w:val="18"/>
                <w:szCs w:val="18"/>
              </w:rPr>
            </w:pPr>
            <w:r w:rsidRPr="00A41B49">
              <w:rPr>
                <w:sz w:val="18"/>
                <w:szCs w:val="18"/>
              </w:rPr>
              <w:t>62.7 – 103%</w:t>
            </w:r>
          </w:p>
          <w:p w14:paraId="2357427E" w14:textId="77777777" w:rsidR="00E353FD" w:rsidRPr="00A41B49" w:rsidRDefault="00E353FD" w:rsidP="00E353FD">
            <w:pPr>
              <w:rPr>
                <w:sz w:val="18"/>
                <w:szCs w:val="18"/>
              </w:rPr>
            </w:pPr>
          </w:p>
          <w:p w14:paraId="659EA86C" w14:textId="77777777" w:rsidR="00E353FD" w:rsidRPr="00A41B49" w:rsidRDefault="00E353FD" w:rsidP="00E353FD">
            <w:pPr>
              <w:rPr>
                <w:sz w:val="18"/>
                <w:szCs w:val="18"/>
              </w:rPr>
            </w:pPr>
            <w:r w:rsidRPr="00A41B49">
              <w:rPr>
                <w:sz w:val="18"/>
                <w:szCs w:val="18"/>
              </w:rPr>
              <w:t>25% r.H:</w:t>
            </w:r>
          </w:p>
          <w:p w14:paraId="12B03079" w14:textId="77777777" w:rsidR="00E353FD" w:rsidRPr="00A41B49" w:rsidRDefault="00E353FD" w:rsidP="00E353FD">
            <w:pPr>
              <w:rPr>
                <w:sz w:val="18"/>
                <w:szCs w:val="18"/>
              </w:rPr>
            </w:pPr>
            <w:r w:rsidRPr="00A41B49">
              <w:rPr>
                <w:sz w:val="18"/>
                <w:szCs w:val="18"/>
              </w:rPr>
              <w:t>95 – 103</w:t>
            </w:r>
          </w:p>
          <w:p w14:paraId="0C404164" w14:textId="77777777" w:rsidR="00E353FD" w:rsidRPr="00A41B49" w:rsidRDefault="00E353FD" w:rsidP="00E353FD">
            <w:pPr>
              <w:rPr>
                <w:sz w:val="18"/>
                <w:szCs w:val="18"/>
              </w:rPr>
            </w:pPr>
          </w:p>
          <w:p w14:paraId="18194BFB" w14:textId="77777777" w:rsidR="00E353FD" w:rsidRPr="00A41B49" w:rsidRDefault="00E353FD" w:rsidP="00E353FD">
            <w:pPr>
              <w:rPr>
                <w:sz w:val="18"/>
                <w:szCs w:val="18"/>
              </w:rPr>
            </w:pPr>
            <w:r w:rsidRPr="00A41B49">
              <w:rPr>
                <w:sz w:val="18"/>
                <w:szCs w:val="18"/>
              </w:rPr>
              <w:t>50% r.H:</w:t>
            </w:r>
          </w:p>
          <w:p w14:paraId="1D84ADEF" w14:textId="77777777" w:rsidR="00E353FD" w:rsidRPr="00A41B49" w:rsidRDefault="00E353FD" w:rsidP="00E353FD">
            <w:pPr>
              <w:rPr>
                <w:sz w:val="18"/>
                <w:szCs w:val="18"/>
              </w:rPr>
            </w:pPr>
            <w:r w:rsidRPr="00A41B49">
              <w:rPr>
                <w:sz w:val="18"/>
                <w:szCs w:val="18"/>
              </w:rPr>
              <w:lastRenderedPageBreak/>
              <w:t>94.2 – 99.4</w:t>
            </w:r>
          </w:p>
          <w:p w14:paraId="061163D3" w14:textId="77777777" w:rsidR="00E353FD" w:rsidRPr="00A41B49" w:rsidRDefault="00E353FD" w:rsidP="00E353FD">
            <w:pPr>
              <w:rPr>
                <w:sz w:val="18"/>
                <w:szCs w:val="18"/>
              </w:rPr>
            </w:pPr>
          </w:p>
          <w:p w14:paraId="642F3964" w14:textId="77777777" w:rsidR="00E353FD" w:rsidRPr="00A41B49" w:rsidRDefault="00E353FD" w:rsidP="00E353FD">
            <w:pPr>
              <w:rPr>
                <w:sz w:val="18"/>
                <w:szCs w:val="18"/>
              </w:rPr>
            </w:pPr>
            <w:r w:rsidRPr="00A41B49">
              <w:rPr>
                <w:sz w:val="18"/>
                <w:szCs w:val="18"/>
              </w:rPr>
              <w:t>80% r.H.:</w:t>
            </w:r>
          </w:p>
          <w:p w14:paraId="02B9A3D3" w14:textId="77777777" w:rsidR="00E353FD" w:rsidRPr="00A41B49" w:rsidRDefault="00E353FD" w:rsidP="00E353FD">
            <w:pPr>
              <w:rPr>
                <w:sz w:val="18"/>
                <w:szCs w:val="18"/>
              </w:rPr>
            </w:pPr>
            <w:r w:rsidRPr="00A41B49">
              <w:rPr>
                <w:sz w:val="18"/>
                <w:szCs w:val="18"/>
              </w:rPr>
              <w:t>62.7 – 86.8</w:t>
            </w:r>
          </w:p>
        </w:tc>
        <w:tc>
          <w:tcPr>
            <w:tcW w:w="268" w:type="pct"/>
          </w:tcPr>
          <w:p w14:paraId="26CE77BF" w14:textId="77777777" w:rsidR="00E353FD" w:rsidRPr="00A41B49" w:rsidRDefault="00E353FD" w:rsidP="00E353FD">
            <w:pPr>
              <w:rPr>
                <w:sz w:val="18"/>
                <w:szCs w:val="18"/>
              </w:rPr>
            </w:pPr>
          </w:p>
          <w:p w14:paraId="59D4A6AA" w14:textId="77777777" w:rsidR="00E353FD" w:rsidRPr="00A41B49" w:rsidRDefault="00E353FD" w:rsidP="00E353FD">
            <w:pPr>
              <w:rPr>
                <w:sz w:val="18"/>
                <w:szCs w:val="18"/>
              </w:rPr>
            </w:pPr>
            <w:r w:rsidRPr="00A41B49">
              <w:rPr>
                <w:sz w:val="18"/>
                <w:szCs w:val="18"/>
              </w:rPr>
              <w:t>90.7</w:t>
            </w:r>
            <w:r w:rsidRPr="00A41B49">
              <w:rPr>
                <w:sz w:val="18"/>
                <w:szCs w:val="18"/>
              </w:rPr>
              <w:br/>
            </w:r>
          </w:p>
          <w:p w14:paraId="4E0AB527" w14:textId="77777777" w:rsidR="00E353FD" w:rsidRPr="00A41B49" w:rsidRDefault="00E353FD" w:rsidP="00E353FD">
            <w:pPr>
              <w:rPr>
                <w:sz w:val="18"/>
                <w:szCs w:val="18"/>
              </w:rPr>
            </w:pPr>
          </w:p>
          <w:p w14:paraId="0BD47A81" w14:textId="77777777" w:rsidR="00E353FD" w:rsidRPr="00A41B49" w:rsidRDefault="00E353FD" w:rsidP="00E353FD">
            <w:pPr>
              <w:rPr>
                <w:sz w:val="18"/>
                <w:szCs w:val="18"/>
              </w:rPr>
            </w:pPr>
          </w:p>
          <w:p w14:paraId="716C5877" w14:textId="77777777" w:rsidR="00E353FD" w:rsidRPr="00A41B49" w:rsidRDefault="00E353FD" w:rsidP="00E353FD">
            <w:pPr>
              <w:rPr>
                <w:sz w:val="18"/>
                <w:szCs w:val="18"/>
              </w:rPr>
            </w:pPr>
            <w:r w:rsidRPr="00A41B49">
              <w:rPr>
                <w:sz w:val="18"/>
                <w:szCs w:val="18"/>
              </w:rPr>
              <w:t>98.2</w:t>
            </w:r>
          </w:p>
          <w:p w14:paraId="648AB082" w14:textId="77777777" w:rsidR="00E353FD" w:rsidRPr="00A41B49" w:rsidRDefault="00E353FD" w:rsidP="00E353FD">
            <w:pPr>
              <w:rPr>
                <w:sz w:val="18"/>
                <w:szCs w:val="18"/>
              </w:rPr>
            </w:pPr>
          </w:p>
          <w:p w14:paraId="37A25EFE" w14:textId="77777777" w:rsidR="00E353FD" w:rsidRPr="00A41B49" w:rsidRDefault="00E353FD" w:rsidP="00E353FD">
            <w:pPr>
              <w:rPr>
                <w:sz w:val="18"/>
                <w:szCs w:val="18"/>
              </w:rPr>
            </w:pPr>
          </w:p>
          <w:p w14:paraId="6B230219" w14:textId="77777777" w:rsidR="00E353FD" w:rsidRPr="00A41B49" w:rsidRDefault="00E353FD" w:rsidP="00E353FD">
            <w:pPr>
              <w:rPr>
                <w:sz w:val="18"/>
                <w:szCs w:val="18"/>
              </w:rPr>
            </w:pPr>
            <w:r w:rsidRPr="00A41B49">
              <w:rPr>
                <w:sz w:val="18"/>
                <w:szCs w:val="18"/>
              </w:rPr>
              <w:t>97.2</w:t>
            </w:r>
            <w:r w:rsidRPr="00A41B49">
              <w:rPr>
                <w:sz w:val="18"/>
                <w:szCs w:val="18"/>
              </w:rPr>
              <w:br/>
            </w:r>
            <w:r w:rsidRPr="00A41B49">
              <w:rPr>
                <w:sz w:val="18"/>
                <w:szCs w:val="18"/>
              </w:rPr>
              <w:br/>
            </w:r>
            <w:r w:rsidRPr="00A41B49">
              <w:rPr>
                <w:sz w:val="18"/>
                <w:szCs w:val="18"/>
              </w:rPr>
              <w:lastRenderedPageBreak/>
              <w:br/>
              <w:t>76.5</w:t>
            </w:r>
          </w:p>
        </w:tc>
        <w:tc>
          <w:tcPr>
            <w:tcW w:w="316" w:type="pct"/>
          </w:tcPr>
          <w:p w14:paraId="39147264" w14:textId="77777777" w:rsidR="00E353FD" w:rsidRPr="00A41B49" w:rsidRDefault="00E353FD" w:rsidP="00E353FD">
            <w:pPr>
              <w:rPr>
                <w:sz w:val="18"/>
                <w:szCs w:val="18"/>
              </w:rPr>
            </w:pPr>
          </w:p>
          <w:p w14:paraId="6075432A" w14:textId="77777777" w:rsidR="00E353FD" w:rsidRPr="00A41B49" w:rsidRDefault="00E353FD" w:rsidP="00E353FD">
            <w:pPr>
              <w:rPr>
                <w:sz w:val="18"/>
                <w:szCs w:val="18"/>
              </w:rPr>
            </w:pPr>
            <w:r w:rsidRPr="00A41B49">
              <w:rPr>
                <w:sz w:val="18"/>
                <w:szCs w:val="18"/>
              </w:rPr>
              <w:t>12.6</w:t>
            </w:r>
            <w:r w:rsidRPr="00A41B49">
              <w:rPr>
                <w:sz w:val="18"/>
                <w:szCs w:val="18"/>
              </w:rPr>
              <w:br/>
            </w:r>
          </w:p>
          <w:p w14:paraId="0D9E7E20" w14:textId="77777777" w:rsidR="00E353FD" w:rsidRPr="00A41B49" w:rsidRDefault="00E353FD" w:rsidP="00E353FD">
            <w:pPr>
              <w:rPr>
                <w:sz w:val="18"/>
                <w:szCs w:val="18"/>
              </w:rPr>
            </w:pPr>
          </w:p>
          <w:p w14:paraId="14593944" w14:textId="77777777" w:rsidR="00E353FD" w:rsidRPr="00A41B49" w:rsidRDefault="00E353FD" w:rsidP="00E353FD">
            <w:pPr>
              <w:rPr>
                <w:sz w:val="18"/>
                <w:szCs w:val="18"/>
              </w:rPr>
            </w:pPr>
          </w:p>
          <w:p w14:paraId="3DF69C8D" w14:textId="77777777" w:rsidR="00E353FD" w:rsidRPr="00A41B49" w:rsidRDefault="00E353FD" w:rsidP="00E353FD">
            <w:pPr>
              <w:rPr>
                <w:sz w:val="18"/>
                <w:szCs w:val="18"/>
              </w:rPr>
            </w:pPr>
            <w:r w:rsidRPr="00A41B49">
              <w:rPr>
                <w:sz w:val="18"/>
                <w:szCs w:val="18"/>
              </w:rPr>
              <w:t>4.2</w:t>
            </w:r>
          </w:p>
          <w:p w14:paraId="38E0A590" w14:textId="77777777" w:rsidR="00E353FD" w:rsidRPr="00A41B49" w:rsidRDefault="00E353FD" w:rsidP="00E353FD">
            <w:pPr>
              <w:rPr>
                <w:sz w:val="18"/>
                <w:szCs w:val="18"/>
              </w:rPr>
            </w:pPr>
          </w:p>
          <w:p w14:paraId="1D3C6513" w14:textId="77777777" w:rsidR="00E353FD" w:rsidRPr="00A41B49" w:rsidRDefault="00E353FD" w:rsidP="00E353FD">
            <w:pPr>
              <w:rPr>
                <w:sz w:val="18"/>
                <w:szCs w:val="18"/>
              </w:rPr>
            </w:pPr>
          </w:p>
          <w:p w14:paraId="30FE42A0" w14:textId="77777777" w:rsidR="00E353FD" w:rsidRPr="00A41B49" w:rsidRDefault="00E353FD" w:rsidP="00E353FD">
            <w:pPr>
              <w:rPr>
                <w:sz w:val="18"/>
                <w:szCs w:val="18"/>
              </w:rPr>
            </w:pPr>
            <w:r w:rsidRPr="00A41B49">
              <w:rPr>
                <w:sz w:val="18"/>
                <w:szCs w:val="18"/>
              </w:rPr>
              <w:t>2.7</w:t>
            </w:r>
          </w:p>
          <w:p w14:paraId="254EBADC" w14:textId="77777777" w:rsidR="00E353FD" w:rsidRPr="00A41B49" w:rsidRDefault="00E353FD" w:rsidP="00E353FD">
            <w:pPr>
              <w:rPr>
                <w:sz w:val="18"/>
                <w:szCs w:val="18"/>
              </w:rPr>
            </w:pPr>
          </w:p>
          <w:p w14:paraId="58634F61" w14:textId="77777777" w:rsidR="00E353FD" w:rsidRPr="00A41B49" w:rsidRDefault="00E353FD" w:rsidP="00E353FD">
            <w:pPr>
              <w:rPr>
                <w:sz w:val="18"/>
                <w:szCs w:val="18"/>
              </w:rPr>
            </w:pPr>
          </w:p>
          <w:p w14:paraId="74E924AF" w14:textId="77777777" w:rsidR="00E353FD" w:rsidRPr="00A41B49" w:rsidRDefault="00E353FD" w:rsidP="00E353FD">
            <w:pPr>
              <w:rPr>
                <w:sz w:val="18"/>
                <w:szCs w:val="18"/>
              </w:rPr>
            </w:pPr>
            <w:r w:rsidRPr="00A41B49">
              <w:rPr>
                <w:sz w:val="18"/>
                <w:szCs w:val="18"/>
              </w:rPr>
              <w:t>12.4</w:t>
            </w:r>
          </w:p>
        </w:tc>
        <w:tc>
          <w:tcPr>
            <w:tcW w:w="448" w:type="pct"/>
            <w:vAlign w:val="center"/>
          </w:tcPr>
          <w:p w14:paraId="2F3155B8" w14:textId="77777777" w:rsidR="00E353FD" w:rsidRPr="00A41B49" w:rsidRDefault="00E353FD" w:rsidP="00E353FD">
            <w:pPr>
              <w:pStyle w:val="Standard-italics"/>
              <w:jc w:val="center"/>
              <w:rPr>
                <w:i w:val="0"/>
                <w:sz w:val="18"/>
                <w:szCs w:val="18"/>
              </w:rPr>
            </w:pPr>
            <w:r w:rsidRPr="00A41B49">
              <w:rPr>
                <w:i w:val="0"/>
                <w:sz w:val="18"/>
                <w:szCs w:val="18"/>
              </w:rPr>
              <w:lastRenderedPageBreak/>
              <w:t>LOD = 0.0004 ppm (2.5 L air sample)</w:t>
            </w:r>
          </w:p>
          <w:p w14:paraId="12B24F56" w14:textId="77777777" w:rsidR="00E353FD" w:rsidRPr="00A41B49" w:rsidRDefault="00E353FD" w:rsidP="00E353FD">
            <w:pPr>
              <w:spacing w:before="60" w:after="60"/>
              <w:jc w:val="center"/>
              <w:rPr>
                <w:sz w:val="18"/>
                <w:szCs w:val="18"/>
              </w:rPr>
            </w:pPr>
            <w:r w:rsidRPr="00A41B49">
              <w:rPr>
                <w:sz w:val="18"/>
                <w:szCs w:val="18"/>
              </w:rPr>
              <w:t>LOQ = 0.001 ppm (2.5 L air sample)</w:t>
            </w:r>
          </w:p>
        </w:tc>
        <w:tc>
          <w:tcPr>
            <w:tcW w:w="323" w:type="pct"/>
          </w:tcPr>
          <w:p w14:paraId="5D9A4166" w14:textId="77777777" w:rsidR="00E353FD" w:rsidRPr="00A41B49" w:rsidRDefault="00E353FD" w:rsidP="00E353FD">
            <w:pPr>
              <w:spacing w:before="60" w:after="60"/>
              <w:jc w:val="center"/>
              <w:rPr>
                <w:sz w:val="18"/>
                <w:szCs w:val="18"/>
                <w:lang w:val="it-IT"/>
              </w:rPr>
            </w:pPr>
            <w:r w:rsidRPr="00A41B49">
              <w:rPr>
                <w:sz w:val="18"/>
                <w:szCs w:val="18"/>
                <w:lang w:val="it-IT"/>
              </w:rPr>
              <w:t>0.1 mg/m</w:t>
            </w:r>
            <w:r w:rsidRPr="00A41B49">
              <w:rPr>
                <w:sz w:val="18"/>
                <w:szCs w:val="18"/>
                <w:vertAlign w:val="superscript"/>
                <w:lang w:val="it-IT"/>
              </w:rPr>
              <w:t>3</w:t>
            </w:r>
            <w:r w:rsidRPr="00A41B49">
              <w:rPr>
                <w:sz w:val="18"/>
                <w:szCs w:val="18"/>
                <w:lang w:val="it-IT"/>
              </w:rPr>
              <w:t>**</w:t>
            </w:r>
          </w:p>
        </w:tc>
        <w:tc>
          <w:tcPr>
            <w:tcW w:w="440" w:type="pct"/>
            <w:vMerge w:val="restart"/>
          </w:tcPr>
          <w:p w14:paraId="01CBD7E0" w14:textId="77777777" w:rsidR="00E353FD" w:rsidRPr="00A41B49" w:rsidRDefault="00E353FD" w:rsidP="00E353FD">
            <w:pPr>
              <w:spacing w:before="60" w:after="60"/>
              <w:jc w:val="center"/>
              <w:rPr>
                <w:sz w:val="18"/>
                <w:szCs w:val="18"/>
                <w:u w:val="single"/>
                <w:lang w:val="it-IT"/>
              </w:rPr>
            </w:pPr>
            <w:r w:rsidRPr="00A41B49">
              <w:rPr>
                <w:sz w:val="18"/>
                <w:szCs w:val="18"/>
                <w:u w:val="single"/>
                <w:lang w:val="it-IT"/>
              </w:rPr>
              <w:t>Acceptable</w:t>
            </w:r>
          </w:p>
        </w:tc>
        <w:tc>
          <w:tcPr>
            <w:tcW w:w="337" w:type="pct"/>
            <w:vMerge w:val="restart"/>
            <w:vAlign w:val="center"/>
          </w:tcPr>
          <w:p w14:paraId="04255C7C" w14:textId="77777777" w:rsidR="00E353FD" w:rsidRPr="00A41B49" w:rsidRDefault="00E353FD" w:rsidP="00E353FD">
            <w:pPr>
              <w:spacing w:before="60" w:after="60"/>
              <w:jc w:val="center"/>
              <w:rPr>
                <w:sz w:val="18"/>
                <w:szCs w:val="18"/>
                <w:lang w:val="it-IT"/>
              </w:rPr>
            </w:pPr>
            <w:r w:rsidRPr="00A41B49">
              <w:rPr>
                <w:sz w:val="18"/>
                <w:szCs w:val="18"/>
                <w:lang w:val="it-IT"/>
              </w:rPr>
              <w:t>OSHA, (1994), Doc. No. 592-036; A4.2b/01</w:t>
            </w:r>
          </w:p>
        </w:tc>
      </w:tr>
      <w:tr w:rsidR="00E353FD" w:rsidRPr="00A41B49" w14:paraId="0D0CE3C2" w14:textId="77777777" w:rsidTr="00680CE7">
        <w:tc>
          <w:tcPr>
            <w:tcW w:w="306" w:type="pct"/>
            <w:vMerge/>
            <w:vAlign w:val="center"/>
          </w:tcPr>
          <w:p w14:paraId="12363AF4" w14:textId="77777777" w:rsidR="00E353FD" w:rsidRPr="00A41B49" w:rsidRDefault="00E353FD" w:rsidP="00E353FD">
            <w:pPr>
              <w:spacing w:before="60" w:after="60"/>
              <w:jc w:val="center"/>
              <w:rPr>
                <w:sz w:val="18"/>
                <w:szCs w:val="18"/>
              </w:rPr>
            </w:pPr>
          </w:p>
        </w:tc>
        <w:tc>
          <w:tcPr>
            <w:tcW w:w="434" w:type="pct"/>
            <w:vMerge/>
            <w:vAlign w:val="center"/>
          </w:tcPr>
          <w:p w14:paraId="45806E0E" w14:textId="77777777" w:rsidR="00E353FD" w:rsidRPr="00A41B49" w:rsidRDefault="00E353FD" w:rsidP="00E353FD">
            <w:pPr>
              <w:spacing w:before="60" w:after="60"/>
              <w:jc w:val="center"/>
              <w:rPr>
                <w:sz w:val="18"/>
                <w:szCs w:val="18"/>
              </w:rPr>
            </w:pPr>
          </w:p>
        </w:tc>
        <w:tc>
          <w:tcPr>
            <w:tcW w:w="440" w:type="pct"/>
            <w:vAlign w:val="center"/>
          </w:tcPr>
          <w:p w14:paraId="6B0AF540" w14:textId="77777777" w:rsidR="00E353FD" w:rsidRPr="00A41B49" w:rsidRDefault="00E353FD" w:rsidP="00E353FD">
            <w:pPr>
              <w:pStyle w:val="Standard-italics"/>
              <w:keepNext w:val="0"/>
              <w:jc w:val="center"/>
              <w:rPr>
                <w:i w:val="0"/>
                <w:sz w:val="18"/>
                <w:szCs w:val="18"/>
              </w:rPr>
            </w:pPr>
            <w:r w:rsidRPr="00A41B49">
              <w:rPr>
                <w:i w:val="0"/>
                <w:sz w:val="18"/>
                <w:szCs w:val="18"/>
              </w:rPr>
              <w:t xml:space="preserve">In case of high air humidity, air sampled using impingers containing an alkaline collection solution and iodide is determined by IC-PED. The use of bubblers is expected to enhance the recovery due to </w:t>
            </w:r>
            <w:r w:rsidRPr="00A41B49">
              <w:rPr>
                <w:i w:val="0"/>
                <w:sz w:val="18"/>
                <w:szCs w:val="18"/>
              </w:rPr>
              <w:lastRenderedPageBreak/>
              <w:t>increased dispersion.</w:t>
            </w:r>
          </w:p>
        </w:tc>
        <w:tc>
          <w:tcPr>
            <w:tcW w:w="530" w:type="pct"/>
          </w:tcPr>
          <w:p w14:paraId="1E6F7876" w14:textId="77777777" w:rsidR="00E353FD" w:rsidRPr="00A41B49" w:rsidRDefault="00E353FD" w:rsidP="00E353FD">
            <w:pPr>
              <w:pStyle w:val="Standard-italics"/>
              <w:rPr>
                <w:i w:val="0"/>
                <w:sz w:val="18"/>
                <w:szCs w:val="18"/>
              </w:rPr>
            </w:pPr>
            <w:r w:rsidRPr="00A41B49">
              <w:rPr>
                <w:i w:val="0"/>
                <w:sz w:val="18"/>
                <w:szCs w:val="18"/>
              </w:rPr>
              <w:lastRenderedPageBreak/>
              <w:t>Air at concentration of 0.05, 0.1 and 0.2 ppm and  relative humidities of 80% were sampled.</w:t>
            </w:r>
          </w:p>
          <w:p w14:paraId="356D0309" w14:textId="77777777" w:rsidR="00E353FD" w:rsidRPr="00A41B49" w:rsidRDefault="00E353FD" w:rsidP="00E353FD">
            <w:pPr>
              <w:pStyle w:val="Standard-italics"/>
              <w:rPr>
                <w:i w:val="0"/>
                <w:sz w:val="18"/>
                <w:szCs w:val="18"/>
              </w:rPr>
            </w:pPr>
            <w:r w:rsidRPr="00A41B49">
              <w:rPr>
                <w:i w:val="0"/>
                <w:sz w:val="18"/>
                <w:szCs w:val="18"/>
              </w:rPr>
              <w:t xml:space="preserve">3 measurements per concentration </w:t>
            </w:r>
          </w:p>
        </w:tc>
        <w:tc>
          <w:tcPr>
            <w:tcW w:w="444" w:type="pct"/>
          </w:tcPr>
          <w:p w14:paraId="321A44A4" w14:textId="77777777" w:rsidR="00E353FD" w:rsidRPr="00A41B49" w:rsidRDefault="00E353FD" w:rsidP="00E353FD">
            <w:pPr>
              <w:spacing w:before="60" w:after="60"/>
              <w:jc w:val="center"/>
              <w:rPr>
                <w:sz w:val="18"/>
                <w:szCs w:val="18"/>
              </w:rPr>
            </w:pPr>
            <w:r w:rsidRPr="00A41B49">
              <w:rPr>
                <w:sz w:val="18"/>
                <w:szCs w:val="18"/>
              </w:rPr>
              <w:t>See above</w:t>
            </w:r>
          </w:p>
        </w:tc>
        <w:tc>
          <w:tcPr>
            <w:tcW w:w="353" w:type="pct"/>
          </w:tcPr>
          <w:p w14:paraId="34C80F49" w14:textId="77777777" w:rsidR="00E353FD" w:rsidRPr="00A41B49" w:rsidRDefault="00E353FD" w:rsidP="00E353FD">
            <w:pPr>
              <w:spacing w:before="60" w:after="60"/>
              <w:rPr>
                <w:sz w:val="18"/>
                <w:szCs w:val="18"/>
              </w:rPr>
            </w:pPr>
            <w:r w:rsidRPr="00A41B49">
              <w:rPr>
                <w:sz w:val="18"/>
                <w:szCs w:val="18"/>
              </w:rPr>
              <w:t>See above</w:t>
            </w:r>
          </w:p>
        </w:tc>
        <w:tc>
          <w:tcPr>
            <w:tcW w:w="361" w:type="pct"/>
          </w:tcPr>
          <w:p w14:paraId="79FF36D6" w14:textId="77777777" w:rsidR="00E353FD" w:rsidRPr="00A41B49" w:rsidRDefault="00E353FD" w:rsidP="00E353FD">
            <w:pPr>
              <w:rPr>
                <w:sz w:val="18"/>
                <w:szCs w:val="18"/>
              </w:rPr>
            </w:pPr>
            <w:r w:rsidRPr="00A41B49">
              <w:rPr>
                <w:sz w:val="18"/>
                <w:szCs w:val="18"/>
              </w:rPr>
              <w:t>Overall range:</w:t>
            </w:r>
          </w:p>
          <w:p w14:paraId="4EE7AF58" w14:textId="77777777" w:rsidR="00E353FD" w:rsidRPr="00A41B49" w:rsidRDefault="00E353FD" w:rsidP="00E353FD">
            <w:pPr>
              <w:rPr>
                <w:sz w:val="18"/>
                <w:szCs w:val="18"/>
              </w:rPr>
            </w:pPr>
            <w:r w:rsidRPr="00A41B49">
              <w:rPr>
                <w:sz w:val="18"/>
                <w:szCs w:val="18"/>
              </w:rPr>
              <w:t>86.3 – 95.1%</w:t>
            </w:r>
          </w:p>
        </w:tc>
        <w:tc>
          <w:tcPr>
            <w:tcW w:w="268" w:type="pct"/>
          </w:tcPr>
          <w:p w14:paraId="293EA9B2" w14:textId="77777777" w:rsidR="00E353FD" w:rsidRPr="00A41B49" w:rsidRDefault="00E353FD" w:rsidP="00E353FD">
            <w:pPr>
              <w:rPr>
                <w:sz w:val="18"/>
                <w:szCs w:val="18"/>
                <w:lang w:val="da-DK"/>
              </w:rPr>
            </w:pPr>
            <w:r w:rsidRPr="00A41B49">
              <w:rPr>
                <w:sz w:val="18"/>
                <w:szCs w:val="18"/>
                <w:lang w:val="da-DK"/>
              </w:rPr>
              <w:t>95.1 at 0.05 ppm</w:t>
            </w:r>
          </w:p>
          <w:p w14:paraId="6400ECA0" w14:textId="77777777" w:rsidR="00E353FD" w:rsidRPr="00A41B49" w:rsidRDefault="00E353FD" w:rsidP="00E353FD">
            <w:pPr>
              <w:rPr>
                <w:sz w:val="18"/>
                <w:szCs w:val="18"/>
                <w:lang w:val="da-DK"/>
              </w:rPr>
            </w:pPr>
          </w:p>
          <w:p w14:paraId="1282A399" w14:textId="77777777" w:rsidR="00E353FD" w:rsidRPr="00A41B49" w:rsidRDefault="00E353FD" w:rsidP="00E353FD">
            <w:pPr>
              <w:rPr>
                <w:sz w:val="18"/>
                <w:szCs w:val="18"/>
              </w:rPr>
            </w:pPr>
            <w:r w:rsidRPr="00A41B49">
              <w:rPr>
                <w:sz w:val="18"/>
                <w:szCs w:val="18"/>
              </w:rPr>
              <w:t>94.8 at 0.1 ppm</w:t>
            </w:r>
          </w:p>
          <w:p w14:paraId="38CAE685" w14:textId="77777777" w:rsidR="00E353FD" w:rsidRPr="00A41B49" w:rsidRDefault="00E353FD" w:rsidP="00E353FD">
            <w:pPr>
              <w:rPr>
                <w:sz w:val="18"/>
                <w:szCs w:val="18"/>
              </w:rPr>
            </w:pPr>
          </w:p>
          <w:p w14:paraId="5AFA5029" w14:textId="77777777" w:rsidR="00E353FD" w:rsidRPr="00A41B49" w:rsidRDefault="00E353FD" w:rsidP="00E353FD">
            <w:pPr>
              <w:rPr>
                <w:sz w:val="18"/>
                <w:szCs w:val="18"/>
              </w:rPr>
            </w:pPr>
            <w:r w:rsidRPr="00A41B49">
              <w:rPr>
                <w:sz w:val="18"/>
                <w:szCs w:val="18"/>
              </w:rPr>
              <w:t>86.3 at 0.2 ppm</w:t>
            </w:r>
          </w:p>
          <w:p w14:paraId="4FE2188C" w14:textId="77777777" w:rsidR="00E353FD" w:rsidRPr="00A41B49" w:rsidRDefault="00E353FD" w:rsidP="00E353FD">
            <w:pPr>
              <w:rPr>
                <w:sz w:val="18"/>
                <w:szCs w:val="18"/>
              </w:rPr>
            </w:pPr>
          </w:p>
        </w:tc>
        <w:tc>
          <w:tcPr>
            <w:tcW w:w="316" w:type="pct"/>
          </w:tcPr>
          <w:p w14:paraId="2FD4A307" w14:textId="77777777" w:rsidR="00E353FD" w:rsidRPr="00A41B49" w:rsidRDefault="00E353FD" w:rsidP="00E353FD">
            <w:pPr>
              <w:rPr>
                <w:sz w:val="18"/>
                <w:szCs w:val="18"/>
              </w:rPr>
            </w:pPr>
            <w:r w:rsidRPr="00A41B49">
              <w:rPr>
                <w:sz w:val="18"/>
                <w:szCs w:val="18"/>
              </w:rPr>
              <w:t>Range:</w:t>
            </w:r>
          </w:p>
          <w:p w14:paraId="0B7F1A2A" w14:textId="77777777" w:rsidR="00E353FD" w:rsidRPr="00A41B49" w:rsidRDefault="00E353FD" w:rsidP="00E353FD">
            <w:pPr>
              <w:rPr>
                <w:sz w:val="18"/>
                <w:szCs w:val="18"/>
              </w:rPr>
            </w:pPr>
            <w:r w:rsidRPr="00A41B49">
              <w:rPr>
                <w:sz w:val="18"/>
                <w:szCs w:val="18"/>
              </w:rPr>
              <w:t>0.002 – 0.005</w:t>
            </w:r>
          </w:p>
        </w:tc>
        <w:tc>
          <w:tcPr>
            <w:tcW w:w="448" w:type="pct"/>
            <w:vAlign w:val="center"/>
          </w:tcPr>
          <w:p w14:paraId="261B6FD6" w14:textId="77777777" w:rsidR="00E353FD" w:rsidRPr="00A41B49" w:rsidRDefault="00E353FD" w:rsidP="00E353FD">
            <w:pPr>
              <w:pStyle w:val="Standard-italics"/>
              <w:jc w:val="center"/>
              <w:rPr>
                <w:i w:val="0"/>
                <w:sz w:val="18"/>
                <w:szCs w:val="18"/>
              </w:rPr>
            </w:pPr>
            <w:r w:rsidRPr="00A41B49">
              <w:rPr>
                <w:i w:val="0"/>
                <w:sz w:val="18"/>
                <w:szCs w:val="18"/>
              </w:rPr>
              <w:t>See above</w:t>
            </w:r>
          </w:p>
        </w:tc>
        <w:tc>
          <w:tcPr>
            <w:tcW w:w="323" w:type="pct"/>
          </w:tcPr>
          <w:p w14:paraId="059E2F86" w14:textId="77777777" w:rsidR="00E353FD" w:rsidRPr="00A41B49" w:rsidRDefault="00E353FD" w:rsidP="00E353FD">
            <w:pPr>
              <w:spacing w:before="60" w:after="60"/>
              <w:jc w:val="center"/>
              <w:rPr>
                <w:sz w:val="18"/>
                <w:szCs w:val="18"/>
              </w:rPr>
            </w:pPr>
          </w:p>
        </w:tc>
        <w:tc>
          <w:tcPr>
            <w:tcW w:w="440" w:type="pct"/>
            <w:vMerge/>
          </w:tcPr>
          <w:p w14:paraId="2091E5CC" w14:textId="77777777" w:rsidR="00E353FD" w:rsidRPr="00A41B49" w:rsidRDefault="00E353FD" w:rsidP="00E353FD">
            <w:pPr>
              <w:spacing w:before="60" w:after="60"/>
              <w:jc w:val="center"/>
              <w:rPr>
                <w:sz w:val="18"/>
                <w:szCs w:val="18"/>
              </w:rPr>
            </w:pPr>
          </w:p>
        </w:tc>
        <w:tc>
          <w:tcPr>
            <w:tcW w:w="337" w:type="pct"/>
            <w:vMerge/>
            <w:vAlign w:val="center"/>
          </w:tcPr>
          <w:p w14:paraId="18298CD7" w14:textId="77777777" w:rsidR="00E353FD" w:rsidRPr="00A41B49" w:rsidRDefault="00E353FD" w:rsidP="00E353FD">
            <w:pPr>
              <w:spacing w:before="60" w:after="60"/>
              <w:jc w:val="center"/>
              <w:rPr>
                <w:sz w:val="18"/>
                <w:szCs w:val="18"/>
              </w:rPr>
            </w:pPr>
          </w:p>
        </w:tc>
      </w:tr>
      <w:tr w:rsidR="00E353FD" w:rsidRPr="00A41B49" w14:paraId="26E43A4A" w14:textId="77777777" w:rsidTr="00680CE7">
        <w:tc>
          <w:tcPr>
            <w:tcW w:w="306" w:type="pct"/>
            <w:vAlign w:val="center"/>
          </w:tcPr>
          <w:p w14:paraId="428A402D" w14:textId="77777777" w:rsidR="00E353FD" w:rsidRPr="00A41B49" w:rsidRDefault="00E353FD" w:rsidP="00E353FD">
            <w:pPr>
              <w:keepNext/>
              <w:spacing w:before="60" w:after="60"/>
              <w:jc w:val="center"/>
              <w:rPr>
                <w:sz w:val="18"/>
                <w:szCs w:val="18"/>
              </w:rPr>
            </w:pPr>
            <w:r w:rsidRPr="00A41B49">
              <w:rPr>
                <w:sz w:val="18"/>
                <w:szCs w:val="18"/>
              </w:rPr>
              <w:t>Water</w:t>
            </w:r>
          </w:p>
          <w:p w14:paraId="4CCCC8C0" w14:textId="77777777" w:rsidR="00E353FD" w:rsidRPr="00A41B49" w:rsidRDefault="00E353FD" w:rsidP="00E353FD">
            <w:pPr>
              <w:keepNext/>
              <w:spacing w:before="60" w:after="60"/>
              <w:jc w:val="center"/>
              <w:rPr>
                <w:sz w:val="18"/>
                <w:szCs w:val="18"/>
              </w:rPr>
            </w:pPr>
            <w:r w:rsidRPr="00A41B49">
              <w:rPr>
                <w:sz w:val="18"/>
                <w:szCs w:val="18"/>
              </w:rPr>
              <w:t>(synthetic drinking water, industrial and domestic sewage)</w:t>
            </w:r>
          </w:p>
        </w:tc>
        <w:tc>
          <w:tcPr>
            <w:tcW w:w="434" w:type="pct"/>
            <w:vAlign w:val="center"/>
          </w:tcPr>
          <w:p w14:paraId="673E55C0" w14:textId="77777777" w:rsidR="00E353FD" w:rsidRPr="00A41B49" w:rsidRDefault="00E353FD" w:rsidP="00E353FD">
            <w:pPr>
              <w:keepNext/>
              <w:spacing w:before="60" w:after="60"/>
              <w:jc w:val="center"/>
              <w:rPr>
                <w:sz w:val="18"/>
                <w:szCs w:val="18"/>
              </w:rPr>
            </w:pPr>
            <w:r w:rsidRPr="00A41B49">
              <w:rPr>
                <w:sz w:val="18"/>
                <w:szCs w:val="18"/>
              </w:rPr>
              <w:t>iodide</w:t>
            </w:r>
          </w:p>
        </w:tc>
        <w:tc>
          <w:tcPr>
            <w:tcW w:w="440" w:type="pct"/>
            <w:vAlign w:val="center"/>
          </w:tcPr>
          <w:p w14:paraId="5D6C8515" w14:textId="77777777" w:rsidR="00E353FD" w:rsidRPr="00A41B49" w:rsidRDefault="00E353FD" w:rsidP="00E353FD">
            <w:pPr>
              <w:pStyle w:val="Standard-italics"/>
              <w:jc w:val="center"/>
              <w:rPr>
                <w:i w:val="0"/>
                <w:sz w:val="18"/>
                <w:szCs w:val="18"/>
              </w:rPr>
            </w:pPr>
            <w:r w:rsidRPr="00A41B49">
              <w:rPr>
                <w:i w:val="0"/>
                <w:sz w:val="18"/>
                <w:szCs w:val="18"/>
              </w:rPr>
              <w:t>Ion chromatographic separation (IC) and conductivity or UV detection</w:t>
            </w:r>
          </w:p>
        </w:tc>
        <w:tc>
          <w:tcPr>
            <w:tcW w:w="530" w:type="pct"/>
            <w:vAlign w:val="center"/>
          </w:tcPr>
          <w:p w14:paraId="273A6AC5" w14:textId="77777777" w:rsidR="00E353FD" w:rsidRPr="00A41B49" w:rsidRDefault="00E353FD" w:rsidP="00E353FD">
            <w:pPr>
              <w:keepNext/>
              <w:spacing w:before="60" w:after="60"/>
              <w:jc w:val="center"/>
              <w:rPr>
                <w:sz w:val="18"/>
                <w:szCs w:val="18"/>
              </w:rPr>
            </w:pPr>
            <w:r w:rsidRPr="00A41B49">
              <w:rPr>
                <w:sz w:val="18"/>
                <w:szCs w:val="18"/>
              </w:rPr>
              <w:t>No fortification and determination of recovery rates performed.</w:t>
            </w:r>
          </w:p>
        </w:tc>
        <w:tc>
          <w:tcPr>
            <w:tcW w:w="444" w:type="pct"/>
            <w:vAlign w:val="center"/>
          </w:tcPr>
          <w:p w14:paraId="071ECFE0" w14:textId="77777777" w:rsidR="00E353FD" w:rsidRPr="00A41B49" w:rsidRDefault="00E353FD" w:rsidP="00E353FD">
            <w:pPr>
              <w:keepNext/>
              <w:spacing w:before="60" w:after="60"/>
              <w:jc w:val="center"/>
              <w:rPr>
                <w:sz w:val="18"/>
                <w:szCs w:val="18"/>
              </w:rPr>
            </w:pPr>
            <w:r w:rsidRPr="00A41B49">
              <w:rPr>
                <w:sz w:val="18"/>
                <w:szCs w:val="18"/>
              </w:rPr>
              <w:t>Working range: 0.1 – 50 mg I/L</w:t>
            </w:r>
          </w:p>
        </w:tc>
        <w:tc>
          <w:tcPr>
            <w:tcW w:w="353" w:type="pct"/>
            <w:vAlign w:val="center"/>
          </w:tcPr>
          <w:p w14:paraId="441982B7" w14:textId="77777777" w:rsidR="00E353FD" w:rsidRPr="00A41B49" w:rsidRDefault="00E353FD" w:rsidP="00E353FD">
            <w:pPr>
              <w:pStyle w:val="Standard-italics"/>
              <w:rPr>
                <w:i w:val="0"/>
                <w:sz w:val="18"/>
                <w:szCs w:val="18"/>
              </w:rPr>
            </w:pPr>
            <w:r w:rsidRPr="00A41B49">
              <w:rPr>
                <w:i w:val="0"/>
                <w:sz w:val="18"/>
                <w:szCs w:val="18"/>
              </w:rPr>
              <w:t>Organic acids, such as mono- and dicarboxylic acids, can interfere as well as sulphate</w:t>
            </w:r>
            <w:r w:rsidRPr="00A41B49">
              <w:rPr>
                <w:i w:val="0"/>
                <w:sz w:val="18"/>
                <w:szCs w:val="18"/>
              </w:rPr>
              <w:br/>
              <w:t>In case of UV-detection, organic agents may interfere.</w:t>
            </w:r>
          </w:p>
        </w:tc>
        <w:tc>
          <w:tcPr>
            <w:tcW w:w="945" w:type="pct"/>
            <w:gridSpan w:val="3"/>
            <w:vAlign w:val="center"/>
          </w:tcPr>
          <w:p w14:paraId="21B8851E" w14:textId="77777777" w:rsidR="00E353FD" w:rsidRPr="00A41B49" w:rsidRDefault="00E353FD" w:rsidP="00E353FD">
            <w:pPr>
              <w:keepNext/>
              <w:spacing w:before="60" w:after="60"/>
              <w:jc w:val="center"/>
              <w:rPr>
                <w:sz w:val="18"/>
                <w:szCs w:val="18"/>
              </w:rPr>
            </w:pPr>
            <w:r w:rsidRPr="00A41B49">
              <w:rPr>
                <w:sz w:val="18"/>
                <w:szCs w:val="18"/>
              </w:rPr>
              <w:t xml:space="preserve">Not reported. An interlaboratory trial was performed which proved the validity of the method (not generally required as no work up except filtering is performed) </w:t>
            </w:r>
          </w:p>
        </w:tc>
        <w:tc>
          <w:tcPr>
            <w:tcW w:w="448" w:type="pct"/>
          </w:tcPr>
          <w:p w14:paraId="3ED7932F" w14:textId="77777777" w:rsidR="00E353FD" w:rsidRPr="00A41B49" w:rsidRDefault="00E353FD" w:rsidP="00E353FD">
            <w:pPr>
              <w:keepNext/>
              <w:spacing w:before="60" w:after="60"/>
              <w:jc w:val="center"/>
              <w:rPr>
                <w:sz w:val="18"/>
                <w:szCs w:val="18"/>
              </w:rPr>
            </w:pPr>
            <w:r w:rsidRPr="00A41B49">
              <w:rPr>
                <w:sz w:val="18"/>
                <w:szCs w:val="18"/>
              </w:rPr>
              <w:t>LOQ = 0.1 mg/L</w:t>
            </w:r>
          </w:p>
        </w:tc>
        <w:tc>
          <w:tcPr>
            <w:tcW w:w="323" w:type="pct"/>
          </w:tcPr>
          <w:p w14:paraId="6F365042" w14:textId="77777777" w:rsidR="00E353FD" w:rsidRPr="00A41B49" w:rsidRDefault="00E353FD" w:rsidP="00E353FD">
            <w:pPr>
              <w:keepNext/>
              <w:spacing w:before="60" w:after="60"/>
              <w:jc w:val="center"/>
              <w:rPr>
                <w:sz w:val="18"/>
                <w:szCs w:val="18"/>
                <w:lang w:val="it-IT"/>
              </w:rPr>
            </w:pPr>
            <w:r w:rsidRPr="00A41B49">
              <w:rPr>
                <w:sz w:val="18"/>
                <w:szCs w:val="18"/>
                <w:lang w:val="it-IT"/>
              </w:rPr>
              <w:t>0.59 mg/L***</w:t>
            </w:r>
          </w:p>
        </w:tc>
        <w:tc>
          <w:tcPr>
            <w:tcW w:w="440" w:type="pct"/>
          </w:tcPr>
          <w:p w14:paraId="11B1DA2F" w14:textId="77777777" w:rsidR="00E353FD" w:rsidRPr="00A41B49" w:rsidRDefault="00E353FD" w:rsidP="00E353FD">
            <w:pPr>
              <w:keepNext/>
              <w:spacing w:before="60" w:after="60"/>
              <w:jc w:val="center"/>
              <w:rPr>
                <w:sz w:val="18"/>
                <w:szCs w:val="18"/>
                <w:u w:val="single"/>
                <w:lang w:val="it-IT"/>
              </w:rPr>
            </w:pPr>
            <w:r w:rsidRPr="00A41B49">
              <w:rPr>
                <w:sz w:val="18"/>
                <w:szCs w:val="18"/>
                <w:u w:val="single"/>
                <w:lang w:val="it-IT"/>
              </w:rPr>
              <w:t>Acceptable</w:t>
            </w:r>
          </w:p>
          <w:p w14:paraId="6F0BE742" w14:textId="77777777" w:rsidR="00E353FD" w:rsidRPr="00A41B49" w:rsidRDefault="00E353FD" w:rsidP="00E353FD">
            <w:pPr>
              <w:keepNext/>
              <w:spacing w:before="60" w:after="60"/>
              <w:jc w:val="center"/>
              <w:rPr>
                <w:sz w:val="18"/>
                <w:szCs w:val="18"/>
                <w:u w:val="single"/>
                <w:lang w:val="it-IT"/>
              </w:rPr>
            </w:pPr>
            <w:r w:rsidRPr="00A41B49">
              <w:rPr>
                <w:sz w:val="18"/>
                <w:szCs w:val="18"/>
                <w:lang w:val="it-IT"/>
              </w:rPr>
              <w:t>No method required due to low PECs in comparison to natural background levels</w:t>
            </w:r>
          </w:p>
        </w:tc>
        <w:tc>
          <w:tcPr>
            <w:tcW w:w="337" w:type="pct"/>
            <w:vAlign w:val="center"/>
          </w:tcPr>
          <w:p w14:paraId="36B3B2EF" w14:textId="77777777" w:rsidR="00E353FD" w:rsidRPr="00A41B49" w:rsidRDefault="00E353FD" w:rsidP="00E353FD">
            <w:pPr>
              <w:keepNext/>
              <w:spacing w:before="60" w:after="60"/>
              <w:jc w:val="center"/>
              <w:rPr>
                <w:sz w:val="18"/>
                <w:szCs w:val="18"/>
                <w:lang w:val="it-IT"/>
              </w:rPr>
            </w:pPr>
            <w:r w:rsidRPr="00A41B49">
              <w:rPr>
                <w:sz w:val="18"/>
                <w:szCs w:val="18"/>
                <w:lang w:val="it-IT"/>
              </w:rPr>
              <w:t>DIN-ISO 10304</w:t>
            </w:r>
            <w:r w:rsidRPr="00A41B49">
              <w:rPr>
                <w:sz w:val="18"/>
                <w:szCs w:val="18"/>
                <w:lang w:val="it-IT"/>
              </w:rPr>
              <w:noBreakHyphen/>
              <w:t>3, Doc. No. 492-004; A4.2c/01</w:t>
            </w:r>
          </w:p>
        </w:tc>
      </w:tr>
      <w:tr w:rsidR="00E353FD" w:rsidRPr="00A41B49" w14:paraId="5A439029" w14:textId="77777777" w:rsidTr="00680CE7">
        <w:tc>
          <w:tcPr>
            <w:tcW w:w="306" w:type="pct"/>
          </w:tcPr>
          <w:p w14:paraId="1C9CFCF4" w14:textId="77777777" w:rsidR="00E353FD" w:rsidRPr="00A41B49" w:rsidRDefault="00E353FD" w:rsidP="00E353FD">
            <w:pPr>
              <w:spacing w:before="60" w:after="60"/>
              <w:jc w:val="center"/>
              <w:rPr>
                <w:sz w:val="18"/>
                <w:szCs w:val="18"/>
              </w:rPr>
            </w:pPr>
            <w:r w:rsidRPr="00A41B49">
              <w:rPr>
                <w:sz w:val="18"/>
                <w:szCs w:val="18"/>
              </w:rPr>
              <w:t>Water</w:t>
            </w:r>
          </w:p>
        </w:tc>
        <w:tc>
          <w:tcPr>
            <w:tcW w:w="3594" w:type="pct"/>
            <w:gridSpan w:val="9"/>
          </w:tcPr>
          <w:p w14:paraId="4DA0EED6" w14:textId="77777777" w:rsidR="00E353FD" w:rsidRPr="00A41B49" w:rsidRDefault="00E353FD" w:rsidP="00E353FD">
            <w:pPr>
              <w:spacing w:before="60" w:after="60"/>
              <w:rPr>
                <w:sz w:val="18"/>
                <w:szCs w:val="18"/>
              </w:rPr>
            </w:pPr>
            <w:r w:rsidRPr="00A41B49">
              <w:rPr>
                <w:sz w:val="18"/>
                <w:szCs w:val="18"/>
              </w:rPr>
              <w:t>Reference is made to the method described for the determination of iodide in soil. This method is also applicable for the determination of iodide in water. The digestion step of the soil sample can be omitted (see above).</w:t>
            </w:r>
          </w:p>
        </w:tc>
        <w:tc>
          <w:tcPr>
            <w:tcW w:w="323" w:type="pct"/>
          </w:tcPr>
          <w:p w14:paraId="31F76B8C" w14:textId="77777777" w:rsidR="00E353FD" w:rsidRPr="00A41B49" w:rsidRDefault="00E353FD" w:rsidP="00E353FD">
            <w:pPr>
              <w:spacing w:before="60" w:after="60"/>
              <w:jc w:val="center"/>
              <w:rPr>
                <w:sz w:val="18"/>
                <w:szCs w:val="18"/>
              </w:rPr>
            </w:pPr>
            <w:r w:rsidRPr="00A41B49">
              <w:rPr>
                <w:sz w:val="18"/>
                <w:szCs w:val="18"/>
              </w:rPr>
              <w:t>-</w:t>
            </w:r>
          </w:p>
        </w:tc>
        <w:tc>
          <w:tcPr>
            <w:tcW w:w="440" w:type="pct"/>
          </w:tcPr>
          <w:p w14:paraId="7BE5B199" w14:textId="77777777" w:rsidR="00E353FD" w:rsidRPr="00A41B49" w:rsidRDefault="00E353FD" w:rsidP="00E353FD">
            <w:pPr>
              <w:spacing w:before="60" w:after="60"/>
              <w:jc w:val="center"/>
              <w:rPr>
                <w:sz w:val="18"/>
                <w:szCs w:val="18"/>
              </w:rPr>
            </w:pPr>
            <w:r w:rsidRPr="00A41B49">
              <w:rPr>
                <w:sz w:val="18"/>
                <w:szCs w:val="18"/>
              </w:rPr>
              <w:t>Not acceptable due to missing supporting data</w:t>
            </w:r>
          </w:p>
          <w:p w14:paraId="35DB2F52" w14:textId="77777777" w:rsidR="00E353FD" w:rsidRPr="00A41B49" w:rsidRDefault="00E353FD" w:rsidP="00E353FD">
            <w:pPr>
              <w:spacing w:before="60" w:after="60"/>
              <w:jc w:val="center"/>
              <w:rPr>
                <w:sz w:val="18"/>
                <w:szCs w:val="18"/>
              </w:rPr>
            </w:pPr>
            <w:r w:rsidRPr="00A41B49">
              <w:rPr>
                <w:sz w:val="18"/>
                <w:szCs w:val="18"/>
                <w:lang w:val="it-IT"/>
              </w:rPr>
              <w:t xml:space="preserve">No method required due to low </w:t>
            </w:r>
            <w:r w:rsidRPr="00A41B49">
              <w:rPr>
                <w:sz w:val="18"/>
                <w:szCs w:val="18"/>
                <w:lang w:val="it-IT"/>
              </w:rPr>
              <w:lastRenderedPageBreak/>
              <w:t>PECs in comparison to natural background levels</w:t>
            </w:r>
          </w:p>
        </w:tc>
        <w:tc>
          <w:tcPr>
            <w:tcW w:w="337" w:type="pct"/>
          </w:tcPr>
          <w:p w14:paraId="34B336A1" w14:textId="77777777" w:rsidR="00E353FD" w:rsidRPr="00A41B49" w:rsidRDefault="00E353FD" w:rsidP="00E353FD">
            <w:pPr>
              <w:spacing w:before="60" w:after="60"/>
              <w:jc w:val="center"/>
              <w:rPr>
                <w:sz w:val="18"/>
                <w:szCs w:val="18"/>
              </w:rPr>
            </w:pPr>
            <w:r w:rsidRPr="00A41B49">
              <w:rPr>
                <w:sz w:val="18"/>
                <w:szCs w:val="18"/>
              </w:rPr>
              <w:lastRenderedPageBreak/>
              <w:t>--</w:t>
            </w:r>
          </w:p>
        </w:tc>
      </w:tr>
      <w:tr w:rsidR="00E353FD" w:rsidRPr="00A41B49" w14:paraId="6661A2EF" w14:textId="77777777" w:rsidTr="00680CE7">
        <w:tc>
          <w:tcPr>
            <w:tcW w:w="306" w:type="pct"/>
            <w:vAlign w:val="center"/>
          </w:tcPr>
          <w:p w14:paraId="6CFE4E48" w14:textId="77777777" w:rsidR="00E353FD" w:rsidRPr="00A41B49" w:rsidRDefault="00E353FD" w:rsidP="00E353FD">
            <w:pPr>
              <w:spacing w:before="60" w:after="60"/>
              <w:jc w:val="center"/>
              <w:rPr>
                <w:i/>
                <w:sz w:val="18"/>
                <w:szCs w:val="18"/>
              </w:rPr>
            </w:pPr>
            <w:r w:rsidRPr="00A41B49">
              <w:rPr>
                <w:sz w:val="18"/>
                <w:szCs w:val="18"/>
              </w:rPr>
              <w:t>Water</w:t>
            </w:r>
          </w:p>
        </w:tc>
        <w:tc>
          <w:tcPr>
            <w:tcW w:w="434" w:type="pct"/>
            <w:vAlign w:val="center"/>
          </w:tcPr>
          <w:p w14:paraId="730E14BE" w14:textId="77777777" w:rsidR="00E353FD" w:rsidRPr="00A41B49" w:rsidRDefault="00E353FD" w:rsidP="00E353FD">
            <w:pPr>
              <w:spacing w:before="60" w:after="60"/>
              <w:jc w:val="center"/>
              <w:rPr>
                <w:i/>
                <w:sz w:val="18"/>
                <w:szCs w:val="18"/>
              </w:rPr>
            </w:pPr>
            <w:r w:rsidRPr="00A41B49">
              <w:rPr>
                <w:sz w:val="18"/>
                <w:szCs w:val="18"/>
              </w:rPr>
              <w:t>iodide</w:t>
            </w:r>
          </w:p>
        </w:tc>
        <w:tc>
          <w:tcPr>
            <w:tcW w:w="440" w:type="pct"/>
            <w:vAlign w:val="center"/>
          </w:tcPr>
          <w:p w14:paraId="7E3EAF23" w14:textId="77777777" w:rsidR="00E353FD" w:rsidRPr="00A41B49" w:rsidRDefault="00E353FD" w:rsidP="00E353FD">
            <w:pPr>
              <w:pStyle w:val="Standard-italics"/>
              <w:keepNext w:val="0"/>
              <w:jc w:val="center"/>
              <w:rPr>
                <w:i w:val="0"/>
                <w:sz w:val="18"/>
                <w:szCs w:val="18"/>
              </w:rPr>
            </w:pPr>
            <w:r w:rsidRPr="00A41B49">
              <w:rPr>
                <w:i w:val="0"/>
                <w:sz w:val="18"/>
                <w:szCs w:val="18"/>
              </w:rPr>
              <w:t>GC-ECD</w:t>
            </w:r>
          </w:p>
        </w:tc>
        <w:tc>
          <w:tcPr>
            <w:tcW w:w="530" w:type="pct"/>
            <w:vAlign w:val="center"/>
          </w:tcPr>
          <w:p w14:paraId="45D1C421" w14:textId="77777777" w:rsidR="00E353FD" w:rsidRPr="00A41B49" w:rsidRDefault="00E353FD" w:rsidP="00E353FD">
            <w:pPr>
              <w:spacing w:before="60" w:after="60"/>
              <w:jc w:val="center"/>
              <w:rPr>
                <w:sz w:val="18"/>
                <w:szCs w:val="18"/>
              </w:rPr>
            </w:pPr>
            <w:r w:rsidRPr="00A41B49">
              <w:rPr>
                <w:sz w:val="18"/>
                <w:szCs w:val="18"/>
              </w:rPr>
              <w:t>For the determination of the recovery, mineral waters were fortified with with KI solutions.</w:t>
            </w:r>
          </w:p>
        </w:tc>
        <w:tc>
          <w:tcPr>
            <w:tcW w:w="444" w:type="pct"/>
            <w:vAlign w:val="center"/>
          </w:tcPr>
          <w:p w14:paraId="1B5E0DEB" w14:textId="77777777" w:rsidR="00E353FD" w:rsidRPr="00A41B49" w:rsidRDefault="00E353FD" w:rsidP="00E353FD">
            <w:pPr>
              <w:spacing w:before="60" w:after="60"/>
              <w:jc w:val="center"/>
              <w:rPr>
                <w:sz w:val="18"/>
                <w:szCs w:val="18"/>
              </w:rPr>
            </w:pPr>
            <w:r w:rsidRPr="00A41B49">
              <w:rPr>
                <w:sz w:val="18"/>
                <w:szCs w:val="18"/>
              </w:rPr>
              <w:t>Not reported</w:t>
            </w:r>
          </w:p>
        </w:tc>
        <w:tc>
          <w:tcPr>
            <w:tcW w:w="353" w:type="pct"/>
            <w:vAlign w:val="center"/>
          </w:tcPr>
          <w:p w14:paraId="0248A161" w14:textId="77777777" w:rsidR="00E353FD" w:rsidRPr="00A41B49" w:rsidRDefault="00E353FD" w:rsidP="00E353FD">
            <w:pPr>
              <w:spacing w:before="60" w:after="60"/>
              <w:jc w:val="center"/>
              <w:rPr>
                <w:sz w:val="18"/>
                <w:szCs w:val="18"/>
              </w:rPr>
            </w:pPr>
            <w:r w:rsidRPr="00A41B49">
              <w:rPr>
                <w:sz w:val="18"/>
                <w:szCs w:val="18"/>
              </w:rPr>
              <w:t>Yes</w:t>
            </w:r>
          </w:p>
        </w:tc>
        <w:tc>
          <w:tcPr>
            <w:tcW w:w="361" w:type="pct"/>
            <w:vAlign w:val="center"/>
          </w:tcPr>
          <w:p w14:paraId="3763B1C6" w14:textId="77777777" w:rsidR="00E353FD" w:rsidRPr="00A41B49" w:rsidRDefault="00E353FD" w:rsidP="00E353FD">
            <w:pPr>
              <w:pStyle w:val="Standard-italics"/>
              <w:keepNext w:val="0"/>
              <w:jc w:val="center"/>
              <w:rPr>
                <w:sz w:val="18"/>
                <w:szCs w:val="18"/>
              </w:rPr>
            </w:pPr>
            <w:r w:rsidRPr="00A41B49">
              <w:rPr>
                <w:i w:val="0"/>
                <w:sz w:val="18"/>
                <w:szCs w:val="18"/>
              </w:rPr>
              <w:t>80 – 110%</w:t>
            </w:r>
          </w:p>
        </w:tc>
        <w:tc>
          <w:tcPr>
            <w:tcW w:w="268" w:type="pct"/>
            <w:vAlign w:val="center"/>
          </w:tcPr>
          <w:p w14:paraId="06A7C0DE" w14:textId="77777777" w:rsidR="00E353FD" w:rsidRPr="00A41B49" w:rsidRDefault="00E353FD" w:rsidP="00E353FD">
            <w:pPr>
              <w:pStyle w:val="Standard-italics"/>
              <w:keepNext w:val="0"/>
              <w:jc w:val="center"/>
              <w:rPr>
                <w:i w:val="0"/>
                <w:sz w:val="18"/>
                <w:szCs w:val="18"/>
              </w:rPr>
            </w:pPr>
            <w:r w:rsidRPr="00A41B49">
              <w:rPr>
                <w:i w:val="0"/>
                <w:sz w:val="18"/>
                <w:szCs w:val="18"/>
              </w:rPr>
              <w:t>92%</w:t>
            </w:r>
          </w:p>
        </w:tc>
        <w:tc>
          <w:tcPr>
            <w:tcW w:w="316" w:type="pct"/>
            <w:vAlign w:val="center"/>
          </w:tcPr>
          <w:p w14:paraId="6C9EB726" w14:textId="77777777" w:rsidR="00E353FD" w:rsidRPr="00A41B49" w:rsidRDefault="00E353FD" w:rsidP="00E353FD">
            <w:pPr>
              <w:pStyle w:val="Standard-italics"/>
              <w:keepNext w:val="0"/>
              <w:jc w:val="center"/>
              <w:rPr>
                <w:i w:val="0"/>
                <w:sz w:val="18"/>
                <w:szCs w:val="18"/>
              </w:rPr>
            </w:pPr>
            <w:r w:rsidRPr="00A41B49">
              <w:rPr>
                <w:i w:val="0"/>
                <w:sz w:val="18"/>
                <w:szCs w:val="18"/>
              </w:rPr>
              <w:t>Not reported</w:t>
            </w:r>
          </w:p>
        </w:tc>
        <w:tc>
          <w:tcPr>
            <w:tcW w:w="448" w:type="pct"/>
            <w:vAlign w:val="center"/>
          </w:tcPr>
          <w:p w14:paraId="1FE516FB" w14:textId="77777777" w:rsidR="00E353FD" w:rsidRPr="00A41B49" w:rsidRDefault="00E353FD" w:rsidP="00E353FD">
            <w:pPr>
              <w:pStyle w:val="Standard-italics"/>
              <w:keepNext w:val="0"/>
              <w:rPr>
                <w:i w:val="0"/>
                <w:sz w:val="18"/>
                <w:szCs w:val="18"/>
              </w:rPr>
            </w:pPr>
            <w:r w:rsidRPr="00A41B49">
              <w:rPr>
                <w:i w:val="0"/>
                <w:sz w:val="18"/>
                <w:szCs w:val="18"/>
              </w:rPr>
              <w:t>LOQ: 2.9 µg/L to  3,6 µg/L</w:t>
            </w:r>
          </w:p>
          <w:p w14:paraId="32AF5D7F" w14:textId="77777777" w:rsidR="00E353FD" w:rsidRPr="00A41B49" w:rsidRDefault="00E353FD" w:rsidP="00E353FD">
            <w:pPr>
              <w:pStyle w:val="Standard-italics"/>
              <w:keepNext w:val="0"/>
              <w:jc w:val="center"/>
              <w:rPr>
                <w:sz w:val="18"/>
                <w:szCs w:val="18"/>
              </w:rPr>
            </w:pPr>
            <w:r w:rsidRPr="00A41B49">
              <w:rPr>
                <w:i w:val="0"/>
                <w:sz w:val="18"/>
                <w:szCs w:val="18"/>
              </w:rPr>
              <w:t>LOD: 1,7 µg/L to 1,1 µg/L</w:t>
            </w:r>
          </w:p>
        </w:tc>
        <w:tc>
          <w:tcPr>
            <w:tcW w:w="323" w:type="pct"/>
          </w:tcPr>
          <w:p w14:paraId="0CA2A177" w14:textId="77777777" w:rsidR="00E353FD" w:rsidRPr="00A41B49" w:rsidRDefault="00E353FD" w:rsidP="00E353FD">
            <w:pPr>
              <w:pStyle w:val="Standard-italics"/>
              <w:keepNext w:val="0"/>
              <w:jc w:val="center"/>
              <w:rPr>
                <w:i w:val="0"/>
                <w:sz w:val="18"/>
                <w:szCs w:val="18"/>
              </w:rPr>
            </w:pPr>
            <w:r w:rsidRPr="00A41B49">
              <w:rPr>
                <w:i w:val="0"/>
                <w:sz w:val="18"/>
                <w:szCs w:val="18"/>
                <w:lang w:val="it-IT"/>
              </w:rPr>
              <w:t>0.59 mg/L***</w:t>
            </w:r>
          </w:p>
        </w:tc>
        <w:tc>
          <w:tcPr>
            <w:tcW w:w="440" w:type="pct"/>
          </w:tcPr>
          <w:p w14:paraId="5618FAEA" w14:textId="77777777" w:rsidR="00E353FD" w:rsidRPr="00A41B49" w:rsidRDefault="00E353FD" w:rsidP="00E353FD">
            <w:pPr>
              <w:spacing w:before="60" w:after="60"/>
              <w:jc w:val="center"/>
              <w:rPr>
                <w:sz w:val="18"/>
                <w:szCs w:val="18"/>
              </w:rPr>
            </w:pPr>
            <w:r w:rsidRPr="00A41B49">
              <w:rPr>
                <w:sz w:val="18"/>
                <w:szCs w:val="18"/>
                <w:u w:val="single"/>
              </w:rPr>
              <w:t>Not acceptable</w:t>
            </w:r>
            <w:r w:rsidRPr="00A41B49">
              <w:rPr>
                <w:sz w:val="18"/>
                <w:szCs w:val="18"/>
              </w:rPr>
              <w:t xml:space="preserve"> for monitoring due to the use of carcinogenic substance (ethylene oxide)</w:t>
            </w:r>
          </w:p>
          <w:p w14:paraId="175ED50D" w14:textId="77777777" w:rsidR="00E353FD" w:rsidRPr="00A41B49" w:rsidRDefault="00E353FD" w:rsidP="00E353FD">
            <w:pPr>
              <w:pStyle w:val="Standard-italics"/>
              <w:keepNext w:val="0"/>
              <w:jc w:val="center"/>
              <w:rPr>
                <w:i w:val="0"/>
                <w:sz w:val="18"/>
                <w:szCs w:val="18"/>
              </w:rPr>
            </w:pPr>
            <w:r w:rsidRPr="00A41B49">
              <w:rPr>
                <w:i w:val="0"/>
                <w:sz w:val="18"/>
                <w:szCs w:val="18"/>
                <w:lang w:val="it-IT"/>
              </w:rPr>
              <w:t>No method required due to low PECs in comparison to natural background levels</w:t>
            </w:r>
          </w:p>
        </w:tc>
        <w:tc>
          <w:tcPr>
            <w:tcW w:w="337" w:type="pct"/>
            <w:vAlign w:val="center"/>
          </w:tcPr>
          <w:p w14:paraId="2C2018BC" w14:textId="77777777" w:rsidR="00E353FD" w:rsidRPr="00A41B49" w:rsidRDefault="00E353FD" w:rsidP="00E353FD">
            <w:pPr>
              <w:pStyle w:val="Standard-italics"/>
              <w:keepNext w:val="0"/>
              <w:jc w:val="center"/>
              <w:rPr>
                <w:i w:val="0"/>
                <w:sz w:val="18"/>
                <w:szCs w:val="18"/>
              </w:rPr>
            </w:pPr>
            <w:r w:rsidRPr="00A41B49">
              <w:rPr>
                <w:i w:val="0"/>
                <w:sz w:val="18"/>
                <w:szCs w:val="18"/>
              </w:rPr>
              <w:t>S. Kirchner et al. (1996); Doc. No. 492-006; A4.2c/04</w:t>
            </w:r>
          </w:p>
        </w:tc>
      </w:tr>
      <w:tr w:rsidR="00E353FD" w:rsidRPr="00D3140E" w14:paraId="3D82023B" w14:textId="77777777" w:rsidTr="00680CE7">
        <w:tc>
          <w:tcPr>
            <w:tcW w:w="306" w:type="pct"/>
            <w:vAlign w:val="center"/>
          </w:tcPr>
          <w:p w14:paraId="4AB4A555" w14:textId="77777777" w:rsidR="00E353FD" w:rsidRPr="00A41B49" w:rsidRDefault="00E353FD" w:rsidP="00E353FD">
            <w:pPr>
              <w:spacing w:before="60" w:after="60"/>
              <w:jc w:val="center"/>
              <w:rPr>
                <w:sz w:val="18"/>
                <w:szCs w:val="18"/>
              </w:rPr>
            </w:pPr>
            <w:r w:rsidRPr="00A41B49">
              <w:rPr>
                <w:sz w:val="18"/>
                <w:szCs w:val="18"/>
              </w:rPr>
              <w:t xml:space="preserve">Water (rain water, brine solution, soil </w:t>
            </w:r>
            <w:r w:rsidRPr="00A41B49">
              <w:rPr>
                <w:sz w:val="18"/>
                <w:szCs w:val="18"/>
              </w:rPr>
              <w:lastRenderedPageBreak/>
              <w:t>solution)</w:t>
            </w:r>
          </w:p>
        </w:tc>
        <w:tc>
          <w:tcPr>
            <w:tcW w:w="434" w:type="pct"/>
            <w:vAlign w:val="center"/>
          </w:tcPr>
          <w:p w14:paraId="0F37870C" w14:textId="77777777" w:rsidR="00E353FD" w:rsidRPr="00A41B49" w:rsidRDefault="00E353FD" w:rsidP="00E353FD">
            <w:pPr>
              <w:spacing w:before="60" w:after="60"/>
              <w:jc w:val="center"/>
              <w:rPr>
                <w:sz w:val="18"/>
                <w:szCs w:val="18"/>
              </w:rPr>
            </w:pPr>
            <w:r w:rsidRPr="00A41B49">
              <w:rPr>
                <w:sz w:val="18"/>
                <w:szCs w:val="18"/>
              </w:rPr>
              <w:lastRenderedPageBreak/>
              <w:t>Total iodine, iodide and iodate (separately)</w:t>
            </w:r>
          </w:p>
        </w:tc>
        <w:tc>
          <w:tcPr>
            <w:tcW w:w="440" w:type="pct"/>
            <w:vAlign w:val="center"/>
          </w:tcPr>
          <w:p w14:paraId="604490AE" w14:textId="77777777" w:rsidR="00E353FD" w:rsidRPr="00A41B49" w:rsidRDefault="00E353FD" w:rsidP="00E353FD">
            <w:pPr>
              <w:pStyle w:val="Standard-italics"/>
              <w:keepNext w:val="0"/>
              <w:jc w:val="center"/>
              <w:rPr>
                <w:i w:val="0"/>
                <w:sz w:val="18"/>
                <w:szCs w:val="18"/>
              </w:rPr>
            </w:pPr>
            <w:r w:rsidRPr="00A41B49">
              <w:rPr>
                <w:i w:val="0"/>
                <w:sz w:val="18"/>
                <w:szCs w:val="18"/>
              </w:rPr>
              <w:t>IC-ICP-MS</w:t>
            </w:r>
          </w:p>
        </w:tc>
        <w:tc>
          <w:tcPr>
            <w:tcW w:w="530" w:type="pct"/>
            <w:vAlign w:val="center"/>
          </w:tcPr>
          <w:p w14:paraId="416F3B54" w14:textId="77777777" w:rsidR="00E353FD" w:rsidRPr="00A41B49" w:rsidRDefault="00E353FD" w:rsidP="00E353FD">
            <w:pPr>
              <w:spacing w:before="60" w:after="60"/>
              <w:jc w:val="center"/>
              <w:rPr>
                <w:sz w:val="18"/>
                <w:szCs w:val="18"/>
              </w:rPr>
            </w:pPr>
            <w:r w:rsidRPr="00A41B49">
              <w:rPr>
                <w:sz w:val="18"/>
                <w:szCs w:val="18"/>
              </w:rPr>
              <w:t>Not tested</w:t>
            </w:r>
          </w:p>
        </w:tc>
        <w:tc>
          <w:tcPr>
            <w:tcW w:w="444" w:type="pct"/>
            <w:vAlign w:val="center"/>
          </w:tcPr>
          <w:p w14:paraId="6343D05E" w14:textId="77777777" w:rsidR="00E353FD" w:rsidRPr="00A41B49" w:rsidRDefault="00E353FD" w:rsidP="00E353FD">
            <w:pPr>
              <w:spacing w:before="60" w:after="60"/>
              <w:jc w:val="center"/>
              <w:rPr>
                <w:sz w:val="18"/>
                <w:szCs w:val="18"/>
              </w:rPr>
            </w:pPr>
            <w:r w:rsidRPr="00A41B49">
              <w:rPr>
                <w:sz w:val="18"/>
                <w:szCs w:val="18"/>
              </w:rPr>
              <w:t xml:space="preserve">Not reported </w:t>
            </w:r>
          </w:p>
        </w:tc>
        <w:tc>
          <w:tcPr>
            <w:tcW w:w="353" w:type="pct"/>
            <w:vAlign w:val="center"/>
          </w:tcPr>
          <w:p w14:paraId="3B9D9199" w14:textId="77777777" w:rsidR="00E353FD" w:rsidRPr="00A41B49" w:rsidRDefault="00E353FD" w:rsidP="00E353FD">
            <w:pPr>
              <w:spacing w:before="60" w:after="60"/>
              <w:jc w:val="center"/>
              <w:rPr>
                <w:sz w:val="18"/>
                <w:szCs w:val="18"/>
              </w:rPr>
            </w:pPr>
            <w:r w:rsidRPr="00A41B49">
              <w:rPr>
                <w:sz w:val="18"/>
                <w:szCs w:val="18"/>
              </w:rPr>
              <w:t>Yes</w:t>
            </w:r>
          </w:p>
        </w:tc>
        <w:tc>
          <w:tcPr>
            <w:tcW w:w="361" w:type="pct"/>
            <w:vAlign w:val="center"/>
          </w:tcPr>
          <w:p w14:paraId="26E76031" w14:textId="77777777" w:rsidR="00E353FD" w:rsidRPr="00A41B49" w:rsidRDefault="00E353FD" w:rsidP="00E353FD">
            <w:pPr>
              <w:pStyle w:val="Standard-italics"/>
              <w:keepNext w:val="0"/>
              <w:jc w:val="center"/>
              <w:rPr>
                <w:i w:val="0"/>
                <w:sz w:val="18"/>
                <w:szCs w:val="18"/>
              </w:rPr>
            </w:pPr>
            <w:r w:rsidRPr="00A41B49">
              <w:rPr>
                <w:i w:val="0"/>
                <w:sz w:val="18"/>
                <w:szCs w:val="18"/>
              </w:rPr>
              <w:t>-</w:t>
            </w:r>
          </w:p>
        </w:tc>
        <w:tc>
          <w:tcPr>
            <w:tcW w:w="268" w:type="pct"/>
            <w:vAlign w:val="center"/>
          </w:tcPr>
          <w:p w14:paraId="156207D4" w14:textId="77777777" w:rsidR="00E353FD" w:rsidRPr="00A41B49" w:rsidRDefault="00E353FD" w:rsidP="00E353FD">
            <w:pPr>
              <w:pStyle w:val="Standard-italics"/>
              <w:keepNext w:val="0"/>
              <w:jc w:val="center"/>
              <w:rPr>
                <w:i w:val="0"/>
                <w:sz w:val="18"/>
                <w:szCs w:val="18"/>
              </w:rPr>
            </w:pPr>
            <w:r w:rsidRPr="00A41B49">
              <w:rPr>
                <w:i w:val="0"/>
                <w:sz w:val="18"/>
                <w:szCs w:val="18"/>
              </w:rPr>
              <w:t>-</w:t>
            </w:r>
          </w:p>
        </w:tc>
        <w:tc>
          <w:tcPr>
            <w:tcW w:w="316" w:type="pct"/>
            <w:vAlign w:val="center"/>
          </w:tcPr>
          <w:p w14:paraId="6CD30330" w14:textId="77777777" w:rsidR="00E353FD" w:rsidRPr="00A41B49" w:rsidRDefault="00E353FD" w:rsidP="00E353FD">
            <w:pPr>
              <w:pStyle w:val="Standard-italics"/>
              <w:keepNext w:val="0"/>
              <w:jc w:val="center"/>
              <w:rPr>
                <w:i w:val="0"/>
                <w:sz w:val="18"/>
                <w:szCs w:val="18"/>
              </w:rPr>
            </w:pPr>
            <w:r w:rsidRPr="00A41B49">
              <w:rPr>
                <w:i w:val="0"/>
                <w:sz w:val="18"/>
                <w:szCs w:val="18"/>
              </w:rPr>
              <w:t>-</w:t>
            </w:r>
          </w:p>
        </w:tc>
        <w:tc>
          <w:tcPr>
            <w:tcW w:w="448" w:type="pct"/>
            <w:vAlign w:val="center"/>
          </w:tcPr>
          <w:p w14:paraId="762E4AF6" w14:textId="77777777" w:rsidR="00E353FD" w:rsidRPr="00A41B49" w:rsidRDefault="00E353FD" w:rsidP="00E353FD">
            <w:pPr>
              <w:pStyle w:val="Standard-italics"/>
              <w:keepNext w:val="0"/>
              <w:rPr>
                <w:i w:val="0"/>
                <w:sz w:val="18"/>
                <w:szCs w:val="18"/>
              </w:rPr>
            </w:pPr>
            <w:r w:rsidRPr="00A41B49">
              <w:rPr>
                <w:i w:val="0"/>
                <w:sz w:val="18"/>
                <w:szCs w:val="18"/>
              </w:rPr>
              <w:t>Quoted LOD: 0.05 µg/L total iodine</w:t>
            </w:r>
          </w:p>
          <w:p w14:paraId="68FEA963" w14:textId="77777777" w:rsidR="00E353FD" w:rsidRPr="00A41B49" w:rsidRDefault="00E353FD" w:rsidP="00E353FD">
            <w:pPr>
              <w:pStyle w:val="Standard-italics"/>
              <w:keepNext w:val="0"/>
              <w:rPr>
                <w:i w:val="0"/>
                <w:sz w:val="18"/>
                <w:szCs w:val="18"/>
              </w:rPr>
            </w:pPr>
            <w:r w:rsidRPr="00A41B49">
              <w:rPr>
                <w:i w:val="0"/>
                <w:sz w:val="18"/>
                <w:szCs w:val="18"/>
              </w:rPr>
              <w:t xml:space="preserve">LOD for iodide and iodate </w:t>
            </w:r>
            <w:r w:rsidRPr="00A41B49">
              <w:rPr>
                <w:i w:val="0"/>
                <w:sz w:val="18"/>
                <w:szCs w:val="18"/>
              </w:rPr>
              <w:lastRenderedPageBreak/>
              <w:t>range from 0.1 to 1 µg/L.</w:t>
            </w:r>
          </w:p>
        </w:tc>
        <w:tc>
          <w:tcPr>
            <w:tcW w:w="323" w:type="pct"/>
          </w:tcPr>
          <w:p w14:paraId="0CB53C12" w14:textId="77777777" w:rsidR="00E353FD" w:rsidRPr="00A41B49" w:rsidRDefault="00E353FD" w:rsidP="00E353FD">
            <w:pPr>
              <w:pStyle w:val="Standard-italics"/>
              <w:keepNext w:val="0"/>
              <w:jc w:val="center"/>
              <w:rPr>
                <w:i w:val="0"/>
                <w:sz w:val="18"/>
                <w:szCs w:val="18"/>
                <w:lang w:val="it-IT"/>
              </w:rPr>
            </w:pPr>
            <w:r w:rsidRPr="00A41B49">
              <w:rPr>
                <w:i w:val="0"/>
                <w:sz w:val="18"/>
                <w:szCs w:val="18"/>
                <w:lang w:val="it-IT"/>
              </w:rPr>
              <w:lastRenderedPageBreak/>
              <w:t>0.59 mg/L***</w:t>
            </w:r>
          </w:p>
        </w:tc>
        <w:tc>
          <w:tcPr>
            <w:tcW w:w="440" w:type="pct"/>
          </w:tcPr>
          <w:p w14:paraId="1FCE30BE" w14:textId="77777777" w:rsidR="00E353FD" w:rsidRPr="00A41B49" w:rsidRDefault="00E353FD" w:rsidP="00E353FD">
            <w:pPr>
              <w:spacing w:before="60" w:after="60"/>
              <w:jc w:val="center"/>
              <w:rPr>
                <w:sz w:val="18"/>
                <w:szCs w:val="18"/>
              </w:rPr>
            </w:pPr>
            <w:r w:rsidRPr="00A41B49">
              <w:rPr>
                <w:sz w:val="18"/>
                <w:szCs w:val="18"/>
              </w:rPr>
              <w:t>Not acceptable due to missing supporting data</w:t>
            </w:r>
          </w:p>
          <w:p w14:paraId="4430B753" w14:textId="77777777" w:rsidR="00E353FD" w:rsidRPr="00A41B49" w:rsidRDefault="00E353FD" w:rsidP="00E353FD">
            <w:pPr>
              <w:spacing w:before="60" w:after="60"/>
              <w:jc w:val="center"/>
              <w:rPr>
                <w:sz w:val="18"/>
                <w:szCs w:val="18"/>
                <w:u w:val="single"/>
              </w:rPr>
            </w:pPr>
            <w:r w:rsidRPr="00A41B49">
              <w:rPr>
                <w:sz w:val="18"/>
                <w:szCs w:val="18"/>
                <w:lang w:val="it-IT"/>
              </w:rPr>
              <w:lastRenderedPageBreak/>
              <w:t>No method required due to low PECs in comparison to natural background levels</w:t>
            </w:r>
          </w:p>
        </w:tc>
        <w:tc>
          <w:tcPr>
            <w:tcW w:w="337" w:type="pct"/>
            <w:vAlign w:val="center"/>
          </w:tcPr>
          <w:p w14:paraId="1BF5BDE0" w14:textId="77777777" w:rsidR="00E353FD" w:rsidRPr="00A41B49" w:rsidRDefault="00E353FD" w:rsidP="00E353FD">
            <w:pPr>
              <w:pStyle w:val="Standard-italics"/>
              <w:keepNext w:val="0"/>
              <w:jc w:val="center"/>
              <w:rPr>
                <w:i w:val="0"/>
                <w:sz w:val="18"/>
                <w:szCs w:val="18"/>
                <w:lang w:val="fr-FR"/>
              </w:rPr>
            </w:pPr>
            <w:r w:rsidRPr="00A41B49">
              <w:rPr>
                <w:i w:val="0"/>
                <w:sz w:val="18"/>
                <w:szCs w:val="18"/>
                <w:lang w:val="fr-FR"/>
              </w:rPr>
              <w:lastRenderedPageBreak/>
              <w:t>S. Yoshida et al (2007); Doc. No. 492-</w:t>
            </w:r>
            <w:r w:rsidRPr="00A41B49">
              <w:rPr>
                <w:i w:val="0"/>
                <w:sz w:val="18"/>
                <w:szCs w:val="18"/>
                <w:lang w:val="fr-FR"/>
              </w:rPr>
              <w:lastRenderedPageBreak/>
              <w:t xml:space="preserve">018; A4.2c/05 </w:t>
            </w:r>
          </w:p>
        </w:tc>
      </w:tr>
      <w:tr w:rsidR="00E353FD" w:rsidRPr="00A41B49" w14:paraId="0A30E25C" w14:textId="77777777" w:rsidTr="00680CE7">
        <w:tc>
          <w:tcPr>
            <w:tcW w:w="306" w:type="pct"/>
            <w:vAlign w:val="center"/>
          </w:tcPr>
          <w:p w14:paraId="3F9C72B1" w14:textId="77777777" w:rsidR="00E353FD" w:rsidRPr="00A41B49" w:rsidRDefault="00E353FD" w:rsidP="00E353FD">
            <w:pPr>
              <w:spacing w:before="60" w:after="60"/>
              <w:jc w:val="center"/>
              <w:rPr>
                <w:sz w:val="18"/>
                <w:szCs w:val="18"/>
              </w:rPr>
            </w:pPr>
            <w:r w:rsidRPr="00A41B49">
              <w:rPr>
                <w:sz w:val="18"/>
                <w:szCs w:val="18"/>
              </w:rPr>
              <w:lastRenderedPageBreak/>
              <w:t>Water (Milli Q, tap water, surface water)</w:t>
            </w:r>
          </w:p>
        </w:tc>
        <w:tc>
          <w:tcPr>
            <w:tcW w:w="434" w:type="pct"/>
            <w:vAlign w:val="center"/>
          </w:tcPr>
          <w:p w14:paraId="6FE8C14C" w14:textId="77777777" w:rsidR="00E353FD" w:rsidRPr="00A41B49" w:rsidRDefault="00E353FD" w:rsidP="00E353FD">
            <w:pPr>
              <w:spacing w:before="60" w:after="60"/>
              <w:jc w:val="center"/>
              <w:rPr>
                <w:sz w:val="18"/>
                <w:szCs w:val="18"/>
              </w:rPr>
            </w:pPr>
            <w:r w:rsidRPr="00A41B49">
              <w:rPr>
                <w:sz w:val="18"/>
                <w:szCs w:val="18"/>
              </w:rPr>
              <w:t>Iodide and iodate (separately)</w:t>
            </w:r>
          </w:p>
        </w:tc>
        <w:tc>
          <w:tcPr>
            <w:tcW w:w="440" w:type="pct"/>
            <w:vAlign w:val="center"/>
          </w:tcPr>
          <w:p w14:paraId="4F4C6803" w14:textId="77777777" w:rsidR="00E353FD" w:rsidRPr="00A41B49" w:rsidRDefault="00E353FD" w:rsidP="00E353FD">
            <w:pPr>
              <w:pStyle w:val="Standard-italics"/>
              <w:keepNext w:val="0"/>
              <w:jc w:val="center"/>
              <w:rPr>
                <w:i w:val="0"/>
                <w:sz w:val="18"/>
                <w:szCs w:val="18"/>
              </w:rPr>
            </w:pPr>
            <w:r w:rsidRPr="00A41B49">
              <w:rPr>
                <w:i w:val="0"/>
                <w:sz w:val="18"/>
                <w:szCs w:val="18"/>
              </w:rPr>
              <w:t>IC-ICP-MS</w:t>
            </w:r>
          </w:p>
        </w:tc>
        <w:tc>
          <w:tcPr>
            <w:tcW w:w="530" w:type="pct"/>
            <w:vAlign w:val="center"/>
          </w:tcPr>
          <w:p w14:paraId="413F080B" w14:textId="77777777" w:rsidR="00E353FD" w:rsidRPr="00A41B49" w:rsidRDefault="00E353FD" w:rsidP="00E353FD">
            <w:pPr>
              <w:spacing w:before="60" w:after="60"/>
              <w:jc w:val="center"/>
              <w:rPr>
                <w:sz w:val="18"/>
                <w:szCs w:val="18"/>
              </w:rPr>
            </w:pPr>
            <w:r w:rsidRPr="00A41B49">
              <w:rPr>
                <w:sz w:val="18"/>
                <w:szCs w:val="18"/>
              </w:rPr>
              <w:t>5 µg/L, 5 samples</w:t>
            </w:r>
          </w:p>
        </w:tc>
        <w:tc>
          <w:tcPr>
            <w:tcW w:w="444" w:type="pct"/>
            <w:vAlign w:val="center"/>
          </w:tcPr>
          <w:p w14:paraId="2A245661" w14:textId="77777777" w:rsidR="00E353FD" w:rsidRPr="00A41B49" w:rsidRDefault="00E353FD" w:rsidP="00E353FD">
            <w:pPr>
              <w:spacing w:before="60" w:after="60"/>
              <w:jc w:val="center"/>
              <w:rPr>
                <w:sz w:val="18"/>
                <w:szCs w:val="18"/>
              </w:rPr>
            </w:pPr>
            <w:r w:rsidRPr="00A41B49">
              <w:rPr>
                <w:sz w:val="18"/>
                <w:szCs w:val="18"/>
              </w:rPr>
              <w:t>Calibration range 1-10 µg/L</w:t>
            </w:r>
          </w:p>
        </w:tc>
        <w:tc>
          <w:tcPr>
            <w:tcW w:w="353" w:type="pct"/>
            <w:vAlign w:val="center"/>
          </w:tcPr>
          <w:p w14:paraId="4F128C8C" w14:textId="77777777" w:rsidR="00E353FD" w:rsidRPr="00A41B49" w:rsidRDefault="00E353FD" w:rsidP="00E353FD">
            <w:pPr>
              <w:spacing w:before="60" w:after="60"/>
              <w:jc w:val="center"/>
              <w:rPr>
                <w:sz w:val="18"/>
                <w:szCs w:val="18"/>
              </w:rPr>
            </w:pPr>
            <w:r w:rsidRPr="00A41B49">
              <w:rPr>
                <w:sz w:val="18"/>
                <w:szCs w:val="18"/>
              </w:rPr>
              <w:t>Yes</w:t>
            </w:r>
          </w:p>
        </w:tc>
        <w:tc>
          <w:tcPr>
            <w:tcW w:w="361" w:type="pct"/>
            <w:vAlign w:val="center"/>
          </w:tcPr>
          <w:p w14:paraId="15A6B160" w14:textId="77777777" w:rsidR="00E353FD" w:rsidRPr="00A41B49" w:rsidRDefault="00E353FD" w:rsidP="00E353FD">
            <w:pPr>
              <w:pStyle w:val="Standard-italics"/>
              <w:keepNext w:val="0"/>
              <w:jc w:val="center"/>
              <w:rPr>
                <w:i w:val="0"/>
                <w:sz w:val="18"/>
                <w:szCs w:val="18"/>
              </w:rPr>
            </w:pPr>
            <w:r w:rsidRPr="00A41B49">
              <w:rPr>
                <w:i w:val="0"/>
                <w:sz w:val="18"/>
                <w:szCs w:val="18"/>
              </w:rPr>
              <w:t>Not reported</w:t>
            </w:r>
          </w:p>
        </w:tc>
        <w:tc>
          <w:tcPr>
            <w:tcW w:w="268" w:type="pct"/>
            <w:vAlign w:val="center"/>
          </w:tcPr>
          <w:p w14:paraId="36EF7389" w14:textId="77777777" w:rsidR="00E353FD" w:rsidRPr="00A41B49" w:rsidRDefault="00E353FD" w:rsidP="00E353F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95-100%</w:t>
            </w:r>
          </w:p>
          <w:p w14:paraId="1B30296F" w14:textId="77777777" w:rsidR="00E353FD" w:rsidRPr="00A41B49" w:rsidRDefault="00E353FD" w:rsidP="00E353F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94-100% (for all waters)</w:t>
            </w:r>
          </w:p>
        </w:tc>
        <w:tc>
          <w:tcPr>
            <w:tcW w:w="316" w:type="pct"/>
            <w:vAlign w:val="center"/>
          </w:tcPr>
          <w:p w14:paraId="21B258EC" w14:textId="77777777" w:rsidR="00E353FD" w:rsidRPr="00A41B49" w:rsidRDefault="00E353FD" w:rsidP="00E353F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0.9-1.8 %RSD</w:t>
            </w:r>
          </w:p>
          <w:p w14:paraId="520A2828" w14:textId="77777777" w:rsidR="00E353FD" w:rsidRPr="00A41B49" w:rsidRDefault="00E353FD" w:rsidP="00E353F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1.1-1.9% RSD (for all waters)</w:t>
            </w:r>
          </w:p>
        </w:tc>
        <w:tc>
          <w:tcPr>
            <w:tcW w:w="448" w:type="pct"/>
            <w:vAlign w:val="center"/>
          </w:tcPr>
          <w:p w14:paraId="6AB358E0" w14:textId="77777777" w:rsidR="00E353FD" w:rsidRPr="00A41B49" w:rsidRDefault="00E353FD" w:rsidP="00E353FD">
            <w:pPr>
              <w:pStyle w:val="Standard-italics"/>
              <w:keepNext w:val="0"/>
              <w:rPr>
                <w:i w:val="0"/>
                <w:sz w:val="18"/>
                <w:szCs w:val="18"/>
              </w:rPr>
            </w:pPr>
            <w:r w:rsidRPr="00A41B49">
              <w:rPr>
                <w:i w:val="0"/>
                <w:sz w:val="18"/>
                <w:szCs w:val="18"/>
              </w:rPr>
              <w:t>LOQ: At least 5 µg/L (validated)</w:t>
            </w:r>
          </w:p>
          <w:p w14:paraId="7D657B1D" w14:textId="77777777" w:rsidR="00E353FD" w:rsidRPr="00A41B49" w:rsidRDefault="00E353FD" w:rsidP="00E353FD">
            <w:pPr>
              <w:pStyle w:val="Standard-italics"/>
              <w:keepNext w:val="0"/>
              <w:rPr>
                <w:i w:val="0"/>
                <w:sz w:val="18"/>
                <w:szCs w:val="18"/>
              </w:rPr>
            </w:pPr>
            <w:r w:rsidRPr="00A41B49">
              <w:rPr>
                <w:i w:val="0"/>
                <w:sz w:val="18"/>
                <w:szCs w:val="18"/>
              </w:rPr>
              <w:t xml:space="preserve"> Calculated: 0.77µg/L for I</w:t>
            </w:r>
            <w:r w:rsidRPr="00A41B49">
              <w:rPr>
                <w:i w:val="0"/>
                <w:sz w:val="18"/>
                <w:szCs w:val="18"/>
                <w:vertAlign w:val="superscript"/>
              </w:rPr>
              <w:t>-</w:t>
            </w:r>
            <w:r w:rsidRPr="00A41B49">
              <w:rPr>
                <w:i w:val="0"/>
                <w:sz w:val="18"/>
                <w:szCs w:val="18"/>
              </w:rPr>
              <w:t>, 0.48 µg/L for 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w:t>
            </w:r>
          </w:p>
        </w:tc>
        <w:tc>
          <w:tcPr>
            <w:tcW w:w="323" w:type="pct"/>
          </w:tcPr>
          <w:p w14:paraId="3930FD66" w14:textId="77777777" w:rsidR="00E353FD" w:rsidRPr="00A41B49" w:rsidRDefault="00E353FD" w:rsidP="00E353FD">
            <w:pPr>
              <w:pStyle w:val="Standard-italics"/>
              <w:keepNext w:val="0"/>
              <w:jc w:val="center"/>
              <w:rPr>
                <w:i w:val="0"/>
                <w:sz w:val="18"/>
                <w:szCs w:val="18"/>
                <w:lang w:val="it-IT"/>
              </w:rPr>
            </w:pPr>
            <w:r w:rsidRPr="00A41B49">
              <w:rPr>
                <w:i w:val="0"/>
                <w:sz w:val="18"/>
                <w:szCs w:val="18"/>
                <w:lang w:val="it-IT"/>
              </w:rPr>
              <w:t>0.59 mg/L***</w:t>
            </w:r>
          </w:p>
        </w:tc>
        <w:tc>
          <w:tcPr>
            <w:tcW w:w="440" w:type="pct"/>
          </w:tcPr>
          <w:p w14:paraId="27760141" w14:textId="77777777" w:rsidR="00E353FD" w:rsidRPr="00A41B49" w:rsidRDefault="00E353FD" w:rsidP="00E353FD">
            <w:pPr>
              <w:spacing w:before="60" w:after="60"/>
              <w:jc w:val="center"/>
              <w:rPr>
                <w:sz w:val="18"/>
                <w:szCs w:val="18"/>
                <w:u w:val="single"/>
                <w:lang w:val="it-IT"/>
              </w:rPr>
            </w:pPr>
            <w:r w:rsidRPr="00A41B49">
              <w:rPr>
                <w:sz w:val="18"/>
                <w:szCs w:val="18"/>
                <w:u w:val="single"/>
                <w:lang w:val="it-IT"/>
              </w:rPr>
              <w:t>Acceptable</w:t>
            </w:r>
          </w:p>
          <w:p w14:paraId="751AF439" w14:textId="77777777" w:rsidR="00E353FD" w:rsidRPr="00A41B49" w:rsidRDefault="00E353FD" w:rsidP="00E353FD">
            <w:pPr>
              <w:spacing w:before="60" w:after="60"/>
              <w:jc w:val="center"/>
              <w:rPr>
                <w:sz w:val="18"/>
                <w:szCs w:val="18"/>
              </w:rPr>
            </w:pPr>
            <w:r w:rsidRPr="00A41B49">
              <w:rPr>
                <w:sz w:val="18"/>
                <w:szCs w:val="18"/>
                <w:lang w:val="it-IT"/>
              </w:rPr>
              <w:t>No method required due to low PECs in comparison to natural background levels</w:t>
            </w:r>
            <w:r w:rsidRPr="00A41B49">
              <w:rPr>
                <w:sz w:val="18"/>
                <w:szCs w:val="18"/>
              </w:rPr>
              <w:t xml:space="preserve"> </w:t>
            </w:r>
          </w:p>
        </w:tc>
        <w:tc>
          <w:tcPr>
            <w:tcW w:w="337" w:type="pct"/>
            <w:vAlign w:val="center"/>
          </w:tcPr>
          <w:p w14:paraId="26183834" w14:textId="77777777" w:rsidR="00E353FD" w:rsidRPr="00A41B49" w:rsidRDefault="00E353FD" w:rsidP="00E353FD">
            <w:pPr>
              <w:pStyle w:val="Standard-italics"/>
              <w:keepNext w:val="0"/>
              <w:jc w:val="center"/>
              <w:rPr>
                <w:i w:val="0"/>
                <w:sz w:val="18"/>
                <w:szCs w:val="18"/>
              </w:rPr>
            </w:pPr>
            <w:r w:rsidRPr="00A41B49">
              <w:rPr>
                <w:i w:val="0"/>
                <w:sz w:val="18"/>
                <w:szCs w:val="18"/>
              </w:rPr>
              <w:t xml:space="preserve">Sacher et al (2005): Doc. No. 492-021; A4.2c/06 </w:t>
            </w:r>
          </w:p>
        </w:tc>
      </w:tr>
      <w:tr w:rsidR="00E353FD" w:rsidRPr="00A41B49" w14:paraId="58662161" w14:textId="77777777" w:rsidTr="00680CE7">
        <w:tc>
          <w:tcPr>
            <w:tcW w:w="306" w:type="pct"/>
            <w:vAlign w:val="center"/>
          </w:tcPr>
          <w:p w14:paraId="10689122" w14:textId="77777777" w:rsidR="00E353FD" w:rsidRPr="00A41B49" w:rsidRDefault="00E353FD" w:rsidP="00E353FD">
            <w:pPr>
              <w:spacing w:before="60" w:after="60"/>
              <w:jc w:val="center"/>
              <w:rPr>
                <w:sz w:val="18"/>
                <w:szCs w:val="18"/>
              </w:rPr>
            </w:pPr>
            <w:r w:rsidRPr="00A41B49">
              <w:rPr>
                <w:sz w:val="18"/>
                <w:szCs w:val="18"/>
              </w:rPr>
              <w:t>Water (drinking)</w:t>
            </w:r>
          </w:p>
        </w:tc>
        <w:tc>
          <w:tcPr>
            <w:tcW w:w="434" w:type="pct"/>
            <w:vAlign w:val="center"/>
          </w:tcPr>
          <w:p w14:paraId="16947130" w14:textId="77777777" w:rsidR="00E353FD" w:rsidRPr="00A41B49" w:rsidRDefault="00E353FD" w:rsidP="00E353FD">
            <w:pPr>
              <w:spacing w:before="60" w:after="60"/>
              <w:jc w:val="center"/>
              <w:rPr>
                <w:sz w:val="18"/>
                <w:szCs w:val="18"/>
              </w:rPr>
            </w:pPr>
            <w:r w:rsidRPr="00A41B49">
              <w:rPr>
                <w:sz w:val="18"/>
                <w:szCs w:val="18"/>
              </w:rPr>
              <w:t>Iodide and iodate (separately)</w:t>
            </w:r>
          </w:p>
        </w:tc>
        <w:tc>
          <w:tcPr>
            <w:tcW w:w="440" w:type="pct"/>
            <w:vAlign w:val="center"/>
          </w:tcPr>
          <w:p w14:paraId="57C6FBE1" w14:textId="77777777" w:rsidR="00E353FD" w:rsidRPr="00A41B49" w:rsidRDefault="00E353FD" w:rsidP="00E353FD">
            <w:pPr>
              <w:pStyle w:val="Standard-italics"/>
              <w:keepNext w:val="0"/>
              <w:jc w:val="center"/>
              <w:rPr>
                <w:i w:val="0"/>
                <w:sz w:val="18"/>
                <w:szCs w:val="18"/>
              </w:rPr>
            </w:pPr>
            <w:r w:rsidRPr="00A41B49">
              <w:rPr>
                <w:i w:val="0"/>
                <w:sz w:val="18"/>
                <w:szCs w:val="18"/>
              </w:rPr>
              <w:t>IC-ICP-MS</w:t>
            </w:r>
          </w:p>
        </w:tc>
        <w:tc>
          <w:tcPr>
            <w:tcW w:w="530" w:type="pct"/>
            <w:vAlign w:val="center"/>
          </w:tcPr>
          <w:p w14:paraId="07B9BE7C" w14:textId="77777777" w:rsidR="00E353FD" w:rsidRPr="00A41B49" w:rsidRDefault="00E353FD" w:rsidP="00E353FD">
            <w:pPr>
              <w:spacing w:before="60" w:after="60"/>
              <w:jc w:val="center"/>
              <w:rPr>
                <w:sz w:val="18"/>
                <w:szCs w:val="18"/>
              </w:rPr>
            </w:pPr>
            <w:r w:rsidRPr="00A41B49">
              <w:rPr>
                <w:sz w:val="18"/>
                <w:szCs w:val="18"/>
              </w:rPr>
              <w:t>6.4-17.5 µg/L  (1 fortifcation level per specie, 3 samples per level and 2 different water samples)</w:t>
            </w:r>
          </w:p>
        </w:tc>
        <w:tc>
          <w:tcPr>
            <w:tcW w:w="444" w:type="pct"/>
            <w:vAlign w:val="center"/>
          </w:tcPr>
          <w:p w14:paraId="7BCD430E" w14:textId="77777777" w:rsidR="00E353FD" w:rsidRPr="00A41B49" w:rsidRDefault="00E353FD" w:rsidP="00E353FD">
            <w:pPr>
              <w:spacing w:before="60" w:after="60"/>
              <w:jc w:val="center"/>
              <w:rPr>
                <w:sz w:val="18"/>
                <w:szCs w:val="18"/>
              </w:rPr>
            </w:pPr>
            <w:r w:rsidRPr="00A41B49">
              <w:rPr>
                <w:sz w:val="18"/>
                <w:szCs w:val="18"/>
              </w:rPr>
              <w:t>I</w:t>
            </w:r>
            <w:r w:rsidRPr="00A41B49">
              <w:rPr>
                <w:sz w:val="18"/>
                <w:szCs w:val="18"/>
                <w:vertAlign w:val="superscript"/>
              </w:rPr>
              <w:t>-</w:t>
            </w:r>
            <w:r w:rsidRPr="00A41B49">
              <w:rPr>
                <w:sz w:val="18"/>
                <w:szCs w:val="18"/>
              </w:rPr>
              <w:t>: 0.06-640 µg/L</w:t>
            </w:r>
          </w:p>
          <w:p w14:paraId="0C927024" w14:textId="77777777" w:rsidR="00E353FD" w:rsidRPr="00A41B49" w:rsidRDefault="00E353FD" w:rsidP="00E353FD">
            <w:pPr>
              <w:spacing w:before="60" w:after="60"/>
              <w:jc w:val="center"/>
              <w:rPr>
                <w:sz w:val="18"/>
                <w:szCs w:val="18"/>
              </w:rPr>
            </w:pPr>
            <w:r w:rsidRPr="00A41B49">
              <w:rPr>
                <w:sz w:val="18"/>
                <w:szCs w:val="18"/>
              </w:rPr>
              <w:t>IO</w:t>
            </w:r>
            <w:r w:rsidRPr="00A41B49">
              <w:rPr>
                <w:sz w:val="18"/>
                <w:szCs w:val="18"/>
                <w:vertAlign w:val="subscript"/>
              </w:rPr>
              <w:t>3</w:t>
            </w:r>
            <w:r w:rsidRPr="00A41B49">
              <w:rPr>
                <w:sz w:val="18"/>
                <w:szCs w:val="18"/>
                <w:vertAlign w:val="superscript"/>
              </w:rPr>
              <w:t>-</w:t>
            </w:r>
            <w:r w:rsidRPr="00A41B49">
              <w:rPr>
                <w:sz w:val="18"/>
                <w:szCs w:val="18"/>
              </w:rPr>
              <w:t>: 0.09-874 µg/L</w:t>
            </w:r>
          </w:p>
        </w:tc>
        <w:tc>
          <w:tcPr>
            <w:tcW w:w="353" w:type="pct"/>
            <w:vAlign w:val="center"/>
          </w:tcPr>
          <w:p w14:paraId="68E4D8E3" w14:textId="77777777" w:rsidR="00E353FD" w:rsidRPr="00A41B49" w:rsidRDefault="00E353FD" w:rsidP="00E353FD">
            <w:pPr>
              <w:spacing w:before="60" w:after="60"/>
              <w:jc w:val="center"/>
              <w:rPr>
                <w:sz w:val="18"/>
                <w:szCs w:val="18"/>
              </w:rPr>
            </w:pPr>
            <w:r w:rsidRPr="00A41B49">
              <w:rPr>
                <w:sz w:val="18"/>
                <w:szCs w:val="18"/>
              </w:rPr>
              <w:t>Yes</w:t>
            </w:r>
          </w:p>
        </w:tc>
        <w:tc>
          <w:tcPr>
            <w:tcW w:w="361" w:type="pct"/>
            <w:vAlign w:val="center"/>
          </w:tcPr>
          <w:p w14:paraId="2E616511" w14:textId="77777777" w:rsidR="00E353FD" w:rsidRPr="00A41B49" w:rsidRDefault="00E353FD" w:rsidP="00E353FD">
            <w:pPr>
              <w:pStyle w:val="Standard-italics"/>
              <w:keepNext w:val="0"/>
              <w:jc w:val="center"/>
              <w:rPr>
                <w:i w:val="0"/>
                <w:sz w:val="18"/>
                <w:szCs w:val="18"/>
              </w:rPr>
            </w:pPr>
            <w:r w:rsidRPr="00A41B49">
              <w:rPr>
                <w:i w:val="0"/>
                <w:sz w:val="18"/>
                <w:szCs w:val="18"/>
              </w:rPr>
              <w:t>Not reported</w:t>
            </w:r>
          </w:p>
        </w:tc>
        <w:tc>
          <w:tcPr>
            <w:tcW w:w="268" w:type="pct"/>
            <w:vAlign w:val="center"/>
          </w:tcPr>
          <w:p w14:paraId="696F0687" w14:textId="77777777" w:rsidR="00E353FD" w:rsidRPr="00A41B49" w:rsidRDefault="00E353FD" w:rsidP="00E353F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92-95%</w:t>
            </w:r>
          </w:p>
          <w:p w14:paraId="635A6293" w14:textId="77777777" w:rsidR="00E353FD" w:rsidRPr="00A41B49" w:rsidRDefault="00E353FD" w:rsidP="00E353F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94-97% </w:t>
            </w:r>
          </w:p>
        </w:tc>
        <w:tc>
          <w:tcPr>
            <w:tcW w:w="316" w:type="pct"/>
            <w:vAlign w:val="center"/>
          </w:tcPr>
          <w:p w14:paraId="1D849312" w14:textId="77777777" w:rsidR="00E353FD" w:rsidRPr="00A41B49" w:rsidRDefault="00E353FD" w:rsidP="00E353F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0.5-1.4 %RSD</w:t>
            </w:r>
          </w:p>
          <w:p w14:paraId="020AE213" w14:textId="77777777" w:rsidR="00E353FD" w:rsidRPr="00A41B49" w:rsidRDefault="00E353FD" w:rsidP="00E353F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0.3-0.8-% RSD </w:t>
            </w:r>
          </w:p>
        </w:tc>
        <w:tc>
          <w:tcPr>
            <w:tcW w:w="448" w:type="pct"/>
            <w:vAlign w:val="center"/>
          </w:tcPr>
          <w:p w14:paraId="768F9FC8" w14:textId="77777777" w:rsidR="00E353FD" w:rsidRPr="00A41B49" w:rsidRDefault="00E353FD" w:rsidP="00E353FD">
            <w:pPr>
              <w:pStyle w:val="Standard-italics"/>
              <w:keepNext w:val="0"/>
              <w:rPr>
                <w:i w:val="0"/>
                <w:sz w:val="18"/>
                <w:szCs w:val="18"/>
              </w:rPr>
            </w:pPr>
            <w:r w:rsidRPr="00A41B49">
              <w:rPr>
                <w:i w:val="0"/>
                <w:sz w:val="18"/>
                <w:szCs w:val="18"/>
              </w:rPr>
              <w:t>LOQ: At least 6.4  and 8.8 µg/L for I</w:t>
            </w:r>
            <w:r w:rsidRPr="00A41B49">
              <w:rPr>
                <w:i w:val="0"/>
                <w:sz w:val="18"/>
                <w:szCs w:val="18"/>
                <w:vertAlign w:val="superscript"/>
              </w:rPr>
              <w:t>-</w:t>
            </w:r>
            <w:r w:rsidRPr="00A41B49">
              <w:rPr>
                <w:i w:val="0"/>
                <w:sz w:val="18"/>
                <w:szCs w:val="18"/>
              </w:rPr>
              <w:t xml:space="preserve"> and 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respectively (validated)</w:t>
            </w:r>
          </w:p>
        </w:tc>
        <w:tc>
          <w:tcPr>
            <w:tcW w:w="323" w:type="pct"/>
          </w:tcPr>
          <w:p w14:paraId="7EF1B44A" w14:textId="77777777" w:rsidR="00E353FD" w:rsidRPr="00A41B49" w:rsidRDefault="00E353FD" w:rsidP="00E353FD">
            <w:pPr>
              <w:pStyle w:val="Standard-italics"/>
              <w:keepNext w:val="0"/>
              <w:jc w:val="center"/>
              <w:rPr>
                <w:i w:val="0"/>
                <w:sz w:val="18"/>
                <w:szCs w:val="18"/>
                <w:lang w:val="it-IT"/>
              </w:rPr>
            </w:pPr>
            <w:r w:rsidRPr="00A41B49">
              <w:rPr>
                <w:i w:val="0"/>
                <w:sz w:val="18"/>
                <w:szCs w:val="18"/>
                <w:lang w:val="it-IT"/>
              </w:rPr>
              <w:t>0.59 mg/L***</w:t>
            </w:r>
          </w:p>
        </w:tc>
        <w:tc>
          <w:tcPr>
            <w:tcW w:w="440" w:type="pct"/>
          </w:tcPr>
          <w:p w14:paraId="199E7CBC" w14:textId="77777777" w:rsidR="00E353FD" w:rsidRPr="00A41B49" w:rsidRDefault="00E353FD" w:rsidP="00E353FD">
            <w:pPr>
              <w:spacing w:before="60" w:after="60"/>
              <w:jc w:val="center"/>
              <w:rPr>
                <w:sz w:val="18"/>
                <w:szCs w:val="18"/>
                <w:u w:val="single"/>
                <w:lang w:val="it-IT"/>
              </w:rPr>
            </w:pPr>
            <w:r w:rsidRPr="00A41B49">
              <w:rPr>
                <w:sz w:val="18"/>
                <w:szCs w:val="18"/>
                <w:u w:val="single"/>
                <w:lang w:val="it-IT"/>
              </w:rPr>
              <w:t>Acceptable</w:t>
            </w:r>
          </w:p>
          <w:p w14:paraId="702409E4" w14:textId="77777777" w:rsidR="00E353FD" w:rsidRPr="00A41B49" w:rsidRDefault="00E353FD" w:rsidP="00E353FD">
            <w:pPr>
              <w:spacing w:before="60" w:after="60"/>
              <w:jc w:val="center"/>
              <w:rPr>
                <w:sz w:val="18"/>
                <w:szCs w:val="18"/>
                <w:u w:val="single"/>
                <w:lang w:val="it-IT"/>
              </w:rPr>
            </w:pPr>
            <w:r w:rsidRPr="00A41B49">
              <w:rPr>
                <w:sz w:val="18"/>
                <w:szCs w:val="18"/>
                <w:lang w:val="it-IT"/>
              </w:rPr>
              <w:t>No method required due to low PECs in comparison to natural background levels</w:t>
            </w:r>
          </w:p>
        </w:tc>
        <w:tc>
          <w:tcPr>
            <w:tcW w:w="337" w:type="pct"/>
            <w:vAlign w:val="center"/>
          </w:tcPr>
          <w:p w14:paraId="319C689D" w14:textId="77777777" w:rsidR="00E353FD" w:rsidRPr="00A41B49" w:rsidRDefault="00E353FD" w:rsidP="00E353FD">
            <w:pPr>
              <w:pStyle w:val="Standard-italics"/>
              <w:keepNext w:val="0"/>
              <w:jc w:val="center"/>
              <w:rPr>
                <w:i w:val="0"/>
                <w:sz w:val="18"/>
                <w:szCs w:val="18"/>
              </w:rPr>
            </w:pPr>
            <w:r w:rsidRPr="00A41B49">
              <w:rPr>
                <w:i w:val="0"/>
                <w:sz w:val="18"/>
                <w:szCs w:val="18"/>
              </w:rPr>
              <w:t>Liu et al (2010); Doc. No. 492-022; A4.2c/07</w:t>
            </w:r>
          </w:p>
        </w:tc>
      </w:tr>
      <w:tr w:rsidR="00E353FD" w:rsidRPr="00A41B49" w14:paraId="78964392" w14:textId="77777777" w:rsidTr="00680CE7">
        <w:tc>
          <w:tcPr>
            <w:tcW w:w="306" w:type="pct"/>
            <w:vAlign w:val="center"/>
          </w:tcPr>
          <w:p w14:paraId="611B77FA" w14:textId="77777777" w:rsidR="00E353FD" w:rsidRPr="00A41B49" w:rsidRDefault="00E353FD" w:rsidP="00E353FD">
            <w:pPr>
              <w:spacing w:before="60" w:after="60"/>
              <w:jc w:val="center"/>
              <w:rPr>
                <w:sz w:val="18"/>
                <w:szCs w:val="18"/>
              </w:rPr>
            </w:pPr>
            <w:r w:rsidRPr="00A41B49">
              <w:rPr>
                <w:sz w:val="18"/>
                <w:szCs w:val="18"/>
              </w:rPr>
              <w:t xml:space="preserve">Milk and </w:t>
            </w:r>
            <w:r w:rsidRPr="00A41B49">
              <w:rPr>
                <w:sz w:val="18"/>
                <w:szCs w:val="18"/>
              </w:rPr>
              <w:lastRenderedPageBreak/>
              <w:t>milk powder</w:t>
            </w:r>
          </w:p>
        </w:tc>
        <w:tc>
          <w:tcPr>
            <w:tcW w:w="434" w:type="pct"/>
            <w:vAlign w:val="center"/>
          </w:tcPr>
          <w:p w14:paraId="75D6A7AE" w14:textId="77777777" w:rsidR="00E353FD" w:rsidRPr="00A41B49" w:rsidRDefault="00E353FD" w:rsidP="00E353FD">
            <w:pPr>
              <w:spacing w:before="60" w:after="60"/>
              <w:jc w:val="center"/>
              <w:rPr>
                <w:sz w:val="18"/>
                <w:szCs w:val="18"/>
              </w:rPr>
            </w:pPr>
            <w:r w:rsidRPr="00A41B49">
              <w:rPr>
                <w:sz w:val="18"/>
                <w:szCs w:val="18"/>
              </w:rPr>
              <w:lastRenderedPageBreak/>
              <w:t>iodide</w:t>
            </w:r>
          </w:p>
        </w:tc>
        <w:tc>
          <w:tcPr>
            <w:tcW w:w="440" w:type="pct"/>
            <w:vAlign w:val="center"/>
          </w:tcPr>
          <w:p w14:paraId="46EBB3B3" w14:textId="77777777" w:rsidR="00E353FD" w:rsidRPr="00A41B49" w:rsidRDefault="00E353FD" w:rsidP="00E353FD">
            <w:pPr>
              <w:pStyle w:val="Standard-italics"/>
              <w:keepNext w:val="0"/>
              <w:jc w:val="center"/>
              <w:rPr>
                <w:i w:val="0"/>
                <w:sz w:val="18"/>
                <w:szCs w:val="18"/>
              </w:rPr>
            </w:pPr>
            <w:r w:rsidRPr="00A41B49">
              <w:rPr>
                <w:i w:val="0"/>
                <w:sz w:val="18"/>
                <w:szCs w:val="18"/>
              </w:rPr>
              <w:t>HPLC with electroche</w:t>
            </w:r>
            <w:r w:rsidRPr="00A41B49">
              <w:rPr>
                <w:i w:val="0"/>
                <w:sz w:val="18"/>
                <w:szCs w:val="18"/>
              </w:rPr>
              <w:lastRenderedPageBreak/>
              <w:t>mical detector</w:t>
            </w:r>
          </w:p>
        </w:tc>
        <w:tc>
          <w:tcPr>
            <w:tcW w:w="530" w:type="pct"/>
            <w:vAlign w:val="center"/>
          </w:tcPr>
          <w:p w14:paraId="5B59ACAC" w14:textId="77777777" w:rsidR="00E353FD" w:rsidRPr="00A41B49" w:rsidRDefault="00E353FD" w:rsidP="00E353FD">
            <w:pPr>
              <w:spacing w:before="60" w:after="60"/>
              <w:jc w:val="center"/>
              <w:rPr>
                <w:sz w:val="18"/>
                <w:szCs w:val="18"/>
              </w:rPr>
            </w:pPr>
            <w:r w:rsidRPr="00A41B49">
              <w:rPr>
                <w:sz w:val="18"/>
                <w:szCs w:val="18"/>
              </w:rPr>
              <w:lastRenderedPageBreak/>
              <w:t xml:space="preserve">Accuracy/precision data generated in the </w:t>
            </w:r>
            <w:r w:rsidRPr="00A41B49">
              <w:rPr>
                <w:sz w:val="18"/>
                <w:szCs w:val="18"/>
              </w:rPr>
              <w:lastRenderedPageBreak/>
              <w:t>approximate range 0.6-4.3 µg/g and 270-310 µg/L for milk powders and liquid milk respectively. Each sample analysed in blind duplicates over two days. 6-9 laboratories participated (interlaboratory tested).</w:t>
            </w:r>
          </w:p>
        </w:tc>
        <w:tc>
          <w:tcPr>
            <w:tcW w:w="444" w:type="pct"/>
            <w:vAlign w:val="center"/>
          </w:tcPr>
          <w:p w14:paraId="1A4229BD" w14:textId="77777777" w:rsidR="00E353FD" w:rsidRPr="00A41B49" w:rsidRDefault="00E353FD" w:rsidP="00E353FD">
            <w:pPr>
              <w:spacing w:before="60" w:after="60"/>
              <w:jc w:val="center"/>
              <w:rPr>
                <w:sz w:val="18"/>
                <w:szCs w:val="18"/>
              </w:rPr>
            </w:pPr>
            <w:r w:rsidRPr="00A41B49">
              <w:rPr>
                <w:sz w:val="18"/>
                <w:szCs w:val="18"/>
              </w:rPr>
              <w:lastRenderedPageBreak/>
              <w:t xml:space="preserve">The correlation coefficient should </w:t>
            </w:r>
            <w:r w:rsidRPr="00A41B49">
              <w:rPr>
                <w:sz w:val="18"/>
                <w:szCs w:val="18"/>
              </w:rPr>
              <w:lastRenderedPageBreak/>
              <w:t xml:space="preserve">be </w:t>
            </w:r>
            <w:r w:rsidRPr="00A41B49">
              <w:rPr>
                <w:sz w:val="18"/>
                <w:szCs w:val="18"/>
                <w:u w:val="single"/>
              </w:rPr>
              <w:t>&gt;</w:t>
            </w:r>
            <w:r w:rsidRPr="00A41B49">
              <w:rPr>
                <w:sz w:val="18"/>
                <w:szCs w:val="18"/>
              </w:rPr>
              <w:t xml:space="preserve"> 0.99. Applicability range of method quoted as 0.03 -1 µg/g and 0.3-10.0 µg/g for whole milk and milk powders respectively (no further supporting data)</w:t>
            </w:r>
          </w:p>
        </w:tc>
        <w:tc>
          <w:tcPr>
            <w:tcW w:w="353" w:type="pct"/>
            <w:vAlign w:val="center"/>
          </w:tcPr>
          <w:p w14:paraId="7747F6AC" w14:textId="77777777" w:rsidR="00E353FD" w:rsidRPr="00A41B49" w:rsidRDefault="00E353FD" w:rsidP="00E353FD">
            <w:pPr>
              <w:spacing w:before="60" w:after="60"/>
              <w:jc w:val="center"/>
              <w:rPr>
                <w:sz w:val="18"/>
                <w:szCs w:val="18"/>
              </w:rPr>
            </w:pPr>
            <w:r w:rsidRPr="00A41B49">
              <w:rPr>
                <w:sz w:val="18"/>
                <w:szCs w:val="18"/>
              </w:rPr>
              <w:lastRenderedPageBreak/>
              <w:t>Yes</w:t>
            </w:r>
          </w:p>
        </w:tc>
        <w:tc>
          <w:tcPr>
            <w:tcW w:w="361" w:type="pct"/>
            <w:vAlign w:val="center"/>
          </w:tcPr>
          <w:p w14:paraId="1ECF1B79" w14:textId="77777777" w:rsidR="00E353FD" w:rsidRPr="00A41B49" w:rsidRDefault="00E353FD" w:rsidP="00E353FD">
            <w:pPr>
              <w:pStyle w:val="Standard-italics"/>
              <w:keepNext w:val="0"/>
              <w:jc w:val="center"/>
              <w:rPr>
                <w:i w:val="0"/>
                <w:sz w:val="18"/>
                <w:szCs w:val="18"/>
              </w:rPr>
            </w:pPr>
            <w:r w:rsidRPr="00A41B49">
              <w:rPr>
                <w:i w:val="0"/>
                <w:sz w:val="18"/>
                <w:szCs w:val="18"/>
              </w:rPr>
              <w:t xml:space="preserve">75-106% and 87.8% </w:t>
            </w:r>
            <w:r w:rsidRPr="00A41B49">
              <w:rPr>
                <w:i w:val="0"/>
                <w:sz w:val="18"/>
                <w:szCs w:val="18"/>
              </w:rPr>
              <w:lastRenderedPageBreak/>
              <w:t xml:space="preserve">for milk powders (mp) and whole milk (wm) respectively </w:t>
            </w:r>
          </w:p>
        </w:tc>
        <w:tc>
          <w:tcPr>
            <w:tcW w:w="268" w:type="pct"/>
            <w:vAlign w:val="center"/>
          </w:tcPr>
          <w:p w14:paraId="0A5DB585" w14:textId="77777777" w:rsidR="00E353FD" w:rsidRPr="00A41B49" w:rsidRDefault="00E353FD" w:rsidP="00E353FD">
            <w:pPr>
              <w:pStyle w:val="Standard-italics"/>
              <w:keepNext w:val="0"/>
              <w:jc w:val="center"/>
              <w:rPr>
                <w:i w:val="0"/>
                <w:sz w:val="18"/>
                <w:szCs w:val="18"/>
              </w:rPr>
            </w:pPr>
            <w:r w:rsidRPr="00A41B49">
              <w:rPr>
                <w:i w:val="0"/>
                <w:sz w:val="18"/>
                <w:szCs w:val="18"/>
              </w:rPr>
              <w:lastRenderedPageBreak/>
              <w:t>90.8% (mp) 87.8</w:t>
            </w:r>
            <w:r w:rsidRPr="00A41B49">
              <w:rPr>
                <w:i w:val="0"/>
                <w:sz w:val="18"/>
                <w:szCs w:val="18"/>
              </w:rPr>
              <w:lastRenderedPageBreak/>
              <w:t>% (wm)</w:t>
            </w:r>
          </w:p>
        </w:tc>
        <w:tc>
          <w:tcPr>
            <w:tcW w:w="316" w:type="pct"/>
            <w:vAlign w:val="center"/>
          </w:tcPr>
          <w:p w14:paraId="48096A82" w14:textId="77777777" w:rsidR="00E353FD" w:rsidRPr="00A41B49" w:rsidRDefault="00E353FD" w:rsidP="00E353FD">
            <w:pPr>
              <w:pStyle w:val="Standard-italics"/>
              <w:keepNext w:val="0"/>
              <w:jc w:val="center"/>
              <w:rPr>
                <w:i w:val="0"/>
                <w:sz w:val="18"/>
                <w:szCs w:val="18"/>
              </w:rPr>
            </w:pPr>
            <w:r w:rsidRPr="00A41B49">
              <w:rPr>
                <w:i w:val="0"/>
                <w:sz w:val="18"/>
                <w:szCs w:val="18"/>
              </w:rPr>
              <w:lastRenderedPageBreak/>
              <w:t xml:space="preserve">Precision: </w:t>
            </w:r>
          </w:p>
          <w:p w14:paraId="2C47EA19" w14:textId="77777777" w:rsidR="00E353FD" w:rsidRPr="00A41B49" w:rsidRDefault="00E353FD" w:rsidP="00E353FD">
            <w:pPr>
              <w:pStyle w:val="Standard-italics"/>
              <w:keepNext w:val="0"/>
              <w:jc w:val="center"/>
              <w:rPr>
                <w:i w:val="0"/>
                <w:sz w:val="18"/>
                <w:szCs w:val="18"/>
              </w:rPr>
            </w:pPr>
            <w:r w:rsidRPr="00A41B49">
              <w:rPr>
                <w:i w:val="0"/>
                <w:sz w:val="18"/>
                <w:szCs w:val="18"/>
              </w:rPr>
              <w:lastRenderedPageBreak/>
              <w:t>7-24%RSD (mp)</w:t>
            </w:r>
          </w:p>
          <w:p w14:paraId="5DEC97FF" w14:textId="77777777" w:rsidR="00E353FD" w:rsidRPr="00A41B49" w:rsidRDefault="00E353FD" w:rsidP="00E353FD">
            <w:pPr>
              <w:pStyle w:val="Standard-italics"/>
              <w:keepNext w:val="0"/>
              <w:jc w:val="center"/>
              <w:rPr>
                <w:i w:val="0"/>
                <w:sz w:val="18"/>
                <w:szCs w:val="18"/>
              </w:rPr>
            </w:pPr>
          </w:p>
          <w:p w14:paraId="58900673" w14:textId="77777777" w:rsidR="00E353FD" w:rsidRPr="00A41B49" w:rsidRDefault="00E353FD" w:rsidP="00E353FD">
            <w:pPr>
              <w:pStyle w:val="Standard-italics"/>
              <w:keepNext w:val="0"/>
              <w:jc w:val="center"/>
              <w:rPr>
                <w:i w:val="0"/>
                <w:sz w:val="18"/>
                <w:szCs w:val="18"/>
              </w:rPr>
            </w:pPr>
            <w:r w:rsidRPr="00A41B49">
              <w:rPr>
                <w:i w:val="0"/>
                <w:sz w:val="18"/>
                <w:szCs w:val="18"/>
              </w:rPr>
              <w:t>5-12%RSD (wm)</w:t>
            </w:r>
          </w:p>
        </w:tc>
        <w:tc>
          <w:tcPr>
            <w:tcW w:w="448" w:type="pct"/>
            <w:vAlign w:val="center"/>
          </w:tcPr>
          <w:p w14:paraId="28544A70" w14:textId="77777777" w:rsidR="00E353FD" w:rsidRPr="00A41B49" w:rsidRDefault="00E353FD" w:rsidP="00E353FD">
            <w:pPr>
              <w:pStyle w:val="Standard-italics"/>
              <w:keepNext w:val="0"/>
              <w:rPr>
                <w:i w:val="0"/>
                <w:sz w:val="18"/>
                <w:szCs w:val="18"/>
              </w:rPr>
            </w:pPr>
            <w:r w:rsidRPr="00A41B49">
              <w:rPr>
                <w:i w:val="0"/>
                <w:sz w:val="18"/>
                <w:szCs w:val="18"/>
              </w:rPr>
              <w:lastRenderedPageBreak/>
              <w:t xml:space="preserve">LOQ can be taken from applicability range: </w:t>
            </w:r>
            <w:r w:rsidRPr="00A41B49">
              <w:rPr>
                <w:i w:val="0"/>
                <w:sz w:val="18"/>
                <w:szCs w:val="18"/>
              </w:rPr>
              <w:lastRenderedPageBreak/>
              <w:t xml:space="preserve">0.03 µg/g (wm) </w:t>
            </w:r>
          </w:p>
          <w:p w14:paraId="44B86A4D" w14:textId="77777777" w:rsidR="00E353FD" w:rsidRPr="00A41B49" w:rsidRDefault="00E353FD" w:rsidP="00E353FD">
            <w:pPr>
              <w:pStyle w:val="Standard-italics"/>
              <w:keepNext w:val="0"/>
              <w:rPr>
                <w:i w:val="0"/>
                <w:sz w:val="18"/>
                <w:szCs w:val="18"/>
              </w:rPr>
            </w:pPr>
            <w:r w:rsidRPr="00A41B49">
              <w:rPr>
                <w:i w:val="0"/>
                <w:sz w:val="18"/>
                <w:szCs w:val="18"/>
              </w:rPr>
              <w:t>0.3 µg/g (mp)</w:t>
            </w:r>
          </w:p>
        </w:tc>
        <w:tc>
          <w:tcPr>
            <w:tcW w:w="323" w:type="pct"/>
          </w:tcPr>
          <w:p w14:paraId="71D2EDFA" w14:textId="77777777" w:rsidR="00E353FD" w:rsidRPr="00A41B49" w:rsidRDefault="00E353FD" w:rsidP="00E353FD">
            <w:pPr>
              <w:pStyle w:val="Standard-italics"/>
              <w:keepNext w:val="0"/>
              <w:jc w:val="center"/>
              <w:rPr>
                <w:i w:val="0"/>
                <w:sz w:val="18"/>
                <w:szCs w:val="18"/>
              </w:rPr>
            </w:pPr>
            <w:r w:rsidRPr="00A41B49">
              <w:rPr>
                <w:i w:val="0"/>
                <w:sz w:val="18"/>
                <w:szCs w:val="18"/>
              </w:rPr>
              <w:lastRenderedPageBreak/>
              <w:t xml:space="preserve">≥90 µg/L (0.09 </w:t>
            </w:r>
            <w:r w:rsidRPr="00A41B49">
              <w:rPr>
                <w:i w:val="0"/>
                <w:sz w:val="18"/>
                <w:szCs w:val="18"/>
              </w:rPr>
              <w:lastRenderedPageBreak/>
              <w:t>µg/g)****</w:t>
            </w:r>
          </w:p>
        </w:tc>
        <w:tc>
          <w:tcPr>
            <w:tcW w:w="440" w:type="pct"/>
          </w:tcPr>
          <w:p w14:paraId="44008023" w14:textId="77777777" w:rsidR="00E353FD" w:rsidRPr="00A41B49" w:rsidRDefault="00E353FD" w:rsidP="00E353FD">
            <w:pPr>
              <w:pStyle w:val="Standard-italics"/>
              <w:keepNext w:val="0"/>
              <w:jc w:val="center"/>
              <w:rPr>
                <w:i w:val="0"/>
                <w:sz w:val="18"/>
                <w:szCs w:val="18"/>
                <w:u w:val="single"/>
                <w:lang w:val="it-IT"/>
              </w:rPr>
            </w:pPr>
            <w:r w:rsidRPr="00A41B49">
              <w:rPr>
                <w:i w:val="0"/>
                <w:sz w:val="18"/>
                <w:szCs w:val="18"/>
                <w:u w:val="single"/>
                <w:lang w:val="it-IT"/>
              </w:rPr>
              <w:lastRenderedPageBreak/>
              <w:t xml:space="preserve">Acceptable (internationally </w:t>
            </w:r>
            <w:r w:rsidRPr="00A41B49">
              <w:rPr>
                <w:i w:val="0"/>
                <w:sz w:val="18"/>
                <w:szCs w:val="18"/>
                <w:u w:val="single"/>
                <w:lang w:val="it-IT"/>
              </w:rPr>
              <w:lastRenderedPageBreak/>
              <w:t xml:space="preserve">agreed std method). </w:t>
            </w:r>
          </w:p>
          <w:p w14:paraId="6240A357" w14:textId="77777777" w:rsidR="00E353FD" w:rsidRPr="00A41B49" w:rsidRDefault="00E353FD" w:rsidP="00E353FD">
            <w:pPr>
              <w:pStyle w:val="Standard-italics"/>
              <w:keepNext w:val="0"/>
              <w:jc w:val="center"/>
              <w:rPr>
                <w:i w:val="0"/>
                <w:sz w:val="18"/>
                <w:szCs w:val="18"/>
              </w:rPr>
            </w:pPr>
          </w:p>
        </w:tc>
        <w:tc>
          <w:tcPr>
            <w:tcW w:w="337" w:type="pct"/>
            <w:vAlign w:val="center"/>
          </w:tcPr>
          <w:p w14:paraId="64C73EA2" w14:textId="77777777" w:rsidR="00E353FD" w:rsidRPr="00A41B49" w:rsidRDefault="00E353FD" w:rsidP="00E353FD">
            <w:pPr>
              <w:pStyle w:val="Standard-italics"/>
              <w:keepNext w:val="0"/>
              <w:jc w:val="center"/>
              <w:rPr>
                <w:i w:val="0"/>
                <w:sz w:val="18"/>
                <w:szCs w:val="18"/>
              </w:rPr>
            </w:pPr>
            <w:r w:rsidRPr="00A41B49">
              <w:rPr>
                <w:i w:val="0"/>
                <w:sz w:val="18"/>
                <w:szCs w:val="18"/>
              </w:rPr>
              <w:lastRenderedPageBreak/>
              <w:t xml:space="preserve">1. ISO 14378, Doc. No. </w:t>
            </w:r>
            <w:r w:rsidRPr="00A41B49">
              <w:rPr>
                <w:i w:val="0"/>
                <w:sz w:val="18"/>
                <w:szCs w:val="18"/>
              </w:rPr>
              <w:lastRenderedPageBreak/>
              <w:t>492-013; A4.3/01</w:t>
            </w:r>
          </w:p>
          <w:p w14:paraId="4ABABA9F" w14:textId="77777777" w:rsidR="00E353FD" w:rsidRPr="00A41B49" w:rsidRDefault="00E353FD" w:rsidP="00E353FD">
            <w:pPr>
              <w:pStyle w:val="Standard-italics"/>
              <w:keepNext w:val="0"/>
              <w:jc w:val="center"/>
              <w:rPr>
                <w:i w:val="0"/>
                <w:sz w:val="18"/>
                <w:szCs w:val="18"/>
              </w:rPr>
            </w:pPr>
            <w:r w:rsidRPr="00A41B49">
              <w:rPr>
                <w:i w:val="0"/>
                <w:sz w:val="18"/>
                <w:szCs w:val="18"/>
              </w:rPr>
              <w:t>2. D. Sertl and W. Malone (1993)</w:t>
            </w:r>
          </w:p>
        </w:tc>
      </w:tr>
      <w:tr w:rsidR="00E353FD" w:rsidRPr="00A41B49" w14:paraId="36C128EC" w14:textId="77777777" w:rsidTr="00680CE7">
        <w:tc>
          <w:tcPr>
            <w:tcW w:w="306" w:type="pct"/>
            <w:vAlign w:val="center"/>
          </w:tcPr>
          <w:p w14:paraId="37AB21C4" w14:textId="77777777" w:rsidR="00E353FD" w:rsidRPr="00A41B49" w:rsidRDefault="00E353FD" w:rsidP="00E353FD">
            <w:pPr>
              <w:spacing w:before="60" w:after="60"/>
              <w:jc w:val="center"/>
              <w:rPr>
                <w:sz w:val="18"/>
                <w:szCs w:val="18"/>
              </w:rPr>
            </w:pPr>
            <w:r w:rsidRPr="00A41B49">
              <w:rPr>
                <w:sz w:val="18"/>
                <w:szCs w:val="18"/>
              </w:rPr>
              <w:lastRenderedPageBreak/>
              <w:t>Milk and bovine liver</w:t>
            </w:r>
          </w:p>
        </w:tc>
        <w:tc>
          <w:tcPr>
            <w:tcW w:w="434" w:type="pct"/>
            <w:vAlign w:val="center"/>
          </w:tcPr>
          <w:p w14:paraId="3B3B1B12" w14:textId="77777777" w:rsidR="00E353FD" w:rsidRPr="00A41B49" w:rsidRDefault="00E353FD" w:rsidP="00E353FD">
            <w:pPr>
              <w:spacing w:before="60" w:after="60"/>
              <w:jc w:val="center"/>
              <w:rPr>
                <w:sz w:val="18"/>
                <w:szCs w:val="18"/>
              </w:rPr>
            </w:pPr>
            <w:r w:rsidRPr="00A41B49">
              <w:rPr>
                <w:sz w:val="18"/>
                <w:szCs w:val="18"/>
              </w:rPr>
              <w:t>Total iodine</w:t>
            </w:r>
          </w:p>
        </w:tc>
        <w:tc>
          <w:tcPr>
            <w:tcW w:w="440" w:type="pct"/>
            <w:vAlign w:val="center"/>
          </w:tcPr>
          <w:p w14:paraId="658A4439" w14:textId="77777777" w:rsidR="00E353FD" w:rsidRPr="00A41B49" w:rsidRDefault="00E353FD" w:rsidP="00E353FD">
            <w:pPr>
              <w:pStyle w:val="Standard-italics"/>
              <w:keepNext w:val="0"/>
              <w:jc w:val="center"/>
              <w:rPr>
                <w:i w:val="0"/>
                <w:sz w:val="18"/>
                <w:szCs w:val="18"/>
              </w:rPr>
            </w:pPr>
            <w:r w:rsidRPr="00A41B49">
              <w:rPr>
                <w:i w:val="0"/>
                <w:sz w:val="18"/>
                <w:szCs w:val="18"/>
              </w:rPr>
              <w:t>ICP-MS of digested samples</w:t>
            </w:r>
          </w:p>
        </w:tc>
        <w:tc>
          <w:tcPr>
            <w:tcW w:w="530" w:type="pct"/>
            <w:vAlign w:val="center"/>
          </w:tcPr>
          <w:p w14:paraId="046831E0" w14:textId="77777777" w:rsidR="00E353FD" w:rsidRPr="00A41B49" w:rsidRDefault="00E353FD" w:rsidP="00E353FD">
            <w:pPr>
              <w:spacing w:before="60" w:after="60"/>
              <w:jc w:val="center"/>
              <w:rPr>
                <w:sz w:val="18"/>
                <w:szCs w:val="18"/>
              </w:rPr>
            </w:pPr>
            <w:r w:rsidRPr="00A41B49">
              <w:rPr>
                <w:sz w:val="18"/>
                <w:szCs w:val="18"/>
              </w:rPr>
              <w:t xml:space="preserve">Standard material (milk powder and bovine liver) with certified iodine content in the range 0.1-5.4 mg/kg ( </w:t>
            </w:r>
          </w:p>
        </w:tc>
        <w:tc>
          <w:tcPr>
            <w:tcW w:w="444" w:type="pct"/>
            <w:vAlign w:val="center"/>
          </w:tcPr>
          <w:p w14:paraId="2C4E18D2" w14:textId="77777777" w:rsidR="00E353FD" w:rsidRPr="00A41B49" w:rsidRDefault="00E353FD" w:rsidP="00E353FD">
            <w:pPr>
              <w:spacing w:before="60" w:after="60"/>
              <w:jc w:val="center"/>
              <w:rPr>
                <w:sz w:val="18"/>
                <w:szCs w:val="18"/>
              </w:rPr>
            </w:pPr>
            <w:r w:rsidRPr="00A41B49">
              <w:rPr>
                <w:sz w:val="18"/>
                <w:szCs w:val="18"/>
              </w:rPr>
              <w:t>Not reported (internal standardisation with</w:t>
            </w:r>
            <w:r w:rsidRPr="00A41B49">
              <w:rPr>
                <w:sz w:val="18"/>
                <w:szCs w:val="18"/>
                <w:vertAlign w:val="superscript"/>
              </w:rPr>
              <w:t>129</w:t>
            </w:r>
            <w:r w:rsidRPr="00A41B49">
              <w:rPr>
                <w:sz w:val="18"/>
                <w:szCs w:val="18"/>
              </w:rPr>
              <w:t>I- enriched iodate)</w:t>
            </w:r>
          </w:p>
        </w:tc>
        <w:tc>
          <w:tcPr>
            <w:tcW w:w="353" w:type="pct"/>
            <w:vAlign w:val="center"/>
          </w:tcPr>
          <w:p w14:paraId="4B1AFDD7" w14:textId="77777777" w:rsidR="00E353FD" w:rsidRPr="00A41B49" w:rsidRDefault="00E353FD" w:rsidP="00E353FD">
            <w:pPr>
              <w:spacing w:before="60" w:after="60"/>
              <w:jc w:val="center"/>
              <w:rPr>
                <w:sz w:val="18"/>
                <w:szCs w:val="18"/>
              </w:rPr>
            </w:pPr>
            <w:r w:rsidRPr="00A41B49">
              <w:rPr>
                <w:sz w:val="18"/>
                <w:szCs w:val="18"/>
              </w:rPr>
              <w:t>Yes</w:t>
            </w:r>
          </w:p>
        </w:tc>
        <w:tc>
          <w:tcPr>
            <w:tcW w:w="361" w:type="pct"/>
            <w:vAlign w:val="center"/>
          </w:tcPr>
          <w:p w14:paraId="6588FADE" w14:textId="77777777" w:rsidR="00E353FD" w:rsidRPr="00A41B49" w:rsidRDefault="00E353FD" w:rsidP="00E353FD">
            <w:pPr>
              <w:pStyle w:val="Standard-italics"/>
              <w:keepNext w:val="0"/>
              <w:jc w:val="center"/>
              <w:rPr>
                <w:i w:val="0"/>
                <w:sz w:val="18"/>
                <w:szCs w:val="18"/>
              </w:rPr>
            </w:pPr>
            <w:r w:rsidRPr="00A41B49">
              <w:rPr>
                <w:i w:val="0"/>
                <w:sz w:val="18"/>
                <w:szCs w:val="18"/>
              </w:rPr>
              <w:t>Not tested (good agreement with certified content)</w:t>
            </w:r>
          </w:p>
        </w:tc>
        <w:tc>
          <w:tcPr>
            <w:tcW w:w="268" w:type="pct"/>
            <w:vAlign w:val="center"/>
          </w:tcPr>
          <w:p w14:paraId="530D07B7" w14:textId="77777777" w:rsidR="00E353FD" w:rsidRPr="00A41B49" w:rsidRDefault="00E353FD" w:rsidP="00E353FD">
            <w:pPr>
              <w:pStyle w:val="Standard-italics"/>
              <w:keepNext w:val="0"/>
              <w:jc w:val="center"/>
              <w:rPr>
                <w:i w:val="0"/>
                <w:sz w:val="18"/>
                <w:szCs w:val="18"/>
              </w:rPr>
            </w:pPr>
            <w:r w:rsidRPr="00A41B49">
              <w:rPr>
                <w:i w:val="0"/>
                <w:sz w:val="18"/>
                <w:szCs w:val="18"/>
              </w:rPr>
              <w:t>-</w:t>
            </w:r>
          </w:p>
        </w:tc>
        <w:tc>
          <w:tcPr>
            <w:tcW w:w="316" w:type="pct"/>
            <w:vAlign w:val="center"/>
          </w:tcPr>
          <w:p w14:paraId="35EDD4FE" w14:textId="77777777" w:rsidR="00E353FD" w:rsidRPr="00A41B49" w:rsidRDefault="00E353FD" w:rsidP="00E353FD">
            <w:pPr>
              <w:pStyle w:val="Standard-italics"/>
              <w:keepNext w:val="0"/>
              <w:jc w:val="center"/>
              <w:rPr>
                <w:i w:val="0"/>
                <w:sz w:val="18"/>
                <w:szCs w:val="18"/>
              </w:rPr>
            </w:pPr>
            <w:r w:rsidRPr="00A41B49">
              <w:rPr>
                <w:i w:val="0"/>
                <w:sz w:val="18"/>
                <w:szCs w:val="18"/>
              </w:rPr>
              <w:t>0.8-8.8%</w:t>
            </w:r>
          </w:p>
        </w:tc>
        <w:tc>
          <w:tcPr>
            <w:tcW w:w="448" w:type="pct"/>
            <w:vAlign w:val="center"/>
          </w:tcPr>
          <w:p w14:paraId="0010E221" w14:textId="77777777" w:rsidR="00E353FD" w:rsidRPr="00A41B49" w:rsidRDefault="00E353FD" w:rsidP="00E353FD">
            <w:pPr>
              <w:pStyle w:val="Standard-italics"/>
              <w:keepNext w:val="0"/>
              <w:rPr>
                <w:i w:val="0"/>
                <w:sz w:val="18"/>
                <w:szCs w:val="18"/>
              </w:rPr>
            </w:pPr>
            <w:r w:rsidRPr="00A41B49">
              <w:rPr>
                <w:i w:val="0"/>
                <w:sz w:val="18"/>
                <w:szCs w:val="18"/>
              </w:rPr>
              <w:t>LOQ: At least 0.3 mg/kg (validated for milk powder))</w:t>
            </w:r>
          </w:p>
          <w:p w14:paraId="22BFB4E7" w14:textId="77777777" w:rsidR="00E353FD" w:rsidRPr="00A41B49" w:rsidRDefault="00E353FD" w:rsidP="00E353FD">
            <w:pPr>
              <w:pStyle w:val="Standard-italics"/>
              <w:keepNext w:val="0"/>
              <w:rPr>
                <w:i w:val="0"/>
                <w:sz w:val="18"/>
                <w:szCs w:val="18"/>
              </w:rPr>
            </w:pPr>
          </w:p>
        </w:tc>
        <w:tc>
          <w:tcPr>
            <w:tcW w:w="323" w:type="pct"/>
          </w:tcPr>
          <w:p w14:paraId="2F8BBC24" w14:textId="77777777" w:rsidR="00E353FD" w:rsidRPr="00A41B49" w:rsidRDefault="00E353FD" w:rsidP="00E353FD">
            <w:pPr>
              <w:pStyle w:val="Standard-italics"/>
              <w:keepNext w:val="0"/>
              <w:jc w:val="center"/>
              <w:rPr>
                <w:i w:val="0"/>
                <w:sz w:val="18"/>
                <w:szCs w:val="18"/>
              </w:rPr>
            </w:pPr>
            <w:r w:rsidRPr="00A41B49">
              <w:rPr>
                <w:i w:val="0"/>
                <w:sz w:val="18"/>
                <w:szCs w:val="18"/>
              </w:rPr>
              <w:t>≥90 µg/L (milk) ****</w:t>
            </w:r>
          </w:p>
        </w:tc>
        <w:tc>
          <w:tcPr>
            <w:tcW w:w="440" w:type="pct"/>
          </w:tcPr>
          <w:p w14:paraId="1EBD775D" w14:textId="77777777" w:rsidR="00E353FD" w:rsidRPr="00A41B49" w:rsidRDefault="00E353FD" w:rsidP="00E353FD">
            <w:pPr>
              <w:pStyle w:val="Standard-italics"/>
              <w:keepNext w:val="0"/>
              <w:jc w:val="center"/>
              <w:rPr>
                <w:i w:val="0"/>
                <w:sz w:val="18"/>
                <w:szCs w:val="18"/>
              </w:rPr>
            </w:pPr>
            <w:r w:rsidRPr="00A41B49">
              <w:rPr>
                <w:i w:val="0"/>
                <w:sz w:val="18"/>
                <w:szCs w:val="18"/>
                <w:u w:val="single"/>
              </w:rPr>
              <w:t>Not fully acceptable (some missing information)</w:t>
            </w:r>
          </w:p>
        </w:tc>
        <w:tc>
          <w:tcPr>
            <w:tcW w:w="337" w:type="pct"/>
            <w:vAlign w:val="center"/>
          </w:tcPr>
          <w:p w14:paraId="6598ECCC" w14:textId="77777777" w:rsidR="00E353FD" w:rsidRPr="00A41B49" w:rsidRDefault="00E353FD" w:rsidP="00E353FD">
            <w:pPr>
              <w:pStyle w:val="Standard-italics"/>
              <w:keepNext w:val="0"/>
              <w:jc w:val="center"/>
              <w:rPr>
                <w:i w:val="0"/>
                <w:sz w:val="18"/>
                <w:szCs w:val="18"/>
              </w:rPr>
            </w:pPr>
            <w:r w:rsidRPr="00A41B49">
              <w:rPr>
                <w:i w:val="0"/>
                <w:sz w:val="18"/>
                <w:szCs w:val="18"/>
              </w:rPr>
              <w:t>Rädlinger and Heumann (1998); Doc. No. 492-019; A4.3/02</w:t>
            </w:r>
          </w:p>
        </w:tc>
      </w:tr>
    </w:tbl>
    <w:p w14:paraId="2B4BC545" w14:textId="77777777" w:rsidR="00E353FD" w:rsidRPr="008E291D" w:rsidRDefault="00E353FD" w:rsidP="00E353FD">
      <w:pPr>
        <w:pStyle w:val="Standard-italics"/>
        <w:keepNext w:val="0"/>
        <w:rPr>
          <w:sz w:val="19"/>
          <w:szCs w:val="19"/>
        </w:rPr>
      </w:pPr>
      <w:r w:rsidRPr="008E291D">
        <w:rPr>
          <w:sz w:val="19"/>
          <w:szCs w:val="19"/>
        </w:rPr>
        <w:t>*: General requirement for soil according to TNsG on Analytical methods</w:t>
      </w:r>
    </w:p>
    <w:p w14:paraId="14DBB240" w14:textId="77777777" w:rsidR="00E353FD" w:rsidRPr="008E291D" w:rsidRDefault="00E353FD" w:rsidP="00E353FD">
      <w:pPr>
        <w:pStyle w:val="Standard-italics"/>
        <w:keepNext w:val="0"/>
        <w:rPr>
          <w:sz w:val="19"/>
          <w:szCs w:val="19"/>
        </w:rPr>
      </w:pPr>
      <w:r w:rsidRPr="008E291D">
        <w:rPr>
          <w:sz w:val="19"/>
          <w:szCs w:val="19"/>
        </w:rPr>
        <w:t xml:space="preserve">**: Based on the </w:t>
      </w:r>
      <w:r w:rsidRPr="008E291D">
        <w:rPr>
          <w:sz w:val="19"/>
          <w:szCs w:val="19"/>
          <w:lang w:val="en-US"/>
        </w:rPr>
        <w:t>occupational exposure limit (OEL) / MAK value of 0.1 mg/m</w:t>
      </w:r>
      <w:r w:rsidRPr="008E291D">
        <w:rPr>
          <w:sz w:val="19"/>
          <w:szCs w:val="19"/>
          <w:vertAlign w:val="superscript"/>
          <w:lang w:val="en-US"/>
        </w:rPr>
        <w:t>3</w:t>
      </w:r>
      <w:r w:rsidRPr="008E291D">
        <w:rPr>
          <w:sz w:val="19"/>
          <w:szCs w:val="19"/>
          <w:lang w:val="en-US"/>
        </w:rPr>
        <w:t xml:space="preserve"> established for iodine in most European countries</w:t>
      </w:r>
    </w:p>
    <w:p w14:paraId="4B51EDFB" w14:textId="77777777" w:rsidR="00E353FD" w:rsidRPr="008E291D" w:rsidRDefault="00E353FD" w:rsidP="00E353FD">
      <w:pPr>
        <w:pStyle w:val="Standard-italics"/>
        <w:keepNext w:val="0"/>
        <w:rPr>
          <w:sz w:val="19"/>
          <w:szCs w:val="19"/>
        </w:rPr>
      </w:pPr>
      <w:r w:rsidRPr="008E291D">
        <w:rPr>
          <w:sz w:val="19"/>
          <w:szCs w:val="19"/>
        </w:rPr>
        <w:t>***: Lowest concentration having an effect on aquatic organisms (based on EC</w:t>
      </w:r>
      <w:r w:rsidRPr="008E291D">
        <w:rPr>
          <w:sz w:val="19"/>
          <w:szCs w:val="19"/>
          <w:vertAlign w:val="subscript"/>
        </w:rPr>
        <w:t>50</w:t>
      </w:r>
      <w:r w:rsidRPr="008E291D">
        <w:rPr>
          <w:sz w:val="19"/>
          <w:szCs w:val="19"/>
        </w:rPr>
        <w:t xml:space="preserve"> for Daphnia Magna). The general pesticide limit of 0.1 µg/L in drinking water according to Council Directive 98/83/EC does not apply to a non-xenobiotic substance like iodine</w:t>
      </w:r>
    </w:p>
    <w:p w14:paraId="2123A0E2" w14:textId="77777777" w:rsidR="00E353FD" w:rsidRPr="008E291D" w:rsidRDefault="00E353FD" w:rsidP="00E353FD">
      <w:pPr>
        <w:pStyle w:val="Standard-italics"/>
        <w:keepNext w:val="0"/>
        <w:rPr>
          <w:sz w:val="19"/>
          <w:szCs w:val="19"/>
        </w:rPr>
      </w:pPr>
      <w:r w:rsidRPr="008E291D">
        <w:rPr>
          <w:sz w:val="19"/>
          <w:szCs w:val="19"/>
        </w:rPr>
        <w:t>****: The approximate level of natural background concentration of iodine in milk</w:t>
      </w:r>
    </w:p>
    <w:p w14:paraId="6EDFCAC0" w14:textId="77777777" w:rsidR="00E353FD" w:rsidRDefault="00E353FD" w:rsidP="00E353FD"/>
    <w:p w14:paraId="0DBFA387" w14:textId="5C0D8B67" w:rsidR="00E353FD" w:rsidRPr="00A83816" w:rsidRDefault="00E353FD" w:rsidP="00E353FD">
      <w:pPr>
        <w:rPr>
          <w:b/>
        </w:rPr>
      </w:pPr>
      <w:r w:rsidRPr="00A83816">
        <w:rPr>
          <w:b/>
        </w:rPr>
        <w:t>Analytical methods for determining relevant components and/or residues</w:t>
      </w:r>
      <w:r w:rsidR="00FD1859" w:rsidRPr="00FD1859">
        <w:rPr>
          <w:b/>
        </w:rPr>
        <w:t xml:space="preserve"> </w:t>
      </w:r>
      <w:r w:rsidR="00FD1859">
        <w:rPr>
          <w:b/>
        </w:rPr>
        <w:t>of L-(+)-lactic acid</w:t>
      </w:r>
      <w:r w:rsidRPr="00A83816">
        <w:rPr>
          <w:b/>
        </w:rPr>
        <w:t xml:space="preserve"> in different matrices</w:t>
      </w:r>
    </w:p>
    <w:p w14:paraId="0BF13A34" w14:textId="77777777" w:rsidR="00E353FD" w:rsidRPr="00426144" w:rsidRDefault="00E353FD" w:rsidP="008E291D">
      <w:pPr>
        <w:autoSpaceDE w:val="0"/>
        <w:autoSpaceDN w:val="0"/>
        <w:adjustRightInd w:val="0"/>
        <w:jc w:val="both"/>
        <w:rPr>
          <w:lang w:eastAsia="en-GB"/>
        </w:rPr>
      </w:pPr>
      <w:r>
        <w:rPr>
          <w:rFonts w:eastAsia="Calibri"/>
          <w:lang w:eastAsia="en-US"/>
        </w:rPr>
        <w:t xml:space="preserve">According to the Assessment Report on </w:t>
      </w:r>
      <w:r w:rsidRPr="00BA684F">
        <w:rPr>
          <w:rFonts w:eastAsia="Calibri"/>
          <w:lang w:eastAsia="en-US"/>
        </w:rPr>
        <w:t>L</w:t>
      </w:r>
      <w:r>
        <w:rPr>
          <w:rFonts w:eastAsia="Calibri"/>
          <w:lang w:eastAsia="en-US"/>
        </w:rPr>
        <w:t>-</w:t>
      </w:r>
      <w:r w:rsidRPr="00BA684F">
        <w:rPr>
          <w:rFonts w:eastAsia="Calibri"/>
          <w:lang w:eastAsia="en-US"/>
        </w:rPr>
        <w:t>(+)</w:t>
      </w:r>
      <w:r>
        <w:rPr>
          <w:rFonts w:eastAsia="Calibri"/>
          <w:lang w:eastAsia="en-US"/>
        </w:rPr>
        <w:t>-</w:t>
      </w:r>
      <w:r w:rsidRPr="00BA684F">
        <w:rPr>
          <w:rFonts w:eastAsia="Calibri"/>
          <w:lang w:eastAsia="en-US"/>
        </w:rPr>
        <w:t>lactic acid</w:t>
      </w:r>
      <w:r>
        <w:rPr>
          <w:rFonts w:eastAsia="Calibri"/>
          <w:lang w:eastAsia="en-US"/>
        </w:rPr>
        <w:t xml:space="preserve"> (Germany, June 2017), r</w:t>
      </w:r>
      <w:r>
        <w:rPr>
          <w:lang w:eastAsia="en-GB"/>
        </w:rPr>
        <w:t xml:space="preserve">elevant </w:t>
      </w:r>
      <w:r w:rsidRPr="00426144">
        <w:rPr>
          <w:lang w:eastAsia="en-GB"/>
        </w:rPr>
        <w:t>residues in food of plant and animal origin and in the environmental compartments</w:t>
      </w:r>
      <w:r>
        <w:rPr>
          <w:lang w:eastAsia="en-GB"/>
        </w:rPr>
        <w:t xml:space="preserve"> arising from </w:t>
      </w:r>
      <w:r w:rsidRPr="00426144">
        <w:rPr>
          <w:lang w:eastAsia="en-GB"/>
        </w:rPr>
        <w:t>the application of L</w:t>
      </w:r>
      <w:r>
        <w:rPr>
          <w:lang w:eastAsia="en-GB"/>
        </w:rPr>
        <w:t>-</w:t>
      </w:r>
      <w:r w:rsidRPr="00426144">
        <w:rPr>
          <w:lang w:eastAsia="en-GB"/>
        </w:rPr>
        <w:t>(+)</w:t>
      </w:r>
      <w:r>
        <w:rPr>
          <w:lang w:eastAsia="en-GB"/>
        </w:rPr>
        <w:t>-</w:t>
      </w:r>
      <w:r w:rsidRPr="00426144">
        <w:rPr>
          <w:lang w:eastAsia="en-GB"/>
        </w:rPr>
        <w:t>lactic acid are not expected. Therefore, residue</w:t>
      </w:r>
      <w:r>
        <w:rPr>
          <w:lang w:eastAsia="en-GB"/>
        </w:rPr>
        <w:t xml:space="preserve"> analytical methods for </w:t>
      </w:r>
      <w:r w:rsidRPr="00426144">
        <w:rPr>
          <w:lang w:eastAsia="en-GB"/>
        </w:rPr>
        <w:t>L</w:t>
      </w:r>
      <w:r>
        <w:rPr>
          <w:lang w:eastAsia="en-GB"/>
        </w:rPr>
        <w:t>-</w:t>
      </w:r>
      <w:r w:rsidRPr="00426144">
        <w:rPr>
          <w:lang w:eastAsia="en-GB"/>
        </w:rPr>
        <w:t>(+)</w:t>
      </w:r>
      <w:r>
        <w:rPr>
          <w:lang w:eastAsia="en-GB"/>
        </w:rPr>
        <w:t>-</w:t>
      </w:r>
      <w:r w:rsidRPr="00426144">
        <w:rPr>
          <w:lang w:eastAsia="en-GB"/>
        </w:rPr>
        <w:t>lactic acid in food of plant and animal origin, in soil, air, drinking</w:t>
      </w:r>
      <w:r>
        <w:rPr>
          <w:lang w:eastAsia="en-GB"/>
        </w:rPr>
        <w:t xml:space="preserve"> </w:t>
      </w:r>
      <w:r w:rsidRPr="00426144">
        <w:rPr>
          <w:lang w:eastAsia="en-GB"/>
        </w:rPr>
        <w:t>and surface water are not required. Since L</w:t>
      </w:r>
      <w:r>
        <w:rPr>
          <w:lang w:eastAsia="en-GB"/>
        </w:rPr>
        <w:t>-</w:t>
      </w:r>
      <w:r w:rsidRPr="00426144">
        <w:rPr>
          <w:lang w:eastAsia="en-GB"/>
        </w:rPr>
        <w:t>(+)</w:t>
      </w:r>
      <w:r>
        <w:rPr>
          <w:lang w:eastAsia="en-GB"/>
        </w:rPr>
        <w:t>-</w:t>
      </w:r>
      <w:r w:rsidRPr="00426144">
        <w:rPr>
          <w:lang w:eastAsia="en-GB"/>
        </w:rPr>
        <w:t>lactic acid is not classified as toxic or very</w:t>
      </w:r>
      <w:r>
        <w:rPr>
          <w:lang w:eastAsia="en-GB"/>
        </w:rPr>
        <w:t xml:space="preserve"> </w:t>
      </w:r>
      <w:r w:rsidRPr="00426144">
        <w:rPr>
          <w:lang w:eastAsia="en-GB"/>
        </w:rPr>
        <w:t>toxic, analytical methods in body fluids and tissues are not required.</w:t>
      </w:r>
    </w:p>
    <w:p w14:paraId="3A035D20" w14:textId="77777777" w:rsidR="00E353FD" w:rsidRDefault="00E353FD" w:rsidP="00E353FD">
      <w:pPr>
        <w:pStyle w:val="Standard-italics"/>
        <w:keepNext w:val="0"/>
        <w:rPr>
          <w:i w:val="0"/>
          <w:sz w:val="19"/>
          <w:szCs w:val="19"/>
        </w:rPr>
      </w:pPr>
    </w:p>
    <w:p w14:paraId="2E18572A" w14:textId="77777777" w:rsidR="00E353FD" w:rsidRDefault="00E353FD" w:rsidP="00E353FD">
      <w:pPr>
        <w:pStyle w:val="Absatz"/>
      </w:pPr>
    </w:p>
    <w:tbl>
      <w:tblPr>
        <w:tblW w:w="13325" w:type="dxa"/>
        <w:tblInd w:w="108" w:type="dxa"/>
        <w:tblLayout w:type="fixed"/>
        <w:tblLook w:val="0000" w:firstRow="0" w:lastRow="0" w:firstColumn="0" w:lastColumn="0" w:noHBand="0" w:noVBand="0"/>
      </w:tblPr>
      <w:tblGrid>
        <w:gridCol w:w="13325"/>
      </w:tblGrid>
      <w:tr w:rsidR="00E353FD" w14:paraId="56CF7F4F" w14:textId="77777777" w:rsidTr="008E291D">
        <w:trPr>
          <w:trHeight w:val="263"/>
        </w:trPr>
        <w:tc>
          <w:tcPr>
            <w:tcW w:w="13325" w:type="dxa"/>
            <w:tcBorders>
              <w:top w:val="single" w:sz="4" w:space="0" w:color="000000"/>
              <w:left w:val="single" w:sz="4" w:space="0" w:color="000000"/>
              <w:bottom w:val="single" w:sz="6" w:space="0" w:color="000000"/>
              <w:right w:val="single" w:sz="6" w:space="0" w:color="000000"/>
            </w:tcBorders>
            <w:shd w:val="clear" w:color="auto" w:fill="CCFFCC"/>
          </w:tcPr>
          <w:p w14:paraId="76D4A51F" w14:textId="77777777" w:rsidR="00E353FD" w:rsidRDefault="00E353FD" w:rsidP="00E353FD">
            <w:pPr>
              <w:spacing w:line="260" w:lineRule="atLeast"/>
            </w:pPr>
            <w:r>
              <w:rPr>
                <w:rFonts w:eastAsia="Calibri"/>
                <w:b/>
                <w:bCs/>
                <w:lang w:eastAsia="en-US"/>
              </w:rPr>
              <w:t>Conclusion on the methods for detection and identification of the product</w:t>
            </w:r>
          </w:p>
        </w:tc>
      </w:tr>
      <w:tr w:rsidR="00E353FD" w14:paraId="2F4D2934" w14:textId="77777777" w:rsidTr="008E291D">
        <w:trPr>
          <w:trHeight w:val="298"/>
        </w:trPr>
        <w:tc>
          <w:tcPr>
            <w:tcW w:w="13325" w:type="dxa"/>
            <w:tcBorders>
              <w:top w:val="single" w:sz="6" w:space="0" w:color="000000"/>
              <w:left w:val="single" w:sz="4" w:space="0" w:color="000000"/>
              <w:bottom w:val="single" w:sz="6" w:space="0" w:color="000000"/>
              <w:right w:val="single" w:sz="6" w:space="0" w:color="000000"/>
            </w:tcBorders>
            <w:shd w:val="clear" w:color="auto" w:fill="auto"/>
          </w:tcPr>
          <w:p w14:paraId="3BB87AD6" w14:textId="041D981F" w:rsidR="00E353FD" w:rsidRPr="00D749ED" w:rsidRDefault="00FD1859" w:rsidP="00680CE7">
            <w:pPr>
              <w:rPr>
                <w:lang w:eastAsia="en-US"/>
              </w:rPr>
            </w:pPr>
            <w:r>
              <w:rPr>
                <w:lang w:val="en-US"/>
              </w:rPr>
              <w:t xml:space="preserve">Analytical methods for the determination of the active substances, iodine and L-(+)-lactic acid, and the two degradation products of iodine iodide and iodate have been developed and validated for their determination in the biocidal product </w:t>
            </w:r>
            <w:r w:rsidR="00680CE7">
              <w:rPr>
                <w:lang w:val="en-US"/>
              </w:rPr>
              <w:t>ALGOFILM</w:t>
            </w:r>
            <w:r>
              <w:rPr>
                <w:lang w:val="en-US"/>
              </w:rPr>
              <w:t>.</w:t>
            </w:r>
          </w:p>
        </w:tc>
      </w:tr>
    </w:tbl>
    <w:p w14:paraId="3E3271FA" w14:textId="77777777" w:rsidR="00E353FD" w:rsidRDefault="00E353FD" w:rsidP="00E353FD">
      <w:pPr>
        <w:pStyle w:val="Absatz"/>
      </w:pPr>
    </w:p>
    <w:p w14:paraId="304B659A" w14:textId="77777777" w:rsidR="00E353FD" w:rsidRPr="00D749ED" w:rsidRDefault="00E353FD" w:rsidP="00E353FD">
      <w:pPr>
        <w:pStyle w:val="Absatz"/>
      </w:pPr>
    </w:p>
    <w:tbl>
      <w:tblPr>
        <w:tblW w:w="13325" w:type="dxa"/>
        <w:tblInd w:w="108" w:type="dxa"/>
        <w:tblLayout w:type="fixed"/>
        <w:tblLook w:val="0000" w:firstRow="0" w:lastRow="0" w:firstColumn="0" w:lastColumn="0" w:noHBand="0" w:noVBand="0"/>
      </w:tblPr>
      <w:tblGrid>
        <w:gridCol w:w="13325"/>
      </w:tblGrid>
      <w:tr w:rsidR="00E353FD" w14:paraId="3C65B3FA" w14:textId="77777777" w:rsidTr="008E291D">
        <w:tc>
          <w:tcPr>
            <w:tcW w:w="13325" w:type="dxa"/>
            <w:tcBorders>
              <w:top w:val="single" w:sz="4" w:space="0" w:color="000000"/>
              <w:left w:val="single" w:sz="4" w:space="0" w:color="000000"/>
              <w:bottom w:val="single" w:sz="6" w:space="0" w:color="000000"/>
              <w:right w:val="single" w:sz="6" w:space="0" w:color="000000"/>
            </w:tcBorders>
            <w:shd w:val="clear" w:color="auto" w:fill="CCFFCC"/>
          </w:tcPr>
          <w:p w14:paraId="5785A05B" w14:textId="77777777" w:rsidR="00E353FD" w:rsidRDefault="00E353FD" w:rsidP="00E353FD">
            <w:pPr>
              <w:spacing w:line="260" w:lineRule="atLeast"/>
            </w:pPr>
            <w:r>
              <w:rPr>
                <w:rFonts w:eastAsia="Calibri"/>
                <w:b/>
                <w:bCs/>
                <w:lang w:eastAsia="en-US"/>
              </w:rPr>
              <w:t>Conclusion on the methods for detection and identification of residues of active substance for monitoring</w:t>
            </w:r>
          </w:p>
        </w:tc>
      </w:tr>
      <w:tr w:rsidR="00E353FD" w14:paraId="5B438A3B" w14:textId="77777777" w:rsidTr="008E291D">
        <w:trPr>
          <w:trHeight w:val="298"/>
        </w:trPr>
        <w:tc>
          <w:tcPr>
            <w:tcW w:w="13325" w:type="dxa"/>
            <w:tcBorders>
              <w:top w:val="single" w:sz="6" w:space="0" w:color="000000"/>
              <w:left w:val="single" w:sz="4" w:space="0" w:color="000000"/>
              <w:bottom w:val="single" w:sz="6" w:space="0" w:color="000000"/>
              <w:right w:val="single" w:sz="6" w:space="0" w:color="000000"/>
            </w:tcBorders>
            <w:shd w:val="clear" w:color="auto" w:fill="auto"/>
          </w:tcPr>
          <w:p w14:paraId="24B64D65" w14:textId="77777777" w:rsidR="00E353FD" w:rsidRPr="000A3D3D" w:rsidRDefault="00E353FD" w:rsidP="00E353FD">
            <w:pPr>
              <w:pStyle w:val="Default"/>
              <w:jc w:val="both"/>
              <w:rPr>
                <w:rFonts w:ascii="Verdana" w:hAnsi="Verdana" w:cs="Arial"/>
                <w:sz w:val="20"/>
                <w:szCs w:val="20"/>
              </w:rPr>
            </w:pPr>
            <w:r w:rsidRPr="000A3D3D">
              <w:rPr>
                <w:rFonts w:ascii="Verdana" w:hAnsi="Verdana" w:cs="Arial"/>
                <w:sz w:val="20"/>
                <w:szCs w:val="20"/>
              </w:rPr>
              <w:t>Analytical methods were provided and validated at EU level for the determination of iodine residue in animal products (milk) with a LOQ = 0.3 mg/kg.</w:t>
            </w:r>
          </w:p>
          <w:p w14:paraId="00C3F1CA" w14:textId="77777777" w:rsidR="00E353FD" w:rsidRPr="000A3D3D" w:rsidRDefault="00E353FD" w:rsidP="00E353FD">
            <w:pPr>
              <w:pStyle w:val="Default"/>
              <w:jc w:val="both"/>
              <w:rPr>
                <w:rFonts w:ascii="Verdana" w:hAnsi="Verdana" w:cs="Arial"/>
                <w:sz w:val="20"/>
                <w:szCs w:val="20"/>
              </w:rPr>
            </w:pPr>
          </w:p>
          <w:p w14:paraId="781F7A8B" w14:textId="77777777" w:rsidR="00E353FD" w:rsidRDefault="00E353FD" w:rsidP="00E353FD">
            <w:pPr>
              <w:pStyle w:val="Default"/>
              <w:jc w:val="both"/>
              <w:rPr>
                <w:rFonts w:ascii="Verdana" w:hAnsi="Verdana" w:cs="Arial"/>
                <w:sz w:val="20"/>
                <w:szCs w:val="20"/>
              </w:rPr>
            </w:pPr>
            <w:r w:rsidRPr="000A3D3D">
              <w:rPr>
                <w:rFonts w:ascii="Verdana" w:hAnsi="Verdana" w:cs="Arial"/>
                <w:sz w:val="20"/>
                <w:szCs w:val="20"/>
              </w:rPr>
              <w:t>Analytical methods were provided and validated at EU level for the determination of iodine residue in soil (ICP-MS), water (IC-ICP-MS) and air (ICP-PED) with respectively LOQ = 0.05 mg/kg, 0.1 mg/L and 0.1 mg/ m</w:t>
            </w:r>
            <w:r w:rsidRPr="000A3D3D">
              <w:rPr>
                <w:rFonts w:ascii="Verdana" w:hAnsi="Verdana" w:cs="Arial"/>
                <w:sz w:val="20"/>
                <w:szCs w:val="20"/>
                <w:vertAlign w:val="superscript"/>
              </w:rPr>
              <w:t>3</w:t>
            </w:r>
            <w:r w:rsidRPr="000A3D3D">
              <w:rPr>
                <w:rFonts w:ascii="Verdana" w:hAnsi="Verdana" w:cs="Arial"/>
                <w:sz w:val="20"/>
                <w:szCs w:val="20"/>
              </w:rPr>
              <w:t>.</w:t>
            </w:r>
          </w:p>
          <w:p w14:paraId="6AAD0E1F" w14:textId="77777777" w:rsidR="00E353FD" w:rsidRDefault="00E353FD" w:rsidP="00E353FD">
            <w:pPr>
              <w:pStyle w:val="Default"/>
              <w:jc w:val="both"/>
              <w:rPr>
                <w:rFonts w:ascii="Verdana" w:hAnsi="Verdana" w:cs="Arial"/>
                <w:sz w:val="20"/>
                <w:szCs w:val="20"/>
              </w:rPr>
            </w:pPr>
          </w:p>
          <w:p w14:paraId="0C03A8BC" w14:textId="77777777" w:rsidR="00E353FD" w:rsidRPr="002C3ABA" w:rsidRDefault="00E353FD" w:rsidP="00E353FD">
            <w:pPr>
              <w:autoSpaceDE w:val="0"/>
              <w:autoSpaceDN w:val="0"/>
              <w:adjustRightInd w:val="0"/>
              <w:rPr>
                <w:lang w:eastAsia="en-GB"/>
              </w:rPr>
            </w:pPr>
            <w:r>
              <w:rPr>
                <w:lang w:eastAsia="en-GB"/>
              </w:rPr>
              <w:t xml:space="preserve">Analytical methods </w:t>
            </w:r>
            <w:r w:rsidRPr="00DB6E8D">
              <w:rPr>
                <w:lang w:eastAsia="en-GB"/>
              </w:rPr>
              <w:t xml:space="preserve">for the determination of </w:t>
            </w:r>
            <w:r w:rsidRPr="00EB480C">
              <w:rPr>
                <w:lang w:eastAsia="en-GB"/>
              </w:rPr>
              <w:t>L</w:t>
            </w:r>
            <w:r>
              <w:rPr>
                <w:lang w:eastAsia="en-GB"/>
              </w:rPr>
              <w:t>-</w:t>
            </w:r>
            <w:r w:rsidRPr="00EB480C">
              <w:rPr>
                <w:lang w:eastAsia="en-GB"/>
              </w:rPr>
              <w:t>(</w:t>
            </w:r>
            <w:r>
              <w:rPr>
                <w:lang w:eastAsia="en-GB"/>
              </w:rPr>
              <w:t>+)-</w:t>
            </w:r>
            <w:r w:rsidRPr="00EB480C">
              <w:rPr>
                <w:lang w:eastAsia="en-GB"/>
              </w:rPr>
              <w:t xml:space="preserve">lactic acid </w:t>
            </w:r>
            <w:r w:rsidRPr="00DB6E8D">
              <w:rPr>
                <w:lang w:eastAsia="en-GB"/>
              </w:rPr>
              <w:t xml:space="preserve">residue </w:t>
            </w:r>
            <w:r w:rsidRPr="006E12AA">
              <w:rPr>
                <w:lang w:eastAsia="en-GB"/>
              </w:rPr>
              <w:t>in soil, air, drinking and surface water, as well as in food and</w:t>
            </w:r>
            <w:r>
              <w:rPr>
                <w:lang w:eastAsia="en-GB"/>
              </w:rPr>
              <w:t xml:space="preserve"> </w:t>
            </w:r>
            <w:r w:rsidRPr="002C3ABA">
              <w:rPr>
                <w:lang w:eastAsia="en-GB"/>
              </w:rPr>
              <w:t>feeding stuffs and in animal</w:t>
            </w:r>
            <w:r w:rsidRPr="002C3ABA">
              <w:t xml:space="preserve"> </w:t>
            </w:r>
            <w:r w:rsidRPr="002C3ABA">
              <w:rPr>
                <w:lang w:eastAsia="en-GB"/>
              </w:rPr>
              <w:t xml:space="preserve">are not required since no residues is expected </w:t>
            </w:r>
            <w:r w:rsidRPr="002C3ABA">
              <w:t>in those matrices</w:t>
            </w:r>
            <w:r>
              <w:t>.</w:t>
            </w:r>
          </w:p>
          <w:p w14:paraId="036CF63D" w14:textId="77777777" w:rsidR="00E353FD" w:rsidRPr="000A3D3D" w:rsidRDefault="00E353FD" w:rsidP="00E353FD">
            <w:pPr>
              <w:pStyle w:val="Default"/>
              <w:jc w:val="both"/>
              <w:rPr>
                <w:rFonts w:ascii="Verdana" w:hAnsi="Verdana" w:cs="Arial"/>
                <w:sz w:val="20"/>
                <w:szCs w:val="20"/>
              </w:rPr>
            </w:pPr>
          </w:p>
          <w:p w14:paraId="062F2FA5" w14:textId="77777777" w:rsidR="00E353FD" w:rsidRPr="00D749ED" w:rsidRDefault="00E353FD" w:rsidP="00E353FD">
            <w:pPr>
              <w:pStyle w:val="Default"/>
              <w:jc w:val="both"/>
              <w:rPr>
                <w:lang w:eastAsia="en-US"/>
              </w:rPr>
            </w:pPr>
            <w:r w:rsidRPr="000A3D3D">
              <w:rPr>
                <w:rFonts w:ascii="Verdana" w:hAnsi="Verdana" w:cs="Arial"/>
                <w:sz w:val="20"/>
                <w:szCs w:val="20"/>
              </w:rPr>
              <w:t xml:space="preserve">Iodine </w:t>
            </w:r>
            <w:r>
              <w:rPr>
                <w:rFonts w:ascii="Verdana" w:hAnsi="Verdana" w:cs="Arial"/>
                <w:sz w:val="20"/>
                <w:szCs w:val="20"/>
              </w:rPr>
              <w:t xml:space="preserve">and </w:t>
            </w:r>
            <w:r w:rsidRPr="00AD6139">
              <w:rPr>
                <w:rFonts w:ascii="Verdana" w:hAnsi="Verdana" w:cs="Arial"/>
                <w:sz w:val="20"/>
                <w:szCs w:val="20"/>
              </w:rPr>
              <w:t>L</w:t>
            </w:r>
            <w:r>
              <w:rPr>
                <w:rFonts w:ascii="Verdana" w:hAnsi="Verdana" w:cs="Arial"/>
                <w:sz w:val="20"/>
                <w:szCs w:val="20"/>
              </w:rPr>
              <w:t>-</w:t>
            </w:r>
            <w:r w:rsidRPr="00AD6139">
              <w:rPr>
                <w:rFonts w:ascii="Verdana" w:hAnsi="Verdana" w:cs="Arial"/>
                <w:sz w:val="20"/>
                <w:szCs w:val="20"/>
              </w:rPr>
              <w:t>(+)</w:t>
            </w:r>
            <w:r>
              <w:rPr>
                <w:rFonts w:ascii="Verdana" w:hAnsi="Verdana" w:cs="Arial"/>
                <w:sz w:val="20"/>
                <w:szCs w:val="20"/>
              </w:rPr>
              <w:t>-</w:t>
            </w:r>
            <w:r w:rsidRPr="00AD6139">
              <w:rPr>
                <w:rFonts w:ascii="Verdana" w:hAnsi="Verdana" w:cs="Arial"/>
                <w:sz w:val="20"/>
                <w:szCs w:val="20"/>
              </w:rPr>
              <w:t xml:space="preserve">lactic acid </w:t>
            </w:r>
            <w:r>
              <w:rPr>
                <w:rFonts w:ascii="Verdana" w:hAnsi="Verdana" w:cs="Arial"/>
                <w:sz w:val="20"/>
                <w:szCs w:val="20"/>
              </w:rPr>
              <w:t>are</w:t>
            </w:r>
            <w:r w:rsidRPr="000A3D3D">
              <w:rPr>
                <w:rFonts w:ascii="Verdana" w:hAnsi="Verdana" w:cs="Arial"/>
                <w:sz w:val="20"/>
                <w:szCs w:val="20"/>
              </w:rPr>
              <w:t xml:space="preserve"> not toxic (T) or very toxic (T+) active substance</w:t>
            </w:r>
            <w:r>
              <w:rPr>
                <w:rFonts w:ascii="Verdana" w:hAnsi="Verdana" w:cs="Arial"/>
                <w:sz w:val="20"/>
                <w:szCs w:val="20"/>
              </w:rPr>
              <w:t>s</w:t>
            </w:r>
            <w:r w:rsidRPr="000A3D3D">
              <w:rPr>
                <w:rFonts w:ascii="Verdana" w:hAnsi="Verdana" w:cs="Arial"/>
                <w:sz w:val="20"/>
                <w:szCs w:val="20"/>
              </w:rPr>
              <w:t>. Therefore, an analytical method in biological matrices is not required.</w:t>
            </w:r>
          </w:p>
        </w:tc>
      </w:tr>
    </w:tbl>
    <w:p w14:paraId="175F4209" w14:textId="1E100A07" w:rsidR="009F1A2F" w:rsidRDefault="009F1A2F" w:rsidP="00E353FD">
      <w:pPr>
        <w:spacing w:line="260" w:lineRule="atLeast"/>
        <w:jc w:val="both"/>
        <w:sectPr w:rsidR="009F1A2F" w:rsidSect="00B72962">
          <w:pgSz w:w="16838" w:h="11906" w:orient="landscape"/>
          <w:pgMar w:top="1446" w:right="1474" w:bottom="1247" w:left="2013" w:header="851" w:footer="851" w:gutter="0"/>
          <w:cols w:space="720"/>
          <w:docGrid w:linePitch="272"/>
        </w:sectPr>
      </w:pPr>
    </w:p>
    <w:p w14:paraId="76C89BEE" w14:textId="443DF14F" w:rsidR="009D0C0B" w:rsidRDefault="009D0C0B" w:rsidP="00680CE7"/>
    <w:p w14:paraId="0912F565" w14:textId="77777777" w:rsidR="009D0C0B" w:rsidRDefault="00FA480B">
      <w:pPr>
        <w:pStyle w:val="Titre3"/>
      </w:pPr>
      <w:bookmarkStart w:id="59" w:name="_Toc74732479"/>
      <w:r>
        <w:t>Efficacy against target organisms</w:t>
      </w:r>
      <w:bookmarkEnd w:id="59"/>
    </w:p>
    <w:p w14:paraId="375CE7F4" w14:textId="77777777" w:rsidR="009D0C0B" w:rsidRDefault="00FA480B">
      <w:pPr>
        <w:pStyle w:val="Titre4"/>
        <w:rPr>
          <w:rFonts w:ascii="Times New Roman" w:hAnsi="Times New Roman" w:cs="Times New Roman"/>
          <w:i/>
          <w:iCs/>
          <w:lang w:eastAsia="en-US"/>
        </w:rPr>
      </w:pPr>
      <w:bookmarkStart w:id="60" w:name="_Toc74732480"/>
      <w:r>
        <w:t>Function and field of use</w:t>
      </w:r>
      <w:bookmarkEnd w:id="60"/>
    </w:p>
    <w:p w14:paraId="06F26CD7" w14:textId="77777777" w:rsidR="00A90271" w:rsidRPr="00A90271" w:rsidRDefault="00A90271" w:rsidP="00A90271">
      <w:pPr>
        <w:suppressAutoHyphens w:val="0"/>
        <w:jc w:val="both"/>
        <w:rPr>
          <w:rFonts w:cs="Times New Roman"/>
          <w:lang w:eastAsia="de-DE"/>
        </w:rPr>
      </w:pPr>
      <w:r w:rsidRPr="00A90271">
        <w:rPr>
          <w:rFonts w:cs="Times New Roman"/>
          <w:lang w:eastAsia="de-DE"/>
        </w:rPr>
        <w:t>MG 01: Disinfectants</w:t>
      </w:r>
    </w:p>
    <w:p w14:paraId="1D463153" w14:textId="77777777" w:rsidR="00A90271" w:rsidRPr="00A90271" w:rsidRDefault="00A90271" w:rsidP="00A90271">
      <w:pPr>
        <w:suppressAutoHyphens w:val="0"/>
        <w:jc w:val="both"/>
        <w:rPr>
          <w:rFonts w:cs="Times New Roman"/>
          <w:lang w:eastAsia="de-DE"/>
        </w:rPr>
      </w:pPr>
    </w:p>
    <w:p w14:paraId="28DEFFFD" w14:textId="77777777" w:rsidR="00A90271" w:rsidRPr="00A90271" w:rsidRDefault="00A90271" w:rsidP="00A90271">
      <w:pPr>
        <w:suppressAutoHyphens w:val="0"/>
        <w:jc w:val="both"/>
        <w:rPr>
          <w:rFonts w:cs="Times New Roman"/>
          <w:lang w:eastAsia="de-DE"/>
        </w:rPr>
      </w:pPr>
      <w:r w:rsidRPr="00A90271">
        <w:rPr>
          <w:rFonts w:cs="Times New Roman"/>
          <w:lang w:eastAsia="de-DE"/>
        </w:rPr>
        <w:t>PT3: Veterinary hygiene</w:t>
      </w:r>
    </w:p>
    <w:p w14:paraId="0E0F67A7" w14:textId="77777777" w:rsidR="00A90271" w:rsidRPr="00A90271" w:rsidRDefault="00A90271" w:rsidP="00A90271">
      <w:pPr>
        <w:suppressAutoHyphens w:val="0"/>
        <w:jc w:val="both"/>
        <w:rPr>
          <w:rFonts w:cs="Times New Roman"/>
          <w:lang w:eastAsia="de-DE"/>
        </w:rPr>
      </w:pPr>
    </w:p>
    <w:p w14:paraId="000823E0" w14:textId="6581A8D3" w:rsidR="00A90271" w:rsidRPr="00A90271" w:rsidRDefault="0010121A" w:rsidP="00A90271">
      <w:pPr>
        <w:suppressAutoHyphens w:val="0"/>
        <w:jc w:val="both"/>
        <w:rPr>
          <w:rFonts w:cs="Times New Roman"/>
          <w:lang w:eastAsia="de-DE"/>
        </w:rPr>
      </w:pPr>
      <w:r>
        <w:rPr>
          <w:rFonts w:cs="Times New Roman"/>
          <w:lang w:eastAsia="de-DE"/>
        </w:rPr>
        <w:t xml:space="preserve">The product </w:t>
      </w:r>
      <w:r w:rsidR="00A90271" w:rsidRPr="00A90271">
        <w:rPr>
          <w:rFonts w:cs="Times New Roman"/>
          <w:lang w:eastAsia="de-DE"/>
        </w:rPr>
        <w:t xml:space="preserve">ALGOFILM is </w:t>
      </w:r>
      <w:r w:rsidR="00F24A65">
        <w:rPr>
          <w:rFonts w:cs="Times New Roman"/>
          <w:lang w:eastAsia="de-DE"/>
        </w:rPr>
        <w:t xml:space="preserve">intended to be used </w:t>
      </w:r>
      <w:r w:rsidR="00A90271" w:rsidRPr="00A90271">
        <w:rPr>
          <w:rFonts w:cs="Times New Roman"/>
          <w:lang w:eastAsia="de-DE"/>
        </w:rPr>
        <w:t xml:space="preserve">as </w:t>
      </w:r>
      <w:r w:rsidR="00F24A65">
        <w:rPr>
          <w:rFonts w:cs="Times New Roman"/>
          <w:lang w:eastAsia="de-DE"/>
        </w:rPr>
        <w:t xml:space="preserve">ready-to-use </w:t>
      </w:r>
      <w:r w:rsidR="00A90271" w:rsidRPr="00A90271">
        <w:rPr>
          <w:rFonts w:cs="Times New Roman"/>
          <w:lang w:eastAsia="de-DE"/>
        </w:rPr>
        <w:t>bactericide and yeasticide</w:t>
      </w:r>
      <w:r w:rsidR="00F24A65">
        <w:rPr>
          <w:rFonts w:cs="Times New Roman"/>
          <w:lang w:eastAsia="de-DE"/>
        </w:rPr>
        <w:t xml:space="preserve"> product</w:t>
      </w:r>
      <w:r w:rsidR="00A90271" w:rsidRPr="00A90271">
        <w:rPr>
          <w:rFonts w:cs="Times New Roman"/>
          <w:lang w:eastAsia="de-DE"/>
        </w:rPr>
        <w:t xml:space="preserve"> </w:t>
      </w:r>
      <w:r w:rsidR="00F24A65">
        <w:rPr>
          <w:rFonts w:cs="Times New Roman"/>
          <w:lang w:eastAsia="de-DE"/>
        </w:rPr>
        <w:t>for</w:t>
      </w:r>
      <w:r w:rsidR="00A90271" w:rsidRPr="00A90271">
        <w:rPr>
          <w:rFonts w:cs="Times New Roman"/>
          <w:lang w:eastAsia="de-DE"/>
        </w:rPr>
        <w:t xml:space="preserve"> teats</w:t>
      </w:r>
      <w:r w:rsidR="00F24A65">
        <w:rPr>
          <w:rFonts w:cs="Times New Roman"/>
          <w:lang w:eastAsia="de-DE"/>
        </w:rPr>
        <w:t xml:space="preserve"> disinfection </w:t>
      </w:r>
      <w:r w:rsidR="00A90271" w:rsidRPr="00A90271">
        <w:rPr>
          <w:rFonts w:cs="Times New Roman"/>
          <w:lang w:eastAsia="de-DE"/>
        </w:rPr>
        <w:t>after milking</w:t>
      </w:r>
      <w:r w:rsidR="00F24A65">
        <w:rPr>
          <w:rFonts w:cs="Times New Roman"/>
          <w:lang w:eastAsia="de-DE"/>
        </w:rPr>
        <w:t>,</w:t>
      </w:r>
      <w:r w:rsidR="00A90271" w:rsidRPr="00A90271">
        <w:rPr>
          <w:rFonts w:cs="Times New Roman"/>
          <w:lang w:eastAsia="de-DE"/>
        </w:rPr>
        <w:t xml:space="preserve"> for professional users. </w:t>
      </w:r>
    </w:p>
    <w:p w14:paraId="3645E425" w14:textId="3AE280DC" w:rsidR="009D0C0B" w:rsidRDefault="00A90271">
      <w:pPr>
        <w:spacing w:line="260" w:lineRule="atLeast"/>
        <w:rPr>
          <w:rFonts w:eastAsia="Calibri" w:cs="Times New Roman"/>
          <w:lang w:eastAsia="en-US"/>
        </w:rPr>
      </w:pPr>
      <w:r w:rsidRPr="00A90271">
        <w:rPr>
          <w:rFonts w:eastAsia="Calibri" w:cs="Times New Roman"/>
          <w:lang w:eastAsia="en-US"/>
        </w:rPr>
        <w:t>The frequency of application is twice a day</w:t>
      </w:r>
      <w:r w:rsidR="004107C9">
        <w:rPr>
          <w:rFonts w:eastAsia="Calibri" w:cs="Times New Roman"/>
          <w:lang w:eastAsia="en-US"/>
        </w:rPr>
        <w:t>.</w:t>
      </w:r>
    </w:p>
    <w:p w14:paraId="1E763E95" w14:textId="77777777" w:rsidR="004107C9" w:rsidRDefault="004107C9">
      <w:pPr>
        <w:spacing w:line="260" w:lineRule="atLeast"/>
        <w:rPr>
          <w:rFonts w:ascii="Times New Roman" w:eastAsia="Calibri" w:hAnsi="Times New Roman" w:cs="Times New Roman"/>
          <w:i/>
          <w:iCs/>
          <w:lang w:eastAsia="en-US"/>
        </w:rPr>
      </w:pPr>
    </w:p>
    <w:p w14:paraId="324E34DD" w14:textId="77777777" w:rsidR="009D0C0B" w:rsidRDefault="00FA480B">
      <w:pPr>
        <w:pStyle w:val="Titre4"/>
        <w:rPr>
          <w:rFonts w:ascii="Times New Roman" w:hAnsi="Times New Roman" w:cs="Times New Roman"/>
          <w:i/>
          <w:iCs/>
          <w:lang w:eastAsia="en-US"/>
        </w:rPr>
      </w:pPr>
      <w:bookmarkStart w:id="61" w:name="_Toc74732481"/>
      <w:r>
        <w:t>Organisms to be controlled and products, organisms or objects to be protected</w:t>
      </w:r>
      <w:bookmarkEnd w:id="61"/>
    </w:p>
    <w:p w14:paraId="4162E0B9" w14:textId="01404FA2" w:rsidR="004107C9" w:rsidRDefault="00F24A65" w:rsidP="00D821AC">
      <w:pPr>
        <w:spacing w:line="260" w:lineRule="atLeast"/>
        <w:jc w:val="both"/>
        <w:rPr>
          <w:rFonts w:eastAsia="Calibri" w:cs="Times New Roman"/>
          <w:lang w:eastAsia="en-US"/>
        </w:rPr>
      </w:pPr>
      <w:r w:rsidRPr="00B436E4">
        <w:rPr>
          <w:lang w:eastAsia="en-US"/>
        </w:rPr>
        <w:t>The pr</w:t>
      </w:r>
      <w:r>
        <w:rPr>
          <w:lang w:eastAsia="en-US"/>
        </w:rPr>
        <w:t>oduct</w:t>
      </w:r>
      <w:r w:rsidR="0010121A">
        <w:rPr>
          <w:lang w:eastAsia="en-US"/>
        </w:rPr>
        <w:t xml:space="preserve"> ALGOFILM</w:t>
      </w:r>
      <w:r>
        <w:rPr>
          <w:lang w:eastAsia="en-US"/>
        </w:rPr>
        <w:t xml:space="preserve"> is used to disinfect the teats of the udders of dairy animals, such as dairy cows, ewes and goats, after milking</w:t>
      </w:r>
      <w:r w:rsidR="004107C9" w:rsidRPr="004107C9">
        <w:rPr>
          <w:rFonts w:eastAsia="Calibri" w:cs="Times New Roman"/>
          <w:lang w:eastAsia="en-US"/>
        </w:rPr>
        <w:t xml:space="preserve">. It irreversibly inactivates </w:t>
      </w:r>
      <w:r w:rsidR="004107C9">
        <w:rPr>
          <w:rFonts w:eastAsia="Calibri" w:cs="Times New Roman"/>
          <w:lang w:eastAsia="en-US"/>
        </w:rPr>
        <w:t>vegetative bacteria and</w:t>
      </w:r>
      <w:r w:rsidR="004107C9" w:rsidRPr="004107C9">
        <w:rPr>
          <w:rFonts w:eastAsia="Calibri" w:cs="Times New Roman"/>
          <w:lang w:eastAsia="en-US"/>
        </w:rPr>
        <w:t xml:space="preserve"> yeasts.</w:t>
      </w:r>
    </w:p>
    <w:p w14:paraId="00A71A8E" w14:textId="77777777" w:rsidR="009D0C0B" w:rsidRDefault="00FA480B">
      <w:pPr>
        <w:pStyle w:val="Titre4"/>
        <w:rPr>
          <w:rFonts w:ascii="Times New Roman" w:hAnsi="Times New Roman" w:cs="Times New Roman"/>
          <w:i/>
          <w:iCs/>
          <w:lang w:eastAsia="en-US"/>
        </w:rPr>
      </w:pPr>
      <w:bookmarkStart w:id="62" w:name="_Toc74732482"/>
      <w:r>
        <w:t>Effects on target organisms, including unacceptable suffering</w:t>
      </w:r>
      <w:bookmarkEnd w:id="62"/>
    </w:p>
    <w:p w14:paraId="576E7755" w14:textId="4740D48A" w:rsidR="004107C9" w:rsidRPr="004107C9" w:rsidRDefault="004107C9" w:rsidP="004107C9">
      <w:pPr>
        <w:suppressAutoHyphens w:val="0"/>
        <w:spacing w:line="260" w:lineRule="atLeast"/>
        <w:jc w:val="both"/>
        <w:rPr>
          <w:rFonts w:eastAsia="Calibri" w:cs="Times New Roman"/>
          <w:lang w:eastAsia="en-US"/>
        </w:rPr>
      </w:pPr>
      <w:r w:rsidRPr="004107C9">
        <w:rPr>
          <w:rFonts w:eastAsia="Calibri" w:cs="Times New Roman"/>
          <w:lang w:eastAsia="en-US"/>
        </w:rPr>
        <w:t>The product is able</w:t>
      </w:r>
      <w:r w:rsidRPr="004107C9">
        <w:rPr>
          <w:rFonts w:ascii="Times New Roman" w:eastAsia="Calibri" w:hAnsi="Times New Roman" w:cs="Times New Roman"/>
          <w:color w:val="000000"/>
          <w:lang w:val="sv-SE" w:eastAsia="sv-SE"/>
        </w:rPr>
        <w:t xml:space="preserve"> </w:t>
      </w:r>
      <w:r w:rsidRPr="004107C9">
        <w:rPr>
          <w:rFonts w:eastAsia="Calibri" w:cs="Times New Roman"/>
          <w:lang w:eastAsia="en-US"/>
        </w:rPr>
        <w:t>to produce a reduction in the number of viable bacterial cells (bactericidal activity)</w:t>
      </w:r>
      <w:r>
        <w:rPr>
          <w:rFonts w:eastAsia="Calibri" w:cs="Times New Roman"/>
          <w:lang w:eastAsia="en-US"/>
        </w:rPr>
        <w:t xml:space="preserve"> and</w:t>
      </w:r>
      <w:r w:rsidRPr="004107C9">
        <w:rPr>
          <w:rFonts w:eastAsia="Calibri" w:cs="Times New Roman"/>
          <w:lang w:eastAsia="en-US"/>
        </w:rPr>
        <w:t xml:space="preserve"> of yeast cells (yeasticidal activity) of relevant test organisms under defined conditions.</w:t>
      </w:r>
    </w:p>
    <w:p w14:paraId="4A5F215B" w14:textId="1204EC95" w:rsidR="009D0C0B" w:rsidRDefault="009D0C0B">
      <w:pPr>
        <w:spacing w:line="260" w:lineRule="atLeast"/>
        <w:rPr>
          <w:rFonts w:ascii="Times New Roman" w:eastAsia="Calibri" w:hAnsi="Times New Roman" w:cs="Times New Roman"/>
          <w:i/>
          <w:iCs/>
          <w:szCs w:val="24"/>
          <w:lang w:eastAsia="en-US"/>
        </w:rPr>
      </w:pPr>
    </w:p>
    <w:p w14:paraId="2AA3F4D9" w14:textId="77777777" w:rsidR="00F24A65" w:rsidRPr="00FB4D74" w:rsidRDefault="00F24A65" w:rsidP="00F24A65">
      <w:pPr>
        <w:jc w:val="both"/>
        <w:rPr>
          <w:lang w:eastAsia="en-US"/>
        </w:rPr>
      </w:pPr>
      <w:r>
        <w:rPr>
          <w:lang w:eastAsia="en-US"/>
        </w:rPr>
        <w:t xml:space="preserve">The product is used for the purpose of the protection of human and animal health (to </w:t>
      </w:r>
      <w:r w:rsidRPr="00D304E3">
        <w:rPr>
          <w:lang w:eastAsia="en-US"/>
        </w:rPr>
        <w:t xml:space="preserve">prevent spoilage of milk </w:t>
      </w:r>
      <w:r>
        <w:rPr>
          <w:lang w:eastAsia="en-US"/>
        </w:rPr>
        <w:t xml:space="preserve">and </w:t>
      </w:r>
      <w:r w:rsidRPr="00D304E3">
        <w:rPr>
          <w:lang w:eastAsia="en-US"/>
        </w:rPr>
        <w:t xml:space="preserve">to prevent the transmission of disease causing microorganisms </w:t>
      </w:r>
      <w:r>
        <w:rPr>
          <w:lang w:eastAsia="en-US"/>
        </w:rPr>
        <w:t>for animals</w:t>
      </w:r>
      <w:r w:rsidRPr="00D304E3">
        <w:rPr>
          <w:lang w:eastAsia="en-US"/>
        </w:rPr>
        <w:t>)</w:t>
      </w:r>
      <w:r>
        <w:rPr>
          <w:lang w:eastAsia="en-US"/>
        </w:rPr>
        <w:t>.</w:t>
      </w:r>
    </w:p>
    <w:p w14:paraId="61F4D656" w14:textId="77777777" w:rsidR="00F24A65" w:rsidRDefault="00F24A65">
      <w:pPr>
        <w:spacing w:line="260" w:lineRule="atLeast"/>
        <w:rPr>
          <w:rFonts w:ascii="Times New Roman" w:eastAsia="Calibri" w:hAnsi="Times New Roman" w:cs="Times New Roman"/>
          <w:i/>
          <w:iCs/>
          <w:szCs w:val="24"/>
          <w:lang w:eastAsia="en-US"/>
        </w:rPr>
      </w:pPr>
    </w:p>
    <w:p w14:paraId="3E8F6F25" w14:textId="77777777" w:rsidR="009D0C0B" w:rsidRDefault="00FA480B">
      <w:pPr>
        <w:pStyle w:val="Titre4"/>
        <w:rPr>
          <w:rFonts w:ascii="Times New Roman" w:hAnsi="Times New Roman" w:cs="Times New Roman"/>
          <w:i/>
          <w:iCs/>
          <w:lang w:eastAsia="en-US"/>
        </w:rPr>
      </w:pPr>
      <w:bookmarkStart w:id="63" w:name="_Toc74732483"/>
      <w:r>
        <w:t>Mode of action, including time delay</w:t>
      </w:r>
      <w:bookmarkEnd w:id="63"/>
    </w:p>
    <w:p w14:paraId="1FA7C0C0" w14:textId="33774640" w:rsidR="009D0C0B" w:rsidRDefault="009D0C0B" w:rsidP="00EE62BE">
      <w:pPr>
        <w:spacing w:line="260" w:lineRule="atLeast"/>
        <w:rPr>
          <w:rFonts w:ascii="Times New Roman" w:eastAsia="Calibri" w:hAnsi="Times New Roman" w:cs="Times New Roman"/>
          <w:i/>
          <w:iCs/>
          <w:szCs w:val="24"/>
          <w:lang w:eastAsia="en-US"/>
        </w:rPr>
      </w:pPr>
    </w:p>
    <w:p w14:paraId="2AFB9296" w14:textId="77777777" w:rsidR="004107C9" w:rsidRPr="004107C9" w:rsidRDefault="004107C9" w:rsidP="00EE0D1A">
      <w:pPr>
        <w:spacing w:line="260" w:lineRule="atLeast"/>
        <w:jc w:val="both"/>
        <w:rPr>
          <w:rFonts w:eastAsia="Calibri" w:cs="Times New Roman"/>
          <w:lang w:eastAsia="en-US"/>
        </w:rPr>
      </w:pPr>
      <w:r w:rsidRPr="004107C9">
        <w:rPr>
          <w:rFonts w:eastAsia="Calibri" w:cs="Times New Roman"/>
          <w:lang w:eastAsia="en-US"/>
        </w:rPr>
        <w:t>The mode of action of iodine is non-selective and is based on the following mechanisms:</w:t>
      </w:r>
    </w:p>
    <w:p w14:paraId="10334277" w14:textId="5E84D823" w:rsidR="004107C9" w:rsidRPr="004107C9" w:rsidRDefault="004107C9" w:rsidP="00EE62BE">
      <w:pPr>
        <w:pStyle w:val="Paragraphedeliste"/>
        <w:numPr>
          <w:ilvl w:val="0"/>
          <w:numId w:val="12"/>
        </w:numPr>
        <w:spacing w:line="260" w:lineRule="atLeast"/>
        <w:jc w:val="both"/>
        <w:rPr>
          <w:rFonts w:eastAsia="Calibri" w:cs="Times New Roman"/>
          <w:lang w:eastAsia="en-US"/>
        </w:rPr>
      </w:pPr>
      <w:r w:rsidRPr="004107C9">
        <w:rPr>
          <w:rFonts w:eastAsia="Calibri" w:cs="Times New Roman"/>
          <w:lang w:eastAsia="en-US"/>
        </w:rPr>
        <w:t>Iodine rapidly penetrates into microorganisms showing a high affinity pattern of adsorption.</w:t>
      </w:r>
    </w:p>
    <w:p w14:paraId="19897BAA" w14:textId="400240E9" w:rsidR="004107C9" w:rsidRPr="004107C9" w:rsidRDefault="004107C9" w:rsidP="00EE62BE">
      <w:pPr>
        <w:pStyle w:val="Paragraphedeliste"/>
        <w:numPr>
          <w:ilvl w:val="0"/>
          <w:numId w:val="12"/>
        </w:numPr>
        <w:spacing w:line="260" w:lineRule="atLeast"/>
        <w:jc w:val="both"/>
        <w:rPr>
          <w:rFonts w:eastAsia="Calibri" w:cs="Times New Roman"/>
          <w:lang w:eastAsia="en-US"/>
        </w:rPr>
      </w:pPr>
      <w:r w:rsidRPr="004107C9">
        <w:rPr>
          <w:rFonts w:eastAsia="Calibri" w:cs="Times New Roman"/>
          <w:lang w:eastAsia="en-US"/>
        </w:rPr>
        <w:t>Iodine combines with protein substances in the bacterial cell; these could be peptidoglycans in the cell walls or enzymes in the cytoplasm. This results in irreversible coagulation of the protein and consequent loss of function.</w:t>
      </w:r>
    </w:p>
    <w:p w14:paraId="4A59F795" w14:textId="4E11B50B" w:rsidR="004107C9" w:rsidRPr="004107C9" w:rsidRDefault="004107C9" w:rsidP="00EE62BE">
      <w:pPr>
        <w:pStyle w:val="Paragraphedeliste"/>
        <w:numPr>
          <w:ilvl w:val="0"/>
          <w:numId w:val="12"/>
        </w:numPr>
        <w:spacing w:line="260" w:lineRule="atLeast"/>
        <w:jc w:val="both"/>
        <w:rPr>
          <w:rFonts w:eastAsia="Calibri" w:cs="Times New Roman"/>
          <w:lang w:eastAsia="en-US"/>
        </w:rPr>
      </w:pPr>
      <w:r w:rsidRPr="004107C9">
        <w:rPr>
          <w:rFonts w:eastAsia="Calibri" w:cs="Times New Roman"/>
          <w:lang w:eastAsia="en-US"/>
        </w:rPr>
        <w:t>Iodine is known to act on thiol groups in the cell; if a thiol enzyme is part of a metabolic chain then metabolic inhibition will result.</w:t>
      </w:r>
    </w:p>
    <w:p w14:paraId="787BEC43" w14:textId="43CDE033" w:rsidR="004107C9" w:rsidRPr="004107C9" w:rsidRDefault="004107C9" w:rsidP="00EE62BE">
      <w:pPr>
        <w:pStyle w:val="Paragraphedeliste"/>
        <w:numPr>
          <w:ilvl w:val="0"/>
          <w:numId w:val="12"/>
        </w:numPr>
        <w:spacing w:line="260" w:lineRule="atLeast"/>
        <w:jc w:val="both"/>
        <w:rPr>
          <w:rFonts w:eastAsia="Calibri" w:cs="Times New Roman"/>
          <w:lang w:eastAsia="en-US"/>
        </w:rPr>
      </w:pPr>
      <w:r w:rsidRPr="004107C9">
        <w:rPr>
          <w:rFonts w:eastAsia="Calibri" w:cs="Times New Roman"/>
          <w:lang w:eastAsia="en-US"/>
        </w:rPr>
        <w:t>Iodine reacts with key groups of proteins, in particular the free-sulphur amino acids cysteine and methionine, nucleotides and fatty acids.</w:t>
      </w:r>
    </w:p>
    <w:p w14:paraId="4523BE13" w14:textId="279027B0" w:rsidR="004107C9" w:rsidRPr="004107C9" w:rsidRDefault="004107C9" w:rsidP="00EE62BE">
      <w:pPr>
        <w:pStyle w:val="Paragraphedeliste"/>
        <w:numPr>
          <w:ilvl w:val="0"/>
          <w:numId w:val="12"/>
        </w:numPr>
        <w:spacing w:line="260" w:lineRule="atLeast"/>
        <w:jc w:val="both"/>
        <w:rPr>
          <w:rFonts w:eastAsia="Calibri" w:cs="Times New Roman"/>
          <w:lang w:eastAsia="en-US"/>
        </w:rPr>
      </w:pPr>
      <w:r w:rsidRPr="004107C9">
        <w:rPr>
          <w:rFonts w:eastAsia="Calibri" w:cs="Times New Roman"/>
          <w:lang w:eastAsia="en-US"/>
        </w:rPr>
        <w:t>Iodine interferes at the level of the respiratory chain of the aerobic microorganisms by blocking the transport of electrons through electrophilic reactions with the enzymes of the respiratory chain.</w:t>
      </w:r>
    </w:p>
    <w:p w14:paraId="073FC2EF" w14:textId="77777777" w:rsidR="004107C9" w:rsidRPr="004107C9" w:rsidRDefault="004107C9" w:rsidP="004107C9">
      <w:pPr>
        <w:spacing w:line="260" w:lineRule="atLeast"/>
        <w:ind w:left="360"/>
        <w:rPr>
          <w:rFonts w:eastAsia="Calibri" w:cs="Times New Roman"/>
          <w:lang w:eastAsia="en-US"/>
        </w:rPr>
      </w:pPr>
    </w:p>
    <w:p w14:paraId="2FE4E2E3" w14:textId="77777777" w:rsidR="004107C9" w:rsidRDefault="004107C9" w:rsidP="00EE62BE">
      <w:pPr>
        <w:spacing w:line="260" w:lineRule="atLeast"/>
        <w:jc w:val="both"/>
        <w:rPr>
          <w:rFonts w:eastAsia="Calibri" w:cs="Times New Roman"/>
          <w:lang w:eastAsia="en-US"/>
        </w:rPr>
      </w:pPr>
      <w:r w:rsidRPr="004107C9">
        <w:rPr>
          <w:rFonts w:eastAsia="Calibri" w:cs="Times New Roman"/>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w:t>
      </w:r>
    </w:p>
    <w:p w14:paraId="4B0017F8" w14:textId="77777777" w:rsidR="00695468" w:rsidRDefault="00695468" w:rsidP="00EE62BE">
      <w:pPr>
        <w:jc w:val="both"/>
        <w:rPr>
          <w:rFonts w:eastAsia="Calibri" w:cs="Times New Roman"/>
          <w:lang w:eastAsia="en-US"/>
        </w:rPr>
      </w:pPr>
    </w:p>
    <w:p w14:paraId="361BF9C1" w14:textId="709BB12D" w:rsidR="00695468" w:rsidRPr="00753A9A" w:rsidRDefault="0010121A" w:rsidP="00EE62BE">
      <w:pPr>
        <w:jc w:val="both"/>
        <w:rPr>
          <w:rFonts w:cs="Arial"/>
        </w:rPr>
      </w:pPr>
      <w:r>
        <w:rPr>
          <w:rFonts w:cs="Arial"/>
        </w:rPr>
        <w:lastRenderedPageBreak/>
        <w:t>Concerning</w:t>
      </w:r>
      <w:r w:rsidR="00EE0D1A">
        <w:rPr>
          <w:rFonts w:cs="Arial"/>
        </w:rPr>
        <w:t xml:space="preserve"> </w:t>
      </w:r>
      <w:r w:rsidR="00695468" w:rsidRPr="00753A9A">
        <w:rPr>
          <w:rFonts w:cs="Arial"/>
        </w:rPr>
        <w:t>L(+) lactic acid Assessment Report</w:t>
      </w:r>
      <w:r w:rsidR="00EE0D1A">
        <w:rPr>
          <w:rFonts w:cs="Arial"/>
        </w:rPr>
        <w:t xml:space="preserve"> </w:t>
      </w:r>
      <w:r w:rsidR="00695468" w:rsidRPr="00753A9A">
        <w:rPr>
          <w:rFonts w:cs="Arial"/>
        </w:rPr>
        <w:t xml:space="preserve">June 2017), this acid exists in solution in a pH-dependent equilibrium between </w:t>
      </w:r>
      <w:r w:rsidR="00695468" w:rsidRPr="00E522E4">
        <w:rPr>
          <w:rFonts w:cs="Arial"/>
        </w:rPr>
        <w:t>the non-dissociated and dissociated form. Only in its non-dissociated state, the acid is able to go through the cell membrane. At a relatively low pH, the uncharged acid enters the cell. Inside the cell, the L(+) lactic acid</w:t>
      </w:r>
      <w:r w:rsidR="00695468" w:rsidRPr="00753A9A">
        <w:rPr>
          <w:rFonts w:cs="Arial"/>
        </w:rPr>
        <w:t xml:space="preserve"> dissociates due to the higher pH. The molecules remain inside the cell, because the resulting ions cannot go through the membrane. The pH inside the cell is lowered and metabolic reactions are inhibited. </w:t>
      </w:r>
    </w:p>
    <w:p w14:paraId="6A49304F" w14:textId="77777777" w:rsidR="00695468" w:rsidRPr="00753A9A" w:rsidRDefault="00695468">
      <w:pPr>
        <w:jc w:val="both"/>
        <w:rPr>
          <w:rFonts w:cs="Arial"/>
        </w:rPr>
      </w:pPr>
      <w:r w:rsidRPr="00753A9A">
        <w:rPr>
          <w:rFonts w:cs="Arial"/>
        </w:rPr>
        <w:t>Further effects are also reported, such as decrease of the membrane permeability for amino acids, organic acids, phosphates resulting in uncoupling of both substrate transport and oxidative phosphorylation from the electron transport system. Furthermore, an inhibition of the glycolysis by the lactate ion is observed.</w:t>
      </w:r>
    </w:p>
    <w:p w14:paraId="14CF46AE" w14:textId="77777777" w:rsidR="00695468" w:rsidRPr="00753A9A" w:rsidRDefault="00695468">
      <w:pPr>
        <w:jc w:val="both"/>
        <w:rPr>
          <w:rFonts w:cs="Arial"/>
          <w:highlight w:val="yellow"/>
        </w:rPr>
      </w:pPr>
    </w:p>
    <w:p w14:paraId="6ED73DFA" w14:textId="294BE7ED" w:rsidR="00695468" w:rsidRDefault="00695468">
      <w:pPr>
        <w:jc w:val="both"/>
        <w:rPr>
          <w:rFonts w:cs="Arial"/>
        </w:rPr>
      </w:pPr>
      <w:r>
        <w:rPr>
          <w:rFonts w:cs="Arial"/>
        </w:rPr>
        <w:t>ALGOFILM</w:t>
      </w:r>
      <w:r w:rsidRPr="00753A9A">
        <w:rPr>
          <w:rFonts w:cs="Arial"/>
        </w:rPr>
        <w:t xml:space="preserve"> is effective after a contact time </w:t>
      </w:r>
      <w:r>
        <w:rPr>
          <w:rFonts w:cs="Arial"/>
        </w:rPr>
        <w:t>of</w:t>
      </w:r>
      <w:r w:rsidRPr="00753A9A">
        <w:rPr>
          <w:rFonts w:cs="Arial"/>
        </w:rPr>
        <w:t xml:space="preserve"> 5 minutes</w:t>
      </w:r>
      <w:r>
        <w:rPr>
          <w:rFonts w:cs="Arial"/>
        </w:rPr>
        <w:t xml:space="preserve"> at the</w:t>
      </w:r>
      <w:r w:rsidRPr="00753A9A">
        <w:rPr>
          <w:rFonts w:cs="Arial"/>
        </w:rPr>
        <w:t xml:space="preserve"> application rate used </w:t>
      </w:r>
      <w:r>
        <w:rPr>
          <w:rFonts w:cs="Arial"/>
        </w:rPr>
        <w:t xml:space="preserve">against </w:t>
      </w:r>
      <w:r w:rsidRPr="00753A9A">
        <w:rPr>
          <w:rFonts w:cs="Arial"/>
        </w:rPr>
        <w:t>target organism</w:t>
      </w:r>
      <w:r>
        <w:rPr>
          <w:rFonts w:cs="Arial"/>
        </w:rPr>
        <w:t>s</w:t>
      </w:r>
      <w:r w:rsidRPr="00753A9A">
        <w:rPr>
          <w:rFonts w:cs="Arial"/>
        </w:rPr>
        <w:t>.</w:t>
      </w:r>
    </w:p>
    <w:p w14:paraId="165E230E" w14:textId="77777777" w:rsidR="009D0C0B" w:rsidRDefault="00FA480B">
      <w:pPr>
        <w:pStyle w:val="Titre4"/>
        <w:rPr>
          <w:rFonts w:ascii="Times New Roman" w:hAnsi="Times New Roman" w:cs="Times New Roman"/>
          <w:i/>
          <w:iCs/>
          <w:lang w:eastAsia="en-US"/>
        </w:rPr>
      </w:pPr>
      <w:bookmarkStart w:id="64" w:name="_Toc74732484"/>
      <w:r>
        <w:t>Efficacy data</w:t>
      </w:r>
      <w:bookmarkEnd w:id="64"/>
      <w:r>
        <w:t xml:space="preserve"> </w:t>
      </w:r>
    </w:p>
    <w:p w14:paraId="55828671" w14:textId="39E6B483" w:rsidR="004107C9" w:rsidRDefault="004107C9" w:rsidP="004107C9">
      <w:pPr>
        <w:spacing w:line="260" w:lineRule="atLeast"/>
        <w:rPr>
          <w:rFonts w:ascii="Times New Roman" w:eastAsia="Calibri" w:hAnsi="Times New Roman" w:cs="Times New Roman"/>
          <w:i/>
          <w:iCs/>
          <w:szCs w:val="24"/>
          <w:lang w:eastAsia="en-US"/>
        </w:rPr>
      </w:pPr>
    </w:p>
    <w:p w14:paraId="22C9F7CF" w14:textId="49F7AFFB" w:rsidR="004107C9" w:rsidRPr="004107C9" w:rsidRDefault="004107C9" w:rsidP="0010121A">
      <w:pPr>
        <w:spacing w:line="260" w:lineRule="atLeast"/>
        <w:jc w:val="both"/>
        <w:rPr>
          <w:rFonts w:eastAsia="Calibri" w:cs="Times New Roman"/>
          <w:lang w:eastAsia="en-US"/>
        </w:rPr>
      </w:pPr>
      <w:r w:rsidRPr="004107C9">
        <w:rPr>
          <w:rFonts w:eastAsia="Calibri" w:cs="Times New Roman"/>
          <w:lang w:eastAsia="en-US"/>
        </w:rPr>
        <w:t xml:space="preserve">Laboratory studies were conducted with the product ALGOFILM </w:t>
      </w:r>
      <w:r w:rsidR="0010121A">
        <w:rPr>
          <w:rFonts w:eastAsia="Calibri" w:cs="Times New Roman"/>
          <w:lang w:eastAsia="en-US"/>
        </w:rPr>
        <w:t>in accordance with the</w:t>
      </w:r>
      <w:r w:rsidRPr="004107C9">
        <w:rPr>
          <w:rFonts w:eastAsia="Calibri" w:cs="Times New Roman"/>
          <w:lang w:eastAsia="en-US"/>
        </w:rPr>
        <w:t xml:space="preserve"> guidance on the Biocidal Products Regulation, Volume II Efficacy – Assessment and Evaluation (Parts B+C). </w:t>
      </w:r>
    </w:p>
    <w:p w14:paraId="393490E6" w14:textId="78703CD7" w:rsidR="004107C9" w:rsidRDefault="004107C9" w:rsidP="0010121A">
      <w:pPr>
        <w:suppressAutoHyphens w:val="0"/>
        <w:jc w:val="both"/>
        <w:rPr>
          <w:rFonts w:cs="Times New Roman"/>
          <w:lang w:eastAsia="de-DE"/>
        </w:rPr>
      </w:pPr>
      <w:r w:rsidRPr="004107C9">
        <w:rPr>
          <w:rFonts w:eastAsia="Calibri" w:cs="Times New Roman"/>
          <w:lang w:eastAsia="en-US"/>
        </w:rPr>
        <w:t xml:space="preserve">The results are summarized in Section 6.7 of the IUCLID file and the main points </w:t>
      </w:r>
      <w:r w:rsidRPr="004107C9">
        <w:rPr>
          <w:rFonts w:cs="Times New Roman"/>
          <w:lang w:eastAsia="de-DE"/>
        </w:rPr>
        <w:t>are summarized in the table below.</w:t>
      </w:r>
    </w:p>
    <w:p w14:paraId="04DAEE48" w14:textId="6F91576B" w:rsidR="00695468" w:rsidRDefault="00695468" w:rsidP="004107C9">
      <w:pPr>
        <w:suppressAutoHyphens w:val="0"/>
        <w:jc w:val="both"/>
        <w:rPr>
          <w:rFonts w:cs="Times New Roman"/>
          <w:lang w:eastAsia="de-DE"/>
        </w:rPr>
      </w:pPr>
    </w:p>
    <w:p w14:paraId="35D395FD" w14:textId="5D62CBBE" w:rsidR="00695468" w:rsidRDefault="00695468" w:rsidP="004107C9">
      <w:pPr>
        <w:suppressAutoHyphens w:val="0"/>
        <w:jc w:val="both"/>
        <w:rPr>
          <w:rFonts w:cs="Times New Roman"/>
          <w:lang w:eastAsia="de-DE"/>
        </w:rPr>
      </w:pPr>
    </w:p>
    <w:p w14:paraId="322F0E0B" w14:textId="04004294" w:rsidR="00695468" w:rsidRDefault="00695468" w:rsidP="004107C9">
      <w:pPr>
        <w:suppressAutoHyphens w:val="0"/>
        <w:jc w:val="both"/>
        <w:rPr>
          <w:rFonts w:cs="Times New Roman"/>
          <w:lang w:eastAsia="de-DE"/>
        </w:rPr>
      </w:pPr>
    </w:p>
    <w:p w14:paraId="1906E74F" w14:textId="5DB06474" w:rsidR="00695468" w:rsidRDefault="00695468" w:rsidP="004107C9">
      <w:pPr>
        <w:suppressAutoHyphens w:val="0"/>
        <w:jc w:val="both"/>
        <w:rPr>
          <w:rFonts w:cs="Times New Roman"/>
          <w:lang w:eastAsia="de-DE"/>
        </w:rPr>
      </w:pPr>
    </w:p>
    <w:p w14:paraId="530AB0B9" w14:textId="47040C1C" w:rsidR="00695468" w:rsidRDefault="00695468" w:rsidP="004107C9">
      <w:pPr>
        <w:suppressAutoHyphens w:val="0"/>
        <w:jc w:val="both"/>
        <w:rPr>
          <w:rFonts w:cs="Times New Roman"/>
          <w:lang w:eastAsia="de-DE"/>
        </w:rPr>
      </w:pPr>
    </w:p>
    <w:p w14:paraId="01517BDF" w14:textId="3E7EACE5" w:rsidR="00695468" w:rsidRDefault="00695468" w:rsidP="004107C9">
      <w:pPr>
        <w:suppressAutoHyphens w:val="0"/>
        <w:jc w:val="both"/>
        <w:rPr>
          <w:rFonts w:cs="Times New Roman"/>
          <w:lang w:eastAsia="de-DE"/>
        </w:rPr>
      </w:pPr>
    </w:p>
    <w:p w14:paraId="1CBB9B1F" w14:textId="7F87EE83" w:rsidR="00695468" w:rsidRDefault="00695468" w:rsidP="004107C9">
      <w:pPr>
        <w:suppressAutoHyphens w:val="0"/>
        <w:jc w:val="both"/>
        <w:rPr>
          <w:rFonts w:cs="Times New Roman"/>
          <w:lang w:eastAsia="de-DE"/>
        </w:rPr>
      </w:pPr>
    </w:p>
    <w:p w14:paraId="1CD62090" w14:textId="4B23F24A" w:rsidR="00695468" w:rsidRDefault="00695468" w:rsidP="004107C9">
      <w:pPr>
        <w:suppressAutoHyphens w:val="0"/>
        <w:jc w:val="both"/>
        <w:rPr>
          <w:rFonts w:cs="Times New Roman"/>
          <w:lang w:eastAsia="de-DE"/>
        </w:rPr>
      </w:pPr>
    </w:p>
    <w:p w14:paraId="3D12D69A" w14:textId="1FAB0ADD" w:rsidR="00695468" w:rsidRDefault="00695468" w:rsidP="004107C9">
      <w:pPr>
        <w:suppressAutoHyphens w:val="0"/>
        <w:jc w:val="both"/>
        <w:rPr>
          <w:rFonts w:cs="Times New Roman"/>
          <w:lang w:eastAsia="de-DE"/>
        </w:rPr>
      </w:pPr>
    </w:p>
    <w:p w14:paraId="7FCC7C73" w14:textId="1BEEEDAC" w:rsidR="00695468" w:rsidRDefault="00695468" w:rsidP="004107C9">
      <w:pPr>
        <w:suppressAutoHyphens w:val="0"/>
        <w:jc w:val="both"/>
        <w:rPr>
          <w:rFonts w:cs="Times New Roman"/>
          <w:lang w:eastAsia="de-DE"/>
        </w:rPr>
      </w:pPr>
    </w:p>
    <w:p w14:paraId="3820B07C" w14:textId="1DD5BA4C" w:rsidR="00695468" w:rsidRDefault="00695468" w:rsidP="004107C9">
      <w:pPr>
        <w:suppressAutoHyphens w:val="0"/>
        <w:jc w:val="both"/>
        <w:rPr>
          <w:rFonts w:cs="Times New Roman"/>
          <w:lang w:eastAsia="de-DE"/>
        </w:rPr>
      </w:pPr>
    </w:p>
    <w:p w14:paraId="2B58BAEB" w14:textId="69164949" w:rsidR="00695468" w:rsidRDefault="00695468" w:rsidP="004107C9">
      <w:pPr>
        <w:suppressAutoHyphens w:val="0"/>
        <w:jc w:val="both"/>
        <w:rPr>
          <w:rFonts w:cs="Times New Roman"/>
          <w:lang w:eastAsia="de-DE"/>
        </w:rPr>
      </w:pPr>
    </w:p>
    <w:p w14:paraId="17066DA2" w14:textId="248F3A64" w:rsidR="00695468" w:rsidRDefault="00695468" w:rsidP="004107C9">
      <w:pPr>
        <w:suppressAutoHyphens w:val="0"/>
        <w:jc w:val="both"/>
        <w:rPr>
          <w:rFonts w:cs="Times New Roman"/>
          <w:lang w:eastAsia="de-DE"/>
        </w:rPr>
      </w:pPr>
    </w:p>
    <w:p w14:paraId="25BFDDC1" w14:textId="154FD042" w:rsidR="00695468" w:rsidRDefault="00695468" w:rsidP="004107C9">
      <w:pPr>
        <w:suppressAutoHyphens w:val="0"/>
        <w:jc w:val="both"/>
        <w:rPr>
          <w:rFonts w:cs="Times New Roman"/>
          <w:lang w:eastAsia="de-DE"/>
        </w:rPr>
      </w:pPr>
    </w:p>
    <w:p w14:paraId="31F53684" w14:textId="09DEF4ED" w:rsidR="00695468" w:rsidRDefault="00695468" w:rsidP="004107C9">
      <w:pPr>
        <w:suppressAutoHyphens w:val="0"/>
        <w:jc w:val="both"/>
        <w:rPr>
          <w:rFonts w:cs="Times New Roman"/>
          <w:lang w:eastAsia="de-DE"/>
        </w:rPr>
      </w:pPr>
    </w:p>
    <w:p w14:paraId="4966D08F" w14:textId="5F688A6B" w:rsidR="00695468" w:rsidRDefault="00695468" w:rsidP="004107C9">
      <w:pPr>
        <w:suppressAutoHyphens w:val="0"/>
        <w:jc w:val="both"/>
        <w:rPr>
          <w:rFonts w:cs="Times New Roman"/>
          <w:lang w:eastAsia="de-DE"/>
        </w:rPr>
      </w:pPr>
    </w:p>
    <w:p w14:paraId="4893077B" w14:textId="6952D06F" w:rsidR="00695468" w:rsidRDefault="00695468" w:rsidP="004107C9">
      <w:pPr>
        <w:suppressAutoHyphens w:val="0"/>
        <w:jc w:val="both"/>
        <w:rPr>
          <w:rFonts w:cs="Times New Roman"/>
          <w:lang w:eastAsia="de-DE"/>
        </w:rPr>
      </w:pPr>
    </w:p>
    <w:p w14:paraId="2913299D" w14:textId="76F9D7D8" w:rsidR="00695468" w:rsidRDefault="00695468" w:rsidP="004107C9">
      <w:pPr>
        <w:suppressAutoHyphens w:val="0"/>
        <w:jc w:val="both"/>
        <w:rPr>
          <w:rFonts w:cs="Times New Roman"/>
          <w:lang w:eastAsia="de-DE"/>
        </w:rPr>
      </w:pPr>
    </w:p>
    <w:p w14:paraId="69DA6404" w14:textId="26D5CFCC" w:rsidR="00695468" w:rsidRDefault="00695468" w:rsidP="004107C9">
      <w:pPr>
        <w:suppressAutoHyphens w:val="0"/>
        <w:jc w:val="both"/>
        <w:rPr>
          <w:rFonts w:cs="Times New Roman"/>
          <w:lang w:eastAsia="de-DE"/>
        </w:rPr>
      </w:pPr>
    </w:p>
    <w:p w14:paraId="73919940" w14:textId="2928EAA9" w:rsidR="00695468" w:rsidRDefault="00695468" w:rsidP="004107C9">
      <w:pPr>
        <w:suppressAutoHyphens w:val="0"/>
        <w:jc w:val="both"/>
        <w:rPr>
          <w:rFonts w:cs="Times New Roman"/>
          <w:lang w:eastAsia="de-DE"/>
        </w:rPr>
      </w:pPr>
    </w:p>
    <w:p w14:paraId="21BF1097" w14:textId="4A0FA8C5" w:rsidR="00695468" w:rsidRDefault="00695468" w:rsidP="004107C9">
      <w:pPr>
        <w:suppressAutoHyphens w:val="0"/>
        <w:jc w:val="both"/>
        <w:rPr>
          <w:rFonts w:cs="Times New Roman"/>
          <w:lang w:eastAsia="de-DE"/>
        </w:rPr>
      </w:pPr>
    </w:p>
    <w:p w14:paraId="55CA5F9D" w14:textId="77777777" w:rsidR="00695468" w:rsidRPr="004107C9" w:rsidRDefault="00695468" w:rsidP="004107C9">
      <w:pPr>
        <w:suppressAutoHyphens w:val="0"/>
        <w:jc w:val="both"/>
        <w:rPr>
          <w:rFonts w:cs="Times New Roman"/>
          <w:lang w:eastAsia="de-DE"/>
        </w:rPr>
      </w:pPr>
    </w:p>
    <w:p w14:paraId="7D595FEB" w14:textId="77777777" w:rsidR="00695468" w:rsidRDefault="00695468">
      <w:pPr>
        <w:spacing w:line="260" w:lineRule="atLeast"/>
        <w:ind w:left="360"/>
        <w:jc w:val="both"/>
        <w:rPr>
          <w:rFonts w:ascii="Times New Roman" w:eastAsia="Calibri" w:hAnsi="Times New Roman" w:cs="Arial"/>
          <w:bCs/>
          <w:i/>
          <w:caps/>
          <w:szCs w:val="28"/>
          <w:lang w:eastAsia="en-US"/>
        </w:rPr>
        <w:sectPr w:rsidR="00695468">
          <w:pgSz w:w="11906" w:h="16838"/>
          <w:pgMar w:top="1474" w:right="1247" w:bottom="2013" w:left="1446" w:header="850" w:footer="850" w:gutter="0"/>
          <w:cols w:space="720"/>
          <w:docGrid w:linePitch="272"/>
        </w:sectPr>
      </w:pPr>
    </w:p>
    <w:p w14:paraId="2A4FDDCD" w14:textId="47BB73E1" w:rsidR="004107C9" w:rsidRDefault="004107C9">
      <w:pPr>
        <w:spacing w:line="260" w:lineRule="atLeast"/>
        <w:ind w:left="360"/>
        <w:jc w:val="both"/>
        <w:rPr>
          <w:rFonts w:ascii="Times New Roman" w:eastAsia="Calibri" w:hAnsi="Times New Roman"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7"/>
        <w:gridCol w:w="1537"/>
        <w:gridCol w:w="1540"/>
        <w:gridCol w:w="1662"/>
        <w:gridCol w:w="1409"/>
        <w:gridCol w:w="2175"/>
        <w:gridCol w:w="2556"/>
        <w:gridCol w:w="1315"/>
      </w:tblGrid>
      <w:tr w:rsidR="004107C9" w:rsidRPr="004107C9" w14:paraId="31483010" w14:textId="77777777" w:rsidTr="00BB55A0">
        <w:trPr>
          <w:trHeight w:val="303"/>
        </w:trPr>
        <w:tc>
          <w:tcPr>
            <w:tcW w:w="5000" w:type="pct"/>
            <w:gridSpan w:val="8"/>
            <w:shd w:val="clear" w:color="auto" w:fill="FFFFCC"/>
            <w:vAlign w:val="center"/>
          </w:tcPr>
          <w:p w14:paraId="637F9A1D" w14:textId="77777777" w:rsidR="004107C9" w:rsidRPr="004107C9" w:rsidRDefault="004107C9" w:rsidP="004107C9">
            <w:pPr>
              <w:suppressAutoHyphens w:val="0"/>
              <w:jc w:val="center"/>
              <w:rPr>
                <w:rFonts w:cs="Times New Roman"/>
                <w:b/>
                <w:color w:val="000000"/>
                <w:sz w:val="18"/>
                <w:szCs w:val="18"/>
                <w:lang w:eastAsia="de-DE"/>
              </w:rPr>
            </w:pPr>
            <w:r w:rsidRPr="004107C9">
              <w:rPr>
                <w:rFonts w:cs="Times New Roman"/>
                <w:b/>
                <w:color w:val="000000"/>
                <w:sz w:val="18"/>
                <w:szCs w:val="18"/>
                <w:lang w:eastAsia="de-DE"/>
              </w:rPr>
              <w:t>Experimental data on the efficacy of the biocidal product against target organism(s)</w:t>
            </w:r>
          </w:p>
        </w:tc>
      </w:tr>
      <w:tr w:rsidR="004107C9" w:rsidRPr="004107C9" w14:paraId="1F72EBDC" w14:textId="77777777" w:rsidTr="004107C9">
        <w:tc>
          <w:tcPr>
            <w:tcW w:w="430" w:type="pct"/>
            <w:shd w:val="clear" w:color="auto" w:fill="FFFFFF"/>
          </w:tcPr>
          <w:p w14:paraId="3968B45F" w14:textId="77777777" w:rsidR="004107C9" w:rsidRPr="004107C9" w:rsidRDefault="004107C9" w:rsidP="004107C9">
            <w:pPr>
              <w:suppressAutoHyphens w:val="0"/>
              <w:jc w:val="center"/>
              <w:rPr>
                <w:rFonts w:cs="Times New Roman"/>
                <w:b/>
                <w:color w:val="000000"/>
                <w:sz w:val="18"/>
                <w:szCs w:val="18"/>
                <w:lang w:eastAsia="de-DE"/>
              </w:rPr>
            </w:pPr>
            <w:r w:rsidRPr="004107C9">
              <w:rPr>
                <w:rFonts w:cs="Times New Roman"/>
                <w:b/>
                <w:color w:val="000000"/>
                <w:sz w:val="18"/>
                <w:szCs w:val="18"/>
                <w:lang w:eastAsia="de-DE"/>
              </w:rPr>
              <w:t>Function</w:t>
            </w:r>
          </w:p>
        </w:tc>
        <w:tc>
          <w:tcPr>
            <w:tcW w:w="576" w:type="pct"/>
            <w:shd w:val="clear" w:color="auto" w:fill="FFFFFF"/>
          </w:tcPr>
          <w:p w14:paraId="00DC8332" w14:textId="77777777" w:rsidR="004107C9" w:rsidRPr="004107C9" w:rsidRDefault="004107C9" w:rsidP="004107C9">
            <w:pPr>
              <w:suppressAutoHyphens w:val="0"/>
              <w:jc w:val="both"/>
              <w:rPr>
                <w:rFonts w:cs="Times New Roman"/>
                <w:b/>
                <w:color w:val="000000"/>
                <w:sz w:val="18"/>
                <w:szCs w:val="18"/>
                <w:lang w:eastAsia="de-DE"/>
              </w:rPr>
            </w:pPr>
            <w:r w:rsidRPr="004107C9">
              <w:rPr>
                <w:rFonts w:cs="Times New Roman"/>
                <w:b/>
                <w:color w:val="000000"/>
                <w:sz w:val="18"/>
                <w:szCs w:val="18"/>
                <w:lang w:eastAsia="de-DE"/>
              </w:rPr>
              <w:t>Field of use envisaged</w:t>
            </w:r>
          </w:p>
        </w:tc>
        <w:tc>
          <w:tcPr>
            <w:tcW w:w="577" w:type="pct"/>
            <w:shd w:val="clear" w:color="auto" w:fill="FFFFFF"/>
          </w:tcPr>
          <w:p w14:paraId="26A1D11C" w14:textId="77777777" w:rsidR="004107C9" w:rsidRPr="004107C9" w:rsidRDefault="004107C9" w:rsidP="004107C9">
            <w:pPr>
              <w:suppressAutoHyphens w:val="0"/>
              <w:jc w:val="both"/>
              <w:rPr>
                <w:rFonts w:cs="Times New Roman"/>
                <w:b/>
                <w:i/>
                <w:color w:val="000000"/>
                <w:sz w:val="18"/>
                <w:szCs w:val="18"/>
                <w:lang w:eastAsia="de-DE"/>
              </w:rPr>
            </w:pPr>
            <w:r w:rsidRPr="004107C9">
              <w:rPr>
                <w:rFonts w:cs="Times New Roman"/>
                <w:b/>
                <w:color w:val="000000"/>
                <w:sz w:val="18"/>
                <w:szCs w:val="18"/>
                <w:lang w:eastAsia="de-DE"/>
              </w:rPr>
              <w:t>Test substance</w:t>
            </w:r>
          </w:p>
        </w:tc>
        <w:tc>
          <w:tcPr>
            <w:tcW w:w="623" w:type="pct"/>
            <w:shd w:val="clear" w:color="auto" w:fill="FFFFFF"/>
          </w:tcPr>
          <w:p w14:paraId="28DFDEA4" w14:textId="77777777" w:rsidR="004107C9" w:rsidRPr="004107C9" w:rsidRDefault="004107C9" w:rsidP="004107C9">
            <w:pPr>
              <w:suppressAutoHyphens w:val="0"/>
              <w:jc w:val="both"/>
              <w:rPr>
                <w:rFonts w:cs="Times New Roman"/>
                <w:b/>
                <w:i/>
                <w:color w:val="000000"/>
                <w:sz w:val="18"/>
                <w:szCs w:val="18"/>
                <w:lang w:eastAsia="de-DE"/>
              </w:rPr>
            </w:pPr>
            <w:r w:rsidRPr="004107C9">
              <w:rPr>
                <w:rFonts w:cs="Times New Roman"/>
                <w:b/>
                <w:color w:val="000000"/>
                <w:sz w:val="18"/>
                <w:szCs w:val="18"/>
                <w:lang w:eastAsia="de-DE"/>
              </w:rPr>
              <w:t>Test organism(s)</w:t>
            </w:r>
          </w:p>
        </w:tc>
        <w:tc>
          <w:tcPr>
            <w:tcW w:w="528" w:type="pct"/>
            <w:shd w:val="clear" w:color="auto" w:fill="FFFFFF"/>
          </w:tcPr>
          <w:p w14:paraId="2F6CF2CA" w14:textId="77777777" w:rsidR="004107C9" w:rsidRPr="004107C9" w:rsidRDefault="004107C9" w:rsidP="004107C9">
            <w:pPr>
              <w:suppressAutoHyphens w:val="0"/>
              <w:jc w:val="both"/>
              <w:rPr>
                <w:rFonts w:cs="Times New Roman"/>
                <w:b/>
                <w:color w:val="000000"/>
                <w:sz w:val="18"/>
                <w:szCs w:val="18"/>
                <w:lang w:eastAsia="de-DE"/>
              </w:rPr>
            </w:pPr>
            <w:r w:rsidRPr="004107C9">
              <w:rPr>
                <w:rFonts w:cs="Times New Roman"/>
                <w:b/>
                <w:color w:val="000000"/>
                <w:sz w:val="18"/>
                <w:szCs w:val="18"/>
                <w:lang w:eastAsia="de-DE"/>
              </w:rPr>
              <w:t>Test method</w:t>
            </w:r>
          </w:p>
        </w:tc>
        <w:tc>
          <w:tcPr>
            <w:tcW w:w="815" w:type="pct"/>
            <w:shd w:val="clear" w:color="auto" w:fill="FFFFFF"/>
          </w:tcPr>
          <w:p w14:paraId="01AAE9DE" w14:textId="77777777" w:rsidR="004107C9" w:rsidRPr="004107C9" w:rsidRDefault="004107C9" w:rsidP="004107C9">
            <w:pPr>
              <w:suppressAutoHyphens w:val="0"/>
              <w:jc w:val="both"/>
              <w:rPr>
                <w:rFonts w:cs="Times New Roman"/>
                <w:b/>
                <w:color w:val="000000"/>
                <w:sz w:val="18"/>
                <w:szCs w:val="18"/>
                <w:lang w:eastAsia="de-DE"/>
              </w:rPr>
            </w:pPr>
            <w:r w:rsidRPr="004107C9">
              <w:rPr>
                <w:rFonts w:cs="Times New Roman"/>
                <w:b/>
                <w:color w:val="000000"/>
                <w:sz w:val="18"/>
                <w:szCs w:val="18"/>
                <w:lang w:eastAsia="de-DE"/>
              </w:rPr>
              <w:t>Test system / concentrations applied / exposure time</w:t>
            </w:r>
          </w:p>
        </w:tc>
        <w:tc>
          <w:tcPr>
            <w:tcW w:w="958" w:type="pct"/>
            <w:shd w:val="clear" w:color="auto" w:fill="FFFFFF"/>
          </w:tcPr>
          <w:p w14:paraId="14DAA781" w14:textId="77777777" w:rsidR="004107C9" w:rsidRPr="004107C9" w:rsidRDefault="004107C9" w:rsidP="004107C9">
            <w:pPr>
              <w:suppressAutoHyphens w:val="0"/>
              <w:jc w:val="both"/>
              <w:rPr>
                <w:rFonts w:cs="Times New Roman"/>
                <w:b/>
                <w:color w:val="000000"/>
                <w:sz w:val="18"/>
                <w:szCs w:val="18"/>
                <w:lang w:eastAsia="de-DE"/>
              </w:rPr>
            </w:pPr>
            <w:r w:rsidRPr="004107C9">
              <w:rPr>
                <w:rFonts w:cs="Times New Roman"/>
                <w:b/>
                <w:color w:val="000000"/>
                <w:sz w:val="18"/>
                <w:szCs w:val="18"/>
                <w:lang w:eastAsia="de-DE"/>
              </w:rPr>
              <w:t>Test results: effects</w:t>
            </w:r>
          </w:p>
        </w:tc>
        <w:tc>
          <w:tcPr>
            <w:tcW w:w="493" w:type="pct"/>
            <w:shd w:val="clear" w:color="auto" w:fill="FFFFFF"/>
          </w:tcPr>
          <w:p w14:paraId="2358C464" w14:textId="77777777" w:rsidR="004107C9" w:rsidRPr="004107C9" w:rsidRDefault="004107C9" w:rsidP="004107C9">
            <w:pPr>
              <w:suppressAutoHyphens w:val="0"/>
              <w:jc w:val="both"/>
              <w:rPr>
                <w:rFonts w:cs="Times New Roman"/>
                <w:b/>
                <w:color w:val="000000"/>
                <w:sz w:val="18"/>
                <w:szCs w:val="18"/>
                <w:lang w:eastAsia="de-DE"/>
              </w:rPr>
            </w:pPr>
            <w:r w:rsidRPr="004107C9">
              <w:rPr>
                <w:rFonts w:cs="Times New Roman"/>
                <w:b/>
                <w:color w:val="000000"/>
                <w:sz w:val="18"/>
                <w:szCs w:val="18"/>
                <w:lang w:eastAsia="de-DE"/>
              </w:rPr>
              <w:t>Reference</w:t>
            </w:r>
          </w:p>
        </w:tc>
      </w:tr>
      <w:tr w:rsidR="004107C9" w:rsidRPr="004107C9" w14:paraId="0649C243" w14:textId="77777777" w:rsidTr="00BB55A0">
        <w:trPr>
          <w:trHeight w:val="3570"/>
        </w:trPr>
        <w:tc>
          <w:tcPr>
            <w:tcW w:w="430" w:type="pct"/>
          </w:tcPr>
          <w:p w14:paraId="16CF299C" w14:textId="77777777" w:rsidR="004107C9" w:rsidRPr="00EE62BE" w:rsidRDefault="004107C9" w:rsidP="004107C9">
            <w:pPr>
              <w:suppressAutoHyphens w:val="0"/>
              <w:jc w:val="both"/>
              <w:rPr>
                <w:rFonts w:cs="Times New Roman"/>
                <w:color w:val="000000"/>
                <w:sz w:val="18"/>
                <w:szCs w:val="18"/>
                <w:lang w:eastAsia="de-DE"/>
              </w:rPr>
            </w:pPr>
            <w:r w:rsidRPr="00EE62BE">
              <w:rPr>
                <w:rFonts w:cs="Times New Roman"/>
                <w:color w:val="000000"/>
                <w:sz w:val="18"/>
                <w:szCs w:val="18"/>
                <w:lang w:eastAsia="de-DE"/>
              </w:rPr>
              <w:t>Bactericide</w:t>
            </w:r>
          </w:p>
          <w:p w14:paraId="247BF6DD" w14:textId="77777777" w:rsidR="004107C9" w:rsidRPr="00EE62BE" w:rsidRDefault="004107C9" w:rsidP="004107C9">
            <w:pPr>
              <w:suppressAutoHyphens w:val="0"/>
              <w:jc w:val="both"/>
              <w:rPr>
                <w:rFonts w:cs="Times New Roman"/>
                <w:color w:val="000000"/>
                <w:sz w:val="18"/>
                <w:szCs w:val="18"/>
                <w:lang w:eastAsia="de-DE"/>
              </w:rPr>
            </w:pPr>
          </w:p>
        </w:tc>
        <w:tc>
          <w:tcPr>
            <w:tcW w:w="576" w:type="pct"/>
          </w:tcPr>
          <w:p w14:paraId="42BA4C6C" w14:textId="1BF80242" w:rsid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PT3</w:t>
            </w:r>
          </w:p>
          <w:p w14:paraId="147B6815" w14:textId="6E6F683B" w:rsidR="0010121A" w:rsidRPr="004107C9" w:rsidRDefault="0010121A" w:rsidP="004107C9">
            <w:pPr>
              <w:suppressAutoHyphens w:val="0"/>
              <w:jc w:val="both"/>
              <w:rPr>
                <w:rFonts w:cs="Times New Roman"/>
                <w:color w:val="000000"/>
                <w:sz w:val="18"/>
                <w:szCs w:val="18"/>
                <w:lang w:eastAsia="de-DE"/>
              </w:rPr>
            </w:pPr>
            <w:r>
              <w:rPr>
                <w:rFonts w:cs="Times New Roman"/>
                <w:color w:val="000000"/>
                <w:sz w:val="18"/>
                <w:szCs w:val="18"/>
                <w:lang w:eastAsia="de-DE"/>
              </w:rPr>
              <w:t>Teat disinfection</w:t>
            </w:r>
          </w:p>
          <w:p w14:paraId="00129C0C" w14:textId="77777777" w:rsidR="004107C9" w:rsidRPr="00EE62BE" w:rsidRDefault="004107C9" w:rsidP="004107C9">
            <w:pPr>
              <w:suppressAutoHyphens w:val="0"/>
              <w:jc w:val="both"/>
              <w:rPr>
                <w:rFonts w:cs="Times New Roman"/>
                <w:color w:val="000000"/>
                <w:sz w:val="18"/>
                <w:szCs w:val="18"/>
                <w:lang w:eastAsia="de-DE"/>
              </w:rPr>
            </w:pPr>
          </w:p>
        </w:tc>
        <w:tc>
          <w:tcPr>
            <w:tcW w:w="577" w:type="pct"/>
          </w:tcPr>
          <w:p w14:paraId="64F93B32" w14:textId="77777777" w:rsidR="004107C9" w:rsidRPr="00EE62BE" w:rsidRDefault="004107C9" w:rsidP="004107C9">
            <w:pPr>
              <w:suppressAutoHyphens w:val="0"/>
              <w:jc w:val="both"/>
              <w:rPr>
                <w:rFonts w:cs="Times New Roman"/>
                <w:color w:val="000000"/>
                <w:sz w:val="18"/>
                <w:szCs w:val="18"/>
                <w:lang w:eastAsia="de-DE"/>
              </w:rPr>
            </w:pPr>
            <w:r w:rsidRPr="00EE62BE">
              <w:rPr>
                <w:rFonts w:cs="Times New Roman"/>
                <w:color w:val="000000"/>
                <w:sz w:val="18"/>
                <w:szCs w:val="18"/>
                <w:lang w:eastAsia="de-DE"/>
              </w:rPr>
              <w:t>ALGOFILM</w:t>
            </w:r>
          </w:p>
          <w:p w14:paraId="4860C7E7" w14:textId="76536DBE" w:rsidR="004107C9" w:rsidRPr="00EE62BE" w:rsidRDefault="004107C9" w:rsidP="004107C9">
            <w:pPr>
              <w:suppressAutoHyphens w:val="0"/>
              <w:jc w:val="both"/>
              <w:rPr>
                <w:rFonts w:cs="Times New Roman"/>
                <w:color w:val="000000"/>
                <w:sz w:val="18"/>
                <w:szCs w:val="18"/>
                <w:lang w:eastAsia="de-DE"/>
              </w:rPr>
            </w:pPr>
            <w:r w:rsidRPr="00EE62BE">
              <w:rPr>
                <w:rFonts w:cs="Times New Roman"/>
                <w:color w:val="000000"/>
                <w:sz w:val="18"/>
                <w:szCs w:val="18"/>
                <w:lang w:eastAsia="de-DE"/>
              </w:rPr>
              <w:t xml:space="preserve">(0.9% of PVPI, </w:t>
            </w:r>
            <w:r w:rsidR="00695468" w:rsidRPr="00EE62BE">
              <w:rPr>
                <w:rFonts w:cs="Times New Roman"/>
                <w:color w:val="000000"/>
                <w:sz w:val="18"/>
                <w:szCs w:val="18"/>
                <w:lang w:eastAsia="de-DE"/>
              </w:rPr>
              <w:t>0.08%</w:t>
            </w:r>
            <w:r w:rsidR="002A0B13" w:rsidRPr="00EE62BE">
              <w:rPr>
                <w:rFonts w:cs="Times New Roman"/>
                <w:color w:val="000000"/>
                <w:sz w:val="18"/>
                <w:szCs w:val="18"/>
                <w:lang w:eastAsia="de-DE"/>
              </w:rPr>
              <w:t xml:space="preserve"> </w:t>
            </w:r>
            <w:r w:rsidRPr="00EE62BE">
              <w:rPr>
                <w:rFonts w:cs="Times New Roman"/>
                <w:color w:val="000000"/>
                <w:sz w:val="18"/>
                <w:szCs w:val="18"/>
                <w:lang w:eastAsia="de-DE"/>
              </w:rPr>
              <w:t>lactic acid)</w:t>
            </w:r>
          </w:p>
          <w:p w14:paraId="43E1CF1F" w14:textId="77777777" w:rsidR="004107C9" w:rsidRPr="00EE62BE" w:rsidRDefault="004107C9" w:rsidP="004107C9">
            <w:pPr>
              <w:suppressAutoHyphens w:val="0"/>
              <w:jc w:val="both"/>
              <w:rPr>
                <w:rFonts w:cs="Times New Roman"/>
                <w:color w:val="000000"/>
                <w:sz w:val="18"/>
                <w:szCs w:val="18"/>
                <w:lang w:eastAsia="de-DE"/>
              </w:rPr>
            </w:pPr>
          </w:p>
        </w:tc>
        <w:tc>
          <w:tcPr>
            <w:tcW w:w="623" w:type="pct"/>
          </w:tcPr>
          <w:p w14:paraId="48D3A8CF" w14:textId="77777777" w:rsidR="004107C9" w:rsidRPr="00D64246" w:rsidRDefault="004107C9" w:rsidP="004107C9">
            <w:pPr>
              <w:suppressAutoHyphens w:val="0"/>
              <w:jc w:val="both"/>
              <w:rPr>
                <w:rFonts w:cs="Times New Roman"/>
                <w:i/>
                <w:color w:val="000000"/>
                <w:sz w:val="18"/>
                <w:szCs w:val="18"/>
                <w:lang w:val="fr-BE" w:eastAsia="de-DE"/>
              </w:rPr>
            </w:pPr>
            <w:r w:rsidRPr="00D64246">
              <w:rPr>
                <w:rFonts w:cs="Times New Roman"/>
                <w:i/>
                <w:color w:val="000000"/>
                <w:sz w:val="18"/>
                <w:szCs w:val="18"/>
                <w:lang w:val="fr-BE" w:eastAsia="de-DE"/>
              </w:rPr>
              <w:t>Streptococcus uberis</w:t>
            </w:r>
          </w:p>
          <w:p w14:paraId="7AFFF126" w14:textId="2D2AA4C8" w:rsidR="004107C9" w:rsidRPr="00D64246" w:rsidRDefault="00EE62BE" w:rsidP="004107C9">
            <w:pPr>
              <w:suppressAutoHyphens w:val="0"/>
              <w:jc w:val="both"/>
              <w:rPr>
                <w:rFonts w:cs="Times New Roman"/>
                <w:i/>
                <w:color w:val="000000"/>
                <w:sz w:val="18"/>
                <w:szCs w:val="18"/>
                <w:lang w:val="fr-BE" w:eastAsia="de-DE"/>
              </w:rPr>
            </w:pPr>
            <w:r w:rsidRPr="00D64246">
              <w:rPr>
                <w:rFonts w:cs="Times New Roman"/>
                <w:i/>
                <w:color w:val="000000"/>
                <w:sz w:val="18"/>
                <w:szCs w:val="18"/>
                <w:lang w:val="fr-BE" w:eastAsia="de-DE"/>
              </w:rPr>
              <w:t>Staphy</w:t>
            </w:r>
            <w:r w:rsidR="004107C9" w:rsidRPr="00D64246">
              <w:rPr>
                <w:rFonts w:cs="Times New Roman"/>
                <w:i/>
                <w:color w:val="000000"/>
                <w:sz w:val="18"/>
                <w:szCs w:val="18"/>
                <w:lang w:val="fr-BE" w:eastAsia="de-DE"/>
              </w:rPr>
              <w:t>lococcus aureus</w:t>
            </w:r>
          </w:p>
          <w:p w14:paraId="47D34AD8" w14:textId="77777777" w:rsidR="004107C9" w:rsidRPr="00D64246" w:rsidRDefault="004107C9" w:rsidP="004107C9">
            <w:pPr>
              <w:suppressAutoHyphens w:val="0"/>
              <w:jc w:val="both"/>
              <w:rPr>
                <w:rFonts w:cs="Times New Roman"/>
                <w:i/>
                <w:color w:val="000000"/>
                <w:sz w:val="18"/>
                <w:szCs w:val="18"/>
                <w:lang w:val="fr-BE" w:eastAsia="de-DE"/>
              </w:rPr>
            </w:pPr>
            <w:r w:rsidRPr="00D64246">
              <w:rPr>
                <w:rFonts w:cs="Times New Roman"/>
                <w:i/>
                <w:color w:val="000000"/>
                <w:sz w:val="18"/>
                <w:szCs w:val="18"/>
                <w:lang w:val="fr-BE" w:eastAsia="de-DE"/>
              </w:rPr>
              <w:t>Escherichia coli</w:t>
            </w:r>
          </w:p>
        </w:tc>
        <w:tc>
          <w:tcPr>
            <w:tcW w:w="528" w:type="pct"/>
          </w:tcPr>
          <w:p w14:paraId="0FEB2D0B" w14:textId="29F55332"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EN 1656 (</w:t>
            </w:r>
            <w:r w:rsidR="00EE0D1A">
              <w:rPr>
                <w:rFonts w:cs="Times New Roman"/>
                <w:color w:val="000000"/>
                <w:sz w:val="18"/>
                <w:szCs w:val="18"/>
                <w:lang w:eastAsia="de-DE"/>
              </w:rPr>
              <w:t>M</w:t>
            </w:r>
            <w:r w:rsidRPr="004107C9">
              <w:rPr>
                <w:rFonts w:cs="Times New Roman"/>
                <w:color w:val="000000"/>
                <w:sz w:val="18"/>
                <w:szCs w:val="18"/>
                <w:lang w:eastAsia="de-DE"/>
              </w:rPr>
              <w:t>arch 2010)</w:t>
            </w:r>
          </w:p>
          <w:p w14:paraId="4C2BBA0A" w14:textId="77777777" w:rsidR="004107C9" w:rsidRPr="004107C9" w:rsidRDefault="004107C9" w:rsidP="004107C9">
            <w:pPr>
              <w:suppressAutoHyphens w:val="0"/>
              <w:jc w:val="both"/>
              <w:rPr>
                <w:rFonts w:cs="Times New Roman"/>
                <w:color w:val="000000"/>
                <w:sz w:val="18"/>
                <w:szCs w:val="18"/>
                <w:lang w:eastAsia="de-DE"/>
              </w:rPr>
            </w:pPr>
          </w:p>
          <w:p w14:paraId="448CF091" w14:textId="77777777" w:rsidR="004107C9" w:rsidRPr="004107C9" w:rsidRDefault="004107C9" w:rsidP="004107C9">
            <w:pPr>
              <w:suppressAutoHyphens w:val="0"/>
              <w:jc w:val="both"/>
              <w:rPr>
                <w:rFonts w:cs="Times New Roman"/>
                <w:color w:val="000000"/>
                <w:sz w:val="18"/>
                <w:szCs w:val="18"/>
                <w:lang w:eastAsia="de-DE"/>
              </w:rPr>
            </w:pPr>
          </w:p>
        </w:tc>
        <w:tc>
          <w:tcPr>
            <w:tcW w:w="815" w:type="pct"/>
          </w:tcPr>
          <w:p w14:paraId="6DF5C9D5" w14:textId="77777777" w:rsidR="004107C9" w:rsidRPr="004107C9" w:rsidRDefault="004107C9" w:rsidP="004107C9">
            <w:pPr>
              <w:suppressAutoHyphens w:val="0"/>
              <w:rPr>
                <w:rFonts w:cs="Times New Roman"/>
                <w:color w:val="000000"/>
                <w:sz w:val="18"/>
                <w:szCs w:val="18"/>
                <w:lang w:eastAsia="de-DE"/>
              </w:rPr>
            </w:pPr>
            <w:r w:rsidRPr="004107C9">
              <w:rPr>
                <w:rFonts w:cs="Times New Roman"/>
                <w:color w:val="000000"/>
                <w:sz w:val="18"/>
                <w:szCs w:val="18"/>
                <w:lang w:eastAsia="de-DE"/>
              </w:rPr>
              <w:t>Phase 2 step 1 test (suspension test)</w:t>
            </w:r>
          </w:p>
          <w:p w14:paraId="094CE472" w14:textId="77777777" w:rsidR="004107C9" w:rsidRPr="004107C9" w:rsidRDefault="004107C9" w:rsidP="004107C9">
            <w:pPr>
              <w:suppressAutoHyphens w:val="0"/>
              <w:jc w:val="both"/>
              <w:rPr>
                <w:rFonts w:cs="Times New Roman"/>
                <w:color w:val="000000"/>
                <w:sz w:val="18"/>
                <w:szCs w:val="18"/>
                <w:lang w:eastAsia="de-DE"/>
              </w:rPr>
            </w:pPr>
          </w:p>
          <w:p w14:paraId="65E4AAD3" w14:textId="77777777"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Concentration tested: 10%, 40%, 60% and 80%</w:t>
            </w:r>
          </w:p>
          <w:p w14:paraId="107A5073" w14:textId="77777777"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 xml:space="preserve">Temperature: </w:t>
            </w:r>
            <w:r w:rsidRPr="00EE62BE">
              <w:rPr>
                <w:rFonts w:cs="Times New Roman"/>
                <w:color w:val="000000"/>
                <w:sz w:val="18"/>
                <w:szCs w:val="18"/>
                <w:lang w:eastAsia="de-DE"/>
              </w:rPr>
              <w:t>30°C</w:t>
            </w:r>
          </w:p>
          <w:p w14:paraId="3F6CFF8E" w14:textId="77777777"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Contact time: 5 min</w:t>
            </w:r>
          </w:p>
          <w:p w14:paraId="5394B1C4" w14:textId="0D608C6A"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 xml:space="preserve">Interfering substance: </w:t>
            </w:r>
            <w:r w:rsidR="0010121A">
              <w:rPr>
                <w:rFonts w:cs="Times New Roman"/>
                <w:color w:val="000000"/>
                <w:sz w:val="18"/>
                <w:szCs w:val="18"/>
                <w:lang w:eastAsia="de-DE"/>
              </w:rPr>
              <w:t xml:space="preserve">10 g/L </w:t>
            </w:r>
            <w:r w:rsidR="00EE0D1A">
              <w:rPr>
                <w:rFonts w:cs="Times New Roman"/>
                <w:color w:val="000000"/>
                <w:sz w:val="18"/>
                <w:szCs w:val="18"/>
                <w:lang w:eastAsia="de-DE"/>
              </w:rPr>
              <w:t xml:space="preserve">skimmed </w:t>
            </w:r>
            <w:r w:rsidRPr="004107C9">
              <w:rPr>
                <w:rFonts w:cs="Times New Roman"/>
                <w:color w:val="000000"/>
                <w:sz w:val="18"/>
                <w:szCs w:val="18"/>
                <w:lang w:eastAsia="de-DE"/>
              </w:rPr>
              <w:t>milk</w:t>
            </w:r>
          </w:p>
          <w:p w14:paraId="15EA96D2" w14:textId="77777777" w:rsidR="00EE0D1A" w:rsidRDefault="00EE0D1A" w:rsidP="004107C9">
            <w:pPr>
              <w:suppressAutoHyphens w:val="0"/>
              <w:jc w:val="both"/>
              <w:rPr>
                <w:rFonts w:cs="Times New Roman"/>
                <w:color w:val="000000"/>
                <w:sz w:val="18"/>
                <w:szCs w:val="18"/>
                <w:lang w:eastAsia="de-DE"/>
              </w:rPr>
            </w:pPr>
          </w:p>
          <w:p w14:paraId="0A749B7A" w14:textId="5929067C"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Criteria: at least a 5 log reduction</w:t>
            </w:r>
          </w:p>
          <w:p w14:paraId="367D40AF" w14:textId="77777777" w:rsidR="004107C9" w:rsidRPr="004107C9" w:rsidRDefault="004107C9" w:rsidP="004107C9">
            <w:pPr>
              <w:suppressAutoHyphens w:val="0"/>
              <w:jc w:val="both"/>
              <w:rPr>
                <w:rFonts w:cs="Times New Roman"/>
                <w:color w:val="000000"/>
                <w:sz w:val="18"/>
                <w:szCs w:val="18"/>
                <w:lang w:eastAsia="de-DE"/>
              </w:rPr>
            </w:pPr>
          </w:p>
        </w:tc>
        <w:tc>
          <w:tcPr>
            <w:tcW w:w="958" w:type="pct"/>
          </w:tcPr>
          <w:p w14:paraId="7E27373D" w14:textId="77777777" w:rsidR="004107C9" w:rsidRPr="004107C9" w:rsidRDefault="004107C9" w:rsidP="004107C9">
            <w:pPr>
              <w:suppressAutoHyphens w:val="0"/>
              <w:rPr>
                <w:rFonts w:cs="Times New Roman"/>
                <w:color w:val="000000"/>
                <w:sz w:val="18"/>
                <w:szCs w:val="18"/>
                <w:lang w:eastAsia="de-DE"/>
              </w:rPr>
            </w:pPr>
            <w:r w:rsidRPr="004107C9">
              <w:rPr>
                <w:rFonts w:cs="Times New Roman"/>
                <w:color w:val="000000"/>
                <w:sz w:val="18"/>
                <w:szCs w:val="18"/>
                <w:lang w:eastAsia="de-DE"/>
              </w:rPr>
              <w:t xml:space="preserve">Bactericidal activity demonstrated at 40% v/v </w:t>
            </w:r>
          </w:p>
          <w:p w14:paraId="417F0BCE" w14:textId="77777777" w:rsidR="004107C9" w:rsidRPr="004107C9" w:rsidRDefault="004107C9" w:rsidP="004107C9">
            <w:pPr>
              <w:suppressAutoHyphens w:val="0"/>
              <w:jc w:val="both"/>
              <w:rPr>
                <w:rFonts w:cs="Times New Roman"/>
                <w:color w:val="000000"/>
                <w:sz w:val="18"/>
                <w:szCs w:val="18"/>
                <w:lang w:eastAsia="de-DE"/>
              </w:rPr>
            </w:pPr>
          </w:p>
        </w:tc>
        <w:tc>
          <w:tcPr>
            <w:tcW w:w="493" w:type="pct"/>
          </w:tcPr>
          <w:p w14:paraId="41F4C65C" w14:textId="006E39B3" w:rsidR="004107C9" w:rsidRPr="005272CD" w:rsidRDefault="004107C9" w:rsidP="004107C9">
            <w:pPr>
              <w:suppressAutoHyphens w:val="0"/>
              <w:jc w:val="both"/>
              <w:rPr>
                <w:rFonts w:cs="Times New Roman"/>
                <w:color w:val="000000"/>
                <w:sz w:val="18"/>
                <w:szCs w:val="18"/>
                <w:lang w:val="fr-FR" w:eastAsia="de-DE"/>
              </w:rPr>
            </w:pPr>
            <w:r w:rsidRPr="005272CD">
              <w:rPr>
                <w:rFonts w:cs="Times New Roman"/>
                <w:color w:val="000000"/>
                <w:sz w:val="18"/>
                <w:szCs w:val="18"/>
                <w:lang w:val="fr-FR" w:eastAsia="de-DE"/>
              </w:rPr>
              <w:t>Rapport d'essai NF EN 1656_ Activité bactéricide</w:t>
            </w:r>
          </w:p>
          <w:p w14:paraId="666AA02B" w14:textId="77777777" w:rsidR="004107C9" w:rsidRPr="005272CD" w:rsidRDefault="004107C9" w:rsidP="004107C9">
            <w:pPr>
              <w:suppressAutoHyphens w:val="0"/>
              <w:jc w:val="both"/>
              <w:rPr>
                <w:rFonts w:cs="Times New Roman"/>
                <w:color w:val="000000"/>
                <w:sz w:val="18"/>
                <w:szCs w:val="18"/>
                <w:lang w:val="fr-FR" w:eastAsia="de-DE"/>
              </w:rPr>
            </w:pPr>
          </w:p>
          <w:p w14:paraId="238F8F47" w14:textId="77777777" w:rsidR="004107C9" w:rsidRPr="00EE62BE" w:rsidRDefault="004107C9" w:rsidP="004107C9">
            <w:pPr>
              <w:suppressAutoHyphens w:val="0"/>
              <w:jc w:val="both"/>
              <w:rPr>
                <w:rFonts w:cs="Times New Roman"/>
                <w:color w:val="000000"/>
                <w:sz w:val="18"/>
                <w:szCs w:val="18"/>
                <w:lang w:eastAsia="de-DE"/>
              </w:rPr>
            </w:pPr>
            <w:r w:rsidRPr="00EE62BE">
              <w:rPr>
                <w:rFonts w:cs="Times New Roman"/>
                <w:color w:val="000000"/>
                <w:sz w:val="18"/>
                <w:szCs w:val="18"/>
                <w:lang w:eastAsia="de-DE"/>
              </w:rPr>
              <w:t>RI : 1</w:t>
            </w:r>
          </w:p>
          <w:p w14:paraId="557861B8" w14:textId="77777777" w:rsidR="004107C9" w:rsidRPr="00EE62BE" w:rsidRDefault="004107C9" w:rsidP="004107C9">
            <w:pPr>
              <w:suppressAutoHyphens w:val="0"/>
              <w:jc w:val="both"/>
              <w:rPr>
                <w:rFonts w:cs="Times New Roman"/>
                <w:color w:val="000000"/>
                <w:sz w:val="18"/>
                <w:szCs w:val="18"/>
                <w:lang w:eastAsia="de-DE"/>
              </w:rPr>
            </w:pPr>
          </w:p>
        </w:tc>
      </w:tr>
      <w:tr w:rsidR="00695468" w:rsidRPr="004107C9" w14:paraId="54383FBE" w14:textId="77777777" w:rsidTr="00BB55A0">
        <w:tc>
          <w:tcPr>
            <w:tcW w:w="430" w:type="pct"/>
          </w:tcPr>
          <w:p w14:paraId="56AE45D3" w14:textId="77777777" w:rsidR="004107C9" w:rsidRPr="003A4095" w:rsidRDefault="004107C9" w:rsidP="004107C9">
            <w:pPr>
              <w:suppressAutoHyphens w:val="0"/>
              <w:jc w:val="both"/>
              <w:rPr>
                <w:rFonts w:cs="Times New Roman"/>
                <w:color w:val="000000"/>
                <w:sz w:val="18"/>
                <w:szCs w:val="18"/>
                <w:lang w:eastAsia="de-DE"/>
              </w:rPr>
            </w:pPr>
            <w:r w:rsidRPr="003A4095">
              <w:rPr>
                <w:rFonts w:cs="Times New Roman"/>
                <w:iCs/>
                <w:color w:val="000000"/>
                <w:sz w:val="18"/>
                <w:szCs w:val="18"/>
                <w:lang w:eastAsia="de-DE"/>
              </w:rPr>
              <w:t>Yeasticide</w:t>
            </w:r>
          </w:p>
        </w:tc>
        <w:tc>
          <w:tcPr>
            <w:tcW w:w="576" w:type="pct"/>
          </w:tcPr>
          <w:p w14:paraId="03A0774A" w14:textId="77777777" w:rsid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PT3</w:t>
            </w:r>
          </w:p>
          <w:p w14:paraId="06F3580A" w14:textId="77777777" w:rsidR="0010121A" w:rsidRPr="004107C9" w:rsidRDefault="0010121A" w:rsidP="0010121A">
            <w:pPr>
              <w:suppressAutoHyphens w:val="0"/>
              <w:jc w:val="both"/>
              <w:rPr>
                <w:rFonts w:cs="Times New Roman"/>
                <w:color w:val="000000"/>
                <w:sz w:val="18"/>
                <w:szCs w:val="18"/>
                <w:lang w:eastAsia="de-DE"/>
              </w:rPr>
            </w:pPr>
            <w:r>
              <w:rPr>
                <w:rFonts w:cs="Times New Roman"/>
                <w:color w:val="000000"/>
                <w:sz w:val="18"/>
                <w:szCs w:val="18"/>
                <w:lang w:eastAsia="de-DE"/>
              </w:rPr>
              <w:t>Teat disinfection</w:t>
            </w:r>
          </w:p>
          <w:p w14:paraId="76B9A669" w14:textId="13B436A1" w:rsidR="0010121A" w:rsidRPr="004107C9" w:rsidRDefault="0010121A" w:rsidP="004107C9">
            <w:pPr>
              <w:suppressAutoHyphens w:val="0"/>
              <w:jc w:val="both"/>
              <w:rPr>
                <w:rFonts w:cs="Times New Roman"/>
                <w:color w:val="000000"/>
                <w:sz w:val="18"/>
                <w:szCs w:val="18"/>
                <w:lang w:val="fr-FR" w:eastAsia="de-DE"/>
              </w:rPr>
            </w:pPr>
          </w:p>
        </w:tc>
        <w:tc>
          <w:tcPr>
            <w:tcW w:w="577" w:type="pct"/>
          </w:tcPr>
          <w:p w14:paraId="4B320686" w14:textId="77777777" w:rsidR="004107C9" w:rsidRPr="005272CD" w:rsidRDefault="004107C9" w:rsidP="004107C9">
            <w:pPr>
              <w:suppressAutoHyphens w:val="0"/>
              <w:jc w:val="both"/>
              <w:rPr>
                <w:rFonts w:cs="Times New Roman"/>
                <w:i/>
                <w:iCs/>
                <w:color w:val="000000"/>
                <w:sz w:val="18"/>
                <w:szCs w:val="18"/>
                <w:lang w:eastAsia="de-DE"/>
              </w:rPr>
            </w:pPr>
            <w:r w:rsidRPr="004107C9">
              <w:rPr>
                <w:rFonts w:cs="Times New Roman"/>
                <w:i/>
                <w:color w:val="000000"/>
                <w:sz w:val="18"/>
                <w:szCs w:val="18"/>
                <w:lang w:eastAsia="de-DE"/>
              </w:rPr>
              <w:t>ALGOFILM</w:t>
            </w:r>
          </w:p>
          <w:p w14:paraId="59313099" w14:textId="621657DC" w:rsidR="004107C9" w:rsidRPr="004107C9" w:rsidRDefault="004107C9" w:rsidP="004107C9">
            <w:pPr>
              <w:suppressAutoHyphens w:val="0"/>
              <w:jc w:val="both"/>
              <w:rPr>
                <w:rFonts w:cs="Times New Roman"/>
                <w:i/>
                <w:iCs/>
                <w:color w:val="000000"/>
                <w:sz w:val="18"/>
                <w:szCs w:val="18"/>
                <w:lang w:eastAsia="de-DE"/>
              </w:rPr>
            </w:pPr>
            <w:r w:rsidRPr="004107C9">
              <w:rPr>
                <w:rFonts w:cs="Times New Roman"/>
                <w:i/>
                <w:iCs/>
                <w:color w:val="000000"/>
                <w:sz w:val="18"/>
                <w:szCs w:val="18"/>
                <w:lang w:eastAsia="de-DE"/>
              </w:rPr>
              <w:t>(0.9% of PVPI</w:t>
            </w:r>
            <w:r w:rsidR="002A0B13" w:rsidRPr="004107C9">
              <w:rPr>
                <w:rFonts w:cs="Times New Roman"/>
                <w:i/>
                <w:iCs/>
                <w:color w:val="000000"/>
                <w:sz w:val="18"/>
                <w:szCs w:val="18"/>
                <w:lang w:eastAsia="de-DE"/>
              </w:rPr>
              <w:t xml:space="preserve">, </w:t>
            </w:r>
            <w:r w:rsidR="002A0B13">
              <w:rPr>
                <w:rFonts w:cs="Times New Roman"/>
                <w:i/>
                <w:iCs/>
                <w:color w:val="000000"/>
                <w:sz w:val="18"/>
                <w:szCs w:val="18"/>
                <w:lang w:eastAsia="de-DE"/>
              </w:rPr>
              <w:t xml:space="preserve">0.08% </w:t>
            </w:r>
            <w:r w:rsidR="002A0B13" w:rsidRPr="004107C9">
              <w:rPr>
                <w:rFonts w:cs="Times New Roman"/>
                <w:i/>
                <w:iCs/>
                <w:color w:val="000000"/>
                <w:sz w:val="18"/>
                <w:szCs w:val="18"/>
                <w:lang w:eastAsia="de-DE"/>
              </w:rPr>
              <w:t>lactic acid</w:t>
            </w:r>
            <w:r w:rsidRPr="004107C9">
              <w:rPr>
                <w:rFonts w:cs="Times New Roman"/>
                <w:i/>
                <w:iCs/>
                <w:color w:val="000000"/>
                <w:sz w:val="18"/>
                <w:szCs w:val="18"/>
                <w:lang w:eastAsia="de-DE"/>
              </w:rPr>
              <w:t>)</w:t>
            </w:r>
          </w:p>
          <w:p w14:paraId="4F224954" w14:textId="77777777" w:rsidR="004107C9" w:rsidRPr="004107C9" w:rsidRDefault="004107C9" w:rsidP="004107C9">
            <w:pPr>
              <w:suppressAutoHyphens w:val="0"/>
              <w:jc w:val="both"/>
              <w:rPr>
                <w:rFonts w:cs="Times New Roman"/>
                <w:i/>
                <w:color w:val="000000"/>
                <w:sz w:val="18"/>
                <w:szCs w:val="18"/>
                <w:lang w:eastAsia="de-DE"/>
              </w:rPr>
            </w:pPr>
          </w:p>
        </w:tc>
        <w:tc>
          <w:tcPr>
            <w:tcW w:w="623" w:type="pct"/>
          </w:tcPr>
          <w:p w14:paraId="7163FCFF" w14:textId="77777777" w:rsidR="004107C9" w:rsidRPr="00447134" w:rsidRDefault="004107C9" w:rsidP="004107C9">
            <w:pPr>
              <w:suppressAutoHyphens w:val="0"/>
              <w:jc w:val="both"/>
              <w:rPr>
                <w:rFonts w:cs="Times New Roman"/>
                <w:i/>
                <w:color w:val="000000"/>
                <w:sz w:val="18"/>
                <w:szCs w:val="18"/>
                <w:lang w:val="fr-FR" w:eastAsia="de-DE"/>
              </w:rPr>
            </w:pPr>
            <w:r w:rsidRPr="00447134">
              <w:rPr>
                <w:rFonts w:cs="Times New Roman"/>
                <w:i/>
                <w:color w:val="000000"/>
                <w:sz w:val="18"/>
                <w:szCs w:val="18"/>
                <w:lang w:eastAsia="de-DE"/>
              </w:rPr>
              <w:t>Candida albicans</w:t>
            </w:r>
          </w:p>
        </w:tc>
        <w:tc>
          <w:tcPr>
            <w:tcW w:w="528" w:type="pct"/>
          </w:tcPr>
          <w:p w14:paraId="23EDA88B" w14:textId="77B2E425" w:rsidR="004107C9" w:rsidRPr="004107C9" w:rsidRDefault="004107C9" w:rsidP="004107C9">
            <w:pPr>
              <w:suppressAutoHyphens w:val="0"/>
              <w:jc w:val="both"/>
              <w:rPr>
                <w:rFonts w:cs="Times New Roman"/>
                <w:color w:val="000000"/>
                <w:sz w:val="18"/>
                <w:szCs w:val="18"/>
                <w:lang w:val="fr-FR" w:eastAsia="de-DE"/>
              </w:rPr>
            </w:pPr>
            <w:r w:rsidRPr="004107C9">
              <w:rPr>
                <w:rFonts w:cs="Times New Roman"/>
                <w:color w:val="000000"/>
                <w:sz w:val="18"/>
                <w:szCs w:val="18"/>
                <w:lang w:eastAsia="de-DE"/>
              </w:rPr>
              <w:t>EN 1657 (</w:t>
            </w:r>
            <w:r w:rsidR="00EE0D1A">
              <w:rPr>
                <w:rFonts w:cs="Times New Roman"/>
                <w:color w:val="000000"/>
                <w:sz w:val="18"/>
                <w:szCs w:val="18"/>
                <w:lang w:eastAsia="de-DE"/>
              </w:rPr>
              <w:t>M</w:t>
            </w:r>
            <w:r w:rsidRPr="004107C9">
              <w:rPr>
                <w:rFonts w:cs="Times New Roman"/>
                <w:color w:val="000000"/>
                <w:sz w:val="18"/>
                <w:szCs w:val="18"/>
                <w:lang w:eastAsia="de-DE"/>
              </w:rPr>
              <w:t>ay 2016)</w:t>
            </w:r>
          </w:p>
        </w:tc>
        <w:tc>
          <w:tcPr>
            <w:tcW w:w="815" w:type="pct"/>
          </w:tcPr>
          <w:p w14:paraId="6F67912B" w14:textId="77777777" w:rsidR="004107C9" w:rsidRPr="004107C9" w:rsidRDefault="004107C9" w:rsidP="004107C9">
            <w:pPr>
              <w:suppressAutoHyphens w:val="0"/>
              <w:rPr>
                <w:rFonts w:cs="Times New Roman"/>
                <w:color w:val="000000"/>
                <w:sz w:val="18"/>
                <w:szCs w:val="18"/>
                <w:lang w:eastAsia="de-DE"/>
              </w:rPr>
            </w:pPr>
            <w:r w:rsidRPr="004107C9">
              <w:rPr>
                <w:rFonts w:cs="Times New Roman"/>
                <w:color w:val="000000"/>
                <w:sz w:val="18"/>
                <w:szCs w:val="18"/>
                <w:lang w:eastAsia="de-DE"/>
              </w:rPr>
              <w:t>Phase 2 step 1 test (suspension test)</w:t>
            </w:r>
          </w:p>
          <w:p w14:paraId="7339130F" w14:textId="77777777" w:rsidR="004107C9" w:rsidRPr="004107C9" w:rsidRDefault="004107C9" w:rsidP="004107C9">
            <w:pPr>
              <w:suppressAutoHyphens w:val="0"/>
              <w:jc w:val="both"/>
              <w:rPr>
                <w:rFonts w:cs="Times New Roman"/>
                <w:color w:val="000000"/>
                <w:sz w:val="18"/>
                <w:szCs w:val="18"/>
                <w:lang w:eastAsia="de-DE"/>
              </w:rPr>
            </w:pPr>
          </w:p>
          <w:p w14:paraId="6F9D0AC7" w14:textId="77777777"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Concentration tested: 50% and 80%</w:t>
            </w:r>
          </w:p>
          <w:p w14:paraId="76B35685" w14:textId="77777777"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 xml:space="preserve">Temperature: </w:t>
            </w:r>
            <w:r w:rsidRPr="004107C9">
              <w:rPr>
                <w:rFonts w:cs="Times New Roman"/>
                <w:color w:val="000000"/>
                <w:sz w:val="18"/>
                <w:szCs w:val="18"/>
                <w:lang w:val="en-US" w:eastAsia="de-DE"/>
              </w:rPr>
              <w:t>30°C</w:t>
            </w:r>
          </w:p>
          <w:p w14:paraId="590B319D" w14:textId="77777777"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Contact time: 5 min</w:t>
            </w:r>
          </w:p>
          <w:p w14:paraId="1D7B3345" w14:textId="5E15012C"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 xml:space="preserve">Interfering substance: </w:t>
            </w:r>
            <w:r w:rsidR="0010121A">
              <w:rPr>
                <w:rFonts w:cs="Times New Roman"/>
                <w:color w:val="000000"/>
                <w:sz w:val="18"/>
                <w:szCs w:val="18"/>
                <w:lang w:eastAsia="de-DE"/>
              </w:rPr>
              <w:t xml:space="preserve">10 g/L </w:t>
            </w:r>
            <w:r w:rsidR="00EE0D1A">
              <w:rPr>
                <w:rFonts w:cs="Times New Roman"/>
                <w:color w:val="000000"/>
                <w:sz w:val="18"/>
                <w:szCs w:val="18"/>
                <w:lang w:eastAsia="de-DE"/>
              </w:rPr>
              <w:t xml:space="preserve">skimmed </w:t>
            </w:r>
            <w:r w:rsidRPr="004107C9">
              <w:rPr>
                <w:rFonts w:cs="Times New Roman"/>
                <w:color w:val="000000"/>
                <w:sz w:val="18"/>
                <w:szCs w:val="18"/>
                <w:lang w:eastAsia="de-DE"/>
              </w:rPr>
              <w:t xml:space="preserve">milk </w:t>
            </w:r>
          </w:p>
          <w:p w14:paraId="7687DA12" w14:textId="77777777" w:rsidR="00EE0D1A" w:rsidRDefault="00EE0D1A" w:rsidP="004107C9">
            <w:pPr>
              <w:suppressAutoHyphens w:val="0"/>
              <w:jc w:val="both"/>
              <w:rPr>
                <w:rFonts w:cs="Times New Roman"/>
                <w:color w:val="000000"/>
                <w:sz w:val="18"/>
                <w:szCs w:val="18"/>
                <w:lang w:eastAsia="de-DE"/>
              </w:rPr>
            </w:pPr>
          </w:p>
          <w:p w14:paraId="1A6AB2BD" w14:textId="350406DB"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Criteria: at least a 5 log reduction</w:t>
            </w:r>
          </w:p>
        </w:tc>
        <w:tc>
          <w:tcPr>
            <w:tcW w:w="958" w:type="pct"/>
          </w:tcPr>
          <w:p w14:paraId="0A57B9E1" w14:textId="77777777" w:rsidR="004107C9" w:rsidRPr="004107C9" w:rsidRDefault="004107C9" w:rsidP="004107C9">
            <w:pPr>
              <w:suppressAutoHyphens w:val="0"/>
              <w:rPr>
                <w:rFonts w:cs="Times New Roman"/>
                <w:color w:val="000000"/>
                <w:sz w:val="18"/>
                <w:szCs w:val="18"/>
                <w:lang w:eastAsia="de-DE"/>
              </w:rPr>
            </w:pPr>
            <w:r w:rsidRPr="004107C9">
              <w:rPr>
                <w:rFonts w:cs="Times New Roman"/>
                <w:color w:val="000000"/>
                <w:sz w:val="18"/>
                <w:szCs w:val="18"/>
                <w:lang w:eastAsia="de-DE"/>
              </w:rPr>
              <w:t>Yeasticidal activity is demonstrated at 50% v/v</w:t>
            </w:r>
          </w:p>
        </w:tc>
        <w:tc>
          <w:tcPr>
            <w:tcW w:w="493" w:type="pct"/>
          </w:tcPr>
          <w:p w14:paraId="6282AF93" w14:textId="6C346AFB" w:rsidR="004107C9" w:rsidRPr="00C21C73" w:rsidRDefault="004107C9" w:rsidP="004107C9">
            <w:pPr>
              <w:suppressAutoHyphens w:val="0"/>
              <w:jc w:val="both"/>
              <w:rPr>
                <w:rFonts w:cs="Times New Roman"/>
                <w:color w:val="000000"/>
                <w:sz w:val="18"/>
                <w:szCs w:val="18"/>
                <w:lang w:val="fr-FR" w:eastAsia="de-DE"/>
              </w:rPr>
            </w:pPr>
            <w:r w:rsidRPr="00C21C73">
              <w:rPr>
                <w:rFonts w:cs="Times New Roman"/>
                <w:color w:val="000000"/>
                <w:sz w:val="18"/>
                <w:szCs w:val="18"/>
                <w:lang w:val="fr-FR" w:eastAsia="de-DE"/>
              </w:rPr>
              <w:t>Rapport d'essai NF EN 1657_ Activité fongicide</w:t>
            </w:r>
          </w:p>
          <w:p w14:paraId="4A967524" w14:textId="77777777" w:rsidR="004107C9" w:rsidRPr="00C21C73" w:rsidRDefault="004107C9" w:rsidP="004107C9">
            <w:pPr>
              <w:suppressAutoHyphens w:val="0"/>
              <w:jc w:val="both"/>
              <w:rPr>
                <w:rFonts w:cs="Times New Roman"/>
                <w:sz w:val="18"/>
                <w:szCs w:val="18"/>
                <w:lang w:val="fr-FR" w:eastAsia="de-DE"/>
              </w:rPr>
            </w:pPr>
            <w:r w:rsidRPr="00C21C73">
              <w:rPr>
                <w:rFonts w:cs="Times New Roman"/>
                <w:color w:val="000000"/>
                <w:sz w:val="18"/>
                <w:szCs w:val="18"/>
                <w:lang w:val="fr-FR" w:eastAsia="de-DE"/>
              </w:rPr>
              <w:t>RI : 1</w:t>
            </w:r>
          </w:p>
          <w:p w14:paraId="0918BEA6" w14:textId="77777777" w:rsidR="004107C9" w:rsidRPr="004107C9" w:rsidRDefault="004107C9" w:rsidP="004107C9">
            <w:pPr>
              <w:suppressAutoHyphens w:val="0"/>
              <w:jc w:val="both"/>
              <w:rPr>
                <w:rFonts w:cs="Times New Roman"/>
                <w:i/>
                <w:color w:val="000000"/>
                <w:sz w:val="18"/>
                <w:szCs w:val="18"/>
                <w:lang w:val="fr-FR" w:eastAsia="de-DE"/>
              </w:rPr>
            </w:pPr>
          </w:p>
          <w:p w14:paraId="15568E3F" w14:textId="77777777" w:rsidR="004107C9" w:rsidRPr="004107C9" w:rsidRDefault="004107C9" w:rsidP="004107C9">
            <w:pPr>
              <w:suppressAutoHyphens w:val="0"/>
              <w:jc w:val="both"/>
              <w:rPr>
                <w:rFonts w:cs="Times New Roman"/>
                <w:sz w:val="18"/>
                <w:szCs w:val="18"/>
                <w:lang w:val="fr-FR" w:eastAsia="de-DE"/>
              </w:rPr>
            </w:pPr>
          </w:p>
          <w:p w14:paraId="349BB33F" w14:textId="77777777" w:rsidR="004107C9" w:rsidRPr="004107C9" w:rsidRDefault="004107C9" w:rsidP="004107C9">
            <w:pPr>
              <w:suppressAutoHyphens w:val="0"/>
              <w:jc w:val="both"/>
              <w:rPr>
                <w:rFonts w:cs="Times New Roman"/>
                <w:i/>
                <w:color w:val="000000"/>
                <w:sz w:val="18"/>
                <w:szCs w:val="18"/>
                <w:lang w:val="fr-FR" w:eastAsia="de-DE"/>
              </w:rPr>
            </w:pPr>
          </w:p>
        </w:tc>
      </w:tr>
      <w:tr w:rsidR="00695468" w:rsidRPr="004107C9" w14:paraId="3B0ABDAE" w14:textId="77777777" w:rsidTr="00BB55A0">
        <w:tc>
          <w:tcPr>
            <w:tcW w:w="430" w:type="pct"/>
          </w:tcPr>
          <w:p w14:paraId="0CF23D49" w14:textId="77777777" w:rsidR="004107C9" w:rsidRPr="004107C9" w:rsidRDefault="004107C9" w:rsidP="004107C9">
            <w:pPr>
              <w:suppressAutoHyphens w:val="0"/>
              <w:jc w:val="both"/>
              <w:rPr>
                <w:rFonts w:cs="Times New Roman"/>
                <w:i/>
                <w:iCs/>
                <w:color w:val="000000"/>
                <w:sz w:val="18"/>
                <w:szCs w:val="18"/>
                <w:lang w:val="fr-BE" w:eastAsia="de-DE"/>
              </w:rPr>
            </w:pPr>
            <w:r w:rsidRPr="003A4095">
              <w:rPr>
                <w:rFonts w:cs="Times New Roman"/>
                <w:iCs/>
                <w:color w:val="000000"/>
                <w:sz w:val="18"/>
                <w:szCs w:val="18"/>
                <w:lang w:val="fr-BE" w:eastAsia="de-DE"/>
              </w:rPr>
              <w:t>Bactericid</w:t>
            </w:r>
            <w:r w:rsidRPr="004107C9">
              <w:rPr>
                <w:rFonts w:cs="Times New Roman"/>
                <w:i/>
                <w:iCs/>
                <w:color w:val="000000"/>
                <w:sz w:val="18"/>
                <w:szCs w:val="18"/>
                <w:lang w:val="fr-BE" w:eastAsia="de-DE"/>
              </w:rPr>
              <w:t>e</w:t>
            </w:r>
          </w:p>
        </w:tc>
        <w:tc>
          <w:tcPr>
            <w:tcW w:w="576" w:type="pct"/>
          </w:tcPr>
          <w:p w14:paraId="0996C63D" w14:textId="77777777" w:rsidR="004107C9" w:rsidRDefault="004107C9" w:rsidP="004107C9">
            <w:pPr>
              <w:suppressAutoHyphens w:val="0"/>
              <w:jc w:val="both"/>
              <w:rPr>
                <w:rFonts w:cs="Times New Roman"/>
                <w:color w:val="000000"/>
                <w:sz w:val="18"/>
                <w:szCs w:val="18"/>
                <w:lang w:val="fr-BE" w:eastAsia="de-DE"/>
              </w:rPr>
            </w:pPr>
            <w:r w:rsidRPr="004107C9">
              <w:rPr>
                <w:rFonts w:cs="Times New Roman"/>
                <w:color w:val="000000"/>
                <w:sz w:val="18"/>
                <w:szCs w:val="18"/>
                <w:lang w:val="fr-BE" w:eastAsia="de-DE"/>
              </w:rPr>
              <w:t>PT3</w:t>
            </w:r>
          </w:p>
          <w:p w14:paraId="74AFAA00" w14:textId="77777777" w:rsidR="0010121A" w:rsidRPr="004107C9" w:rsidRDefault="0010121A" w:rsidP="0010121A">
            <w:pPr>
              <w:suppressAutoHyphens w:val="0"/>
              <w:jc w:val="both"/>
              <w:rPr>
                <w:rFonts w:cs="Times New Roman"/>
                <w:color w:val="000000"/>
                <w:sz w:val="18"/>
                <w:szCs w:val="18"/>
                <w:lang w:eastAsia="de-DE"/>
              </w:rPr>
            </w:pPr>
            <w:r>
              <w:rPr>
                <w:rFonts w:cs="Times New Roman"/>
                <w:color w:val="000000"/>
                <w:sz w:val="18"/>
                <w:szCs w:val="18"/>
                <w:lang w:eastAsia="de-DE"/>
              </w:rPr>
              <w:t>Teat disinfection</w:t>
            </w:r>
          </w:p>
          <w:p w14:paraId="4425C427" w14:textId="38C8C769" w:rsidR="0010121A" w:rsidRPr="004107C9" w:rsidRDefault="0010121A" w:rsidP="004107C9">
            <w:pPr>
              <w:suppressAutoHyphens w:val="0"/>
              <w:jc w:val="both"/>
              <w:rPr>
                <w:rFonts w:cs="Times New Roman"/>
                <w:color w:val="000000"/>
                <w:sz w:val="18"/>
                <w:szCs w:val="18"/>
                <w:lang w:val="fr-BE" w:eastAsia="de-DE"/>
              </w:rPr>
            </w:pPr>
          </w:p>
        </w:tc>
        <w:tc>
          <w:tcPr>
            <w:tcW w:w="577" w:type="pct"/>
          </w:tcPr>
          <w:p w14:paraId="1C63E8F3" w14:textId="77777777" w:rsidR="00EE0D1A" w:rsidRDefault="004107C9" w:rsidP="004107C9">
            <w:pPr>
              <w:suppressAutoHyphens w:val="0"/>
              <w:rPr>
                <w:rFonts w:cs="Times New Roman"/>
                <w:i/>
                <w:color w:val="000000"/>
                <w:sz w:val="18"/>
                <w:szCs w:val="18"/>
                <w:lang w:val="en-US" w:eastAsia="de-DE"/>
              </w:rPr>
            </w:pPr>
            <w:r w:rsidRPr="004107C9">
              <w:rPr>
                <w:rFonts w:cs="Times New Roman"/>
                <w:i/>
                <w:color w:val="000000"/>
                <w:sz w:val="18"/>
                <w:szCs w:val="18"/>
                <w:lang w:val="en-US" w:eastAsia="de-DE"/>
              </w:rPr>
              <w:t>ALGOFILM (0.9% of PVPI</w:t>
            </w:r>
            <w:r w:rsidR="002A0B13" w:rsidRPr="004107C9">
              <w:rPr>
                <w:rFonts w:cs="Times New Roman"/>
                <w:i/>
                <w:iCs/>
                <w:color w:val="000000"/>
                <w:sz w:val="18"/>
                <w:szCs w:val="18"/>
                <w:lang w:eastAsia="de-DE"/>
              </w:rPr>
              <w:t xml:space="preserve">, </w:t>
            </w:r>
            <w:r w:rsidR="002A0B13">
              <w:rPr>
                <w:rFonts w:cs="Times New Roman"/>
                <w:i/>
                <w:iCs/>
                <w:color w:val="000000"/>
                <w:sz w:val="18"/>
                <w:szCs w:val="18"/>
                <w:lang w:eastAsia="de-DE"/>
              </w:rPr>
              <w:t xml:space="preserve">0.08% </w:t>
            </w:r>
            <w:r w:rsidR="002A0B13" w:rsidRPr="004107C9">
              <w:rPr>
                <w:rFonts w:cs="Times New Roman"/>
                <w:i/>
                <w:iCs/>
                <w:color w:val="000000"/>
                <w:sz w:val="18"/>
                <w:szCs w:val="18"/>
                <w:lang w:eastAsia="de-DE"/>
              </w:rPr>
              <w:t>lactic acid</w:t>
            </w:r>
            <w:r w:rsidRPr="004107C9">
              <w:rPr>
                <w:rFonts w:cs="Times New Roman"/>
                <w:i/>
                <w:color w:val="000000"/>
                <w:sz w:val="18"/>
                <w:szCs w:val="18"/>
                <w:lang w:val="en-US" w:eastAsia="de-DE"/>
              </w:rPr>
              <w:t xml:space="preserve">) </w:t>
            </w:r>
          </w:p>
          <w:p w14:paraId="77E2F391" w14:textId="721EA319" w:rsidR="004107C9" w:rsidRPr="004107C9" w:rsidRDefault="004107C9" w:rsidP="004107C9">
            <w:pPr>
              <w:suppressAutoHyphens w:val="0"/>
              <w:rPr>
                <w:rFonts w:cs="Times New Roman"/>
                <w:i/>
                <w:color w:val="000000"/>
                <w:sz w:val="18"/>
                <w:szCs w:val="18"/>
                <w:lang w:val="en-US" w:eastAsia="de-DE"/>
              </w:rPr>
            </w:pPr>
            <w:r w:rsidRPr="004107C9">
              <w:rPr>
                <w:rFonts w:cs="Times New Roman"/>
                <w:i/>
                <w:color w:val="000000"/>
                <w:sz w:val="18"/>
                <w:szCs w:val="18"/>
                <w:lang w:val="en-US" w:eastAsia="de-DE"/>
              </w:rPr>
              <w:t>fresh sample</w:t>
            </w:r>
          </w:p>
        </w:tc>
        <w:tc>
          <w:tcPr>
            <w:tcW w:w="623" w:type="pct"/>
          </w:tcPr>
          <w:p w14:paraId="58A6F4FD" w14:textId="58AF53CB" w:rsidR="004107C9" w:rsidRPr="00EE62BE" w:rsidRDefault="00EE62BE" w:rsidP="00EE0D1A">
            <w:pPr>
              <w:suppressAutoHyphens w:val="0"/>
              <w:jc w:val="both"/>
              <w:rPr>
                <w:rFonts w:eastAsia="Calibri" w:cs="Times New Roman"/>
                <w:i/>
                <w:sz w:val="18"/>
                <w:szCs w:val="18"/>
                <w:lang w:val="fr-BE" w:eastAsia="en-US"/>
              </w:rPr>
            </w:pPr>
            <w:r w:rsidRPr="00EE62BE">
              <w:rPr>
                <w:rFonts w:eastAsia="Calibri" w:cs="Times New Roman"/>
                <w:i/>
                <w:sz w:val="18"/>
                <w:szCs w:val="18"/>
                <w:lang w:val="fr-BE" w:eastAsia="en-US"/>
              </w:rPr>
              <w:t>Streptococcus uberis Staphy</w:t>
            </w:r>
            <w:r w:rsidR="004107C9" w:rsidRPr="00EE62BE">
              <w:rPr>
                <w:rFonts w:eastAsia="Calibri" w:cs="Times New Roman"/>
                <w:i/>
                <w:sz w:val="18"/>
                <w:szCs w:val="18"/>
                <w:lang w:val="fr-BE" w:eastAsia="en-US"/>
              </w:rPr>
              <w:t>lococcus aureus Escherichia coli</w:t>
            </w:r>
          </w:p>
        </w:tc>
        <w:tc>
          <w:tcPr>
            <w:tcW w:w="528" w:type="pct"/>
          </w:tcPr>
          <w:p w14:paraId="18117CBB" w14:textId="46B7FC8A" w:rsidR="004107C9" w:rsidRPr="004107C9" w:rsidRDefault="004107C9" w:rsidP="00B528F6">
            <w:pPr>
              <w:suppressAutoHyphens w:val="0"/>
              <w:jc w:val="both"/>
              <w:rPr>
                <w:rFonts w:cs="Times New Roman"/>
                <w:color w:val="000000"/>
                <w:sz w:val="18"/>
                <w:szCs w:val="18"/>
                <w:lang w:val="fr-BE" w:eastAsia="de-DE"/>
              </w:rPr>
            </w:pPr>
            <w:r w:rsidRPr="004107C9">
              <w:rPr>
                <w:rFonts w:cs="Times New Roman"/>
                <w:color w:val="000000"/>
                <w:sz w:val="18"/>
                <w:szCs w:val="18"/>
                <w:lang w:val="fr-BE" w:eastAsia="de-DE"/>
              </w:rPr>
              <w:t>prEN17422 (June 2020)</w:t>
            </w:r>
          </w:p>
        </w:tc>
        <w:tc>
          <w:tcPr>
            <w:tcW w:w="815" w:type="pct"/>
          </w:tcPr>
          <w:p w14:paraId="71EADE35" w14:textId="77777777" w:rsidR="004107C9" w:rsidRPr="004107C9" w:rsidRDefault="004107C9" w:rsidP="004107C9">
            <w:pPr>
              <w:suppressAutoHyphens w:val="0"/>
              <w:rPr>
                <w:rFonts w:cs="Times New Roman"/>
                <w:color w:val="000000"/>
                <w:sz w:val="18"/>
                <w:szCs w:val="18"/>
                <w:lang w:eastAsia="de-DE"/>
              </w:rPr>
            </w:pPr>
            <w:r w:rsidRPr="004107C9">
              <w:rPr>
                <w:rFonts w:cs="Times New Roman"/>
                <w:color w:val="000000"/>
                <w:sz w:val="18"/>
                <w:szCs w:val="18"/>
                <w:lang w:eastAsia="de-DE"/>
              </w:rPr>
              <w:t>Phase 2 step 2 test (surface test)</w:t>
            </w:r>
          </w:p>
          <w:p w14:paraId="5A5B9402" w14:textId="77777777" w:rsidR="004107C9" w:rsidRPr="004107C9" w:rsidRDefault="004107C9" w:rsidP="004107C9">
            <w:pPr>
              <w:suppressAutoHyphens w:val="0"/>
              <w:jc w:val="both"/>
              <w:rPr>
                <w:rFonts w:cs="Times New Roman"/>
                <w:color w:val="000000"/>
                <w:sz w:val="18"/>
                <w:szCs w:val="18"/>
                <w:lang w:val="en-US" w:eastAsia="de-DE"/>
              </w:rPr>
            </w:pPr>
          </w:p>
          <w:p w14:paraId="0649FB34" w14:textId="77777777"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eastAsia="de-DE"/>
              </w:rPr>
              <w:t xml:space="preserve">Concentration tested: </w:t>
            </w:r>
            <w:r w:rsidRPr="004107C9">
              <w:rPr>
                <w:rFonts w:cs="Times New Roman"/>
                <w:color w:val="000000"/>
                <w:sz w:val="18"/>
                <w:szCs w:val="18"/>
                <w:lang w:val="en-US" w:eastAsia="de-DE"/>
              </w:rPr>
              <w:t>10% – 80% – 100%</w:t>
            </w:r>
          </w:p>
          <w:p w14:paraId="5F36B1A3" w14:textId="037AEC48"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val="en-US" w:eastAsia="de-DE"/>
              </w:rPr>
              <w:t>Temperature: 30°C</w:t>
            </w:r>
          </w:p>
          <w:p w14:paraId="50499973" w14:textId="7E61C021"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val="en-US" w:eastAsia="de-DE"/>
              </w:rPr>
              <w:lastRenderedPageBreak/>
              <w:t xml:space="preserve">Contact </w:t>
            </w:r>
            <w:r w:rsidR="00EE0D1A">
              <w:rPr>
                <w:rFonts w:cs="Times New Roman"/>
                <w:color w:val="000000"/>
                <w:sz w:val="18"/>
                <w:szCs w:val="18"/>
                <w:lang w:val="en-US" w:eastAsia="de-DE"/>
              </w:rPr>
              <w:t>t</w:t>
            </w:r>
            <w:r w:rsidRPr="004107C9">
              <w:rPr>
                <w:rFonts w:cs="Times New Roman"/>
                <w:color w:val="000000"/>
                <w:sz w:val="18"/>
                <w:szCs w:val="18"/>
                <w:lang w:val="en-US" w:eastAsia="de-DE"/>
              </w:rPr>
              <w:t>ime: 5 min</w:t>
            </w:r>
          </w:p>
          <w:p w14:paraId="3290A573" w14:textId="28FE997D"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val="en-US" w:eastAsia="de-DE"/>
              </w:rPr>
              <w:t>Interfering substance: 1% skimmed milk powder</w:t>
            </w:r>
          </w:p>
          <w:p w14:paraId="44759089" w14:textId="77777777" w:rsidR="00EE0D1A" w:rsidRDefault="00EE0D1A" w:rsidP="004107C9">
            <w:pPr>
              <w:suppressAutoHyphens w:val="0"/>
              <w:jc w:val="both"/>
              <w:rPr>
                <w:rFonts w:cs="Times New Roman"/>
                <w:color w:val="000000"/>
                <w:sz w:val="18"/>
                <w:szCs w:val="18"/>
                <w:lang w:eastAsia="de-DE"/>
              </w:rPr>
            </w:pPr>
          </w:p>
          <w:p w14:paraId="00489E7A" w14:textId="1785B5A9"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eastAsia="de-DE"/>
              </w:rPr>
              <w:t>Criteria: at least a 4 log reduction</w:t>
            </w:r>
          </w:p>
        </w:tc>
        <w:tc>
          <w:tcPr>
            <w:tcW w:w="958" w:type="pct"/>
          </w:tcPr>
          <w:p w14:paraId="7CF462B1" w14:textId="77777777" w:rsidR="004107C9" w:rsidRPr="004107C9" w:rsidRDefault="004107C9" w:rsidP="004107C9">
            <w:pPr>
              <w:suppressAutoHyphens w:val="0"/>
              <w:rPr>
                <w:rFonts w:cs="Times New Roman"/>
                <w:color w:val="000000"/>
                <w:sz w:val="18"/>
                <w:szCs w:val="18"/>
                <w:lang w:val="en-US" w:eastAsia="de-DE"/>
              </w:rPr>
            </w:pPr>
            <w:r w:rsidRPr="004107C9">
              <w:rPr>
                <w:rFonts w:cs="Times New Roman"/>
                <w:color w:val="000000"/>
                <w:sz w:val="18"/>
                <w:szCs w:val="18"/>
                <w:lang w:eastAsia="de-DE"/>
              </w:rPr>
              <w:lastRenderedPageBreak/>
              <w:t xml:space="preserve">Bactericidal activity demonstrated at </w:t>
            </w:r>
            <w:r w:rsidRPr="004107C9">
              <w:rPr>
                <w:rFonts w:cs="Times New Roman"/>
                <w:color w:val="000000"/>
                <w:sz w:val="18"/>
                <w:szCs w:val="18"/>
                <w:lang w:val="en-US" w:eastAsia="de-DE"/>
              </w:rPr>
              <w:t xml:space="preserve">80% v/v </w:t>
            </w:r>
          </w:p>
        </w:tc>
        <w:tc>
          <w:tcPr>
            <w:tcW w:w="493" w:type="pct"/>
          </w:tcPr>
          <w:p w14:paraId="467B1F3B" w14:textId="77777777" w:rsidR="004107C9" w:rsidRPr="00C21C73" w:rsidRDefault="004107C9" w:rsidP="004107C9">
            <w:pPr>
              <w:suppressAutoHyphens w:val="0"/>
              <w:jc w:val="both"/>
              <w:rPr>
                <w:rFonts w:cs="Times New Roman"/>
                <w:color w:val="000000"/>
                <w:sz w:val="18"/>
                <w:szCs w:val="18"/>
                <w:lang w:val="en-US" w:eastAsia="de-DE"/>
              </w:rPr>
            </w:pPr>
            <w:r w:rsidRPr="00C21C73">
              <w:rPr>
                <w:rFonts w:cs="Times New Roman"/>
                <w:color w:val="000000"/>
                <w:sz w:val="18"/>
                <w:szCs w:val="18"/>
                <w:lang w:val="en-US" w:eastAsia="de-DE"/>
              </w:rPr>
              <w:t xml:space="preserve">LMH Efficacy test for bactericidal activity according to prNF </w:t>
            </w:r>
            <w:r w:rsidRPr="00C21C73">
              <w:rPr>
                <w:rFonts w:cs="Times New Roman"/>
                <w:color w:val="000000"/>
                <w:sz w:val="18"/>
                <w:szCs w:val="18"/>
                <w:lang w:val="en-US" w:eastAsia="de-DE"/>
              </w:rPr>
              <w:lastRenderedPageBreak/>
              <w:t>EN17422 (june 2020) – No6166-1 – AF Gabillet</w:t>
            </w:r>
          </w:p>
          <w:p w14:paraId="73F13C6F" w14:textId="77777777" w:rsidR="00E7229F" w:rsidRPr="003A4095" w:rsidRDefault="00E7229F" w:rsidP="004107C9">
            <w:pPr>
              <w:suppressAutoHyphens w:val="0"/>
              <w:jc w:val="both"/>
              <w:rPr>
                <w:rFonts w:cs="Times New Roman"/>
                <w:color w:val="000000"/>
                <w:sz w:val="18"/>
                <w:szCs w:val="18"/>
                <w:lang w:val="en-US" w:eastAsia="de-DE"/>
              </w:rPr>
            </w:pPr>
          </w:p>
          <w:p w14:paraId="7C69F71E" w14:textId="2AEA2745" w:rsidR="004107C9" w:rsidRPr="00C21C73" w:rsidRDefault="004107C9" w:rsidP="004107C9">
            <w:pPr>
              <w:suppressAutoHyphens w:val="0"/>
              <w:jc w:val="both"/>
              <w:rPr>
                <w:rFonts w:cs="Times New Roman"/>
                <w:sz w:val="18"/>
                <w:szCs w:val="18"/>
                <w:lang w:val="fr-FR" w:eastAsia="de-DE"/>
              </w:rPr>
            </w:pPr>
            <w:r w:rsidRPr="00C21C73">
              <w:rPr>
                <w:rFonts w:cs="Times New Roman"/>
                <w:color w:val="000000"/>
                <w:sz w:val="18"/>
                <w:szCs w:val="18"/>
                <w:lang w:val="fr-FR" w:eastAsia="de-DE"/>
              </w:rPr>
              <w:t>RI : 1</w:t>
            </w:r>
          </w:p>
          <w:p w14:paraId="083A2E31" w14:textId="77777777" w:rsidR="004107C9" w:rsidRPr="00C21C73" w:rsidRDefault="004107C9" w:rsidP="004107C9">
            <w:pPr>
              <w:suppressAutoHyphens w:val="0"/>
              <w:jc w:val="both"/>
              <w:rPr>
                <w:rFonts w:cs="Times New Roman"/>
                <w:color w:val="000000"/>
                <w:sz w:val="18"/>
                <w:szCs w:val="18"/>
                <w:lang w:val="en-US" w:eastAsia="de-DE"/>
              </w:rPr>
            </w:pPr>
          </w:p>
        </w:tc>
      </w:tr>
      <w:tr w:rsidR="00695468" w:rsidRPr="004107C9" w14:paraId="6EA9FAB6" w14:textId="77777777" w:rsidTr="00BB55A0">
        <w:tc>
          <w:tcPr>
            <w:tcW w:w="430" w:type="pct"/>
          </w:tcPr>
          <w:p w14:paraId="261B98AD" w14:textId="77777777" w:rsidR="004107C9" w:rsidRPr="003A4095" w:rsidRDefault="004107C9" w:rsidP="004107C9">
            <w:pPr>
              <w:suppressAutoHyphens w:val="0"/>
              <w:jc w:val="both"/>
              <w:rPr>
                <w:rFonts w:cs="Times New Roman"/>
                <w:iCs/>
                <w:color w:val="000000"/>
                <w:sz w:val="18"/>
                <w:szCs w:val="18"/>
                <w:lang w:val="fr-BE" w:eastAsia="de-DE"/>
              </w:rPr>
            </w:pPr>
            <w:r w:rsidRPr="003A4095">
              <w:rPr>
                <w:rFonts w:cs="Times New Roman"/>
                <w:iCs/>
                <w:color w:val="000000"/>
                <w:sz w:val="18"/>
                <w:szCs w:val="18"/>
                <w:lang w:val="fr-BE" w:eastAsia="de-DE"/>
              </w:rPr>
              <w:lastRenderedPageBreak/>
              <w:t>Bactericide</w:t>
            </w:r>
          </w:p>
        </w:tc>
        <w:tc>
          <w:tcPr>
            <w:tcW w:w="576" w:type="pct"/>
          </w:tcPr>
          <w:p w14:paraId="03EDF741" w14:textId="77777777" w:rsidR="004107C9" w:rsidRDefault="004107C9" w:rsidP="004107C9">
            <w:pPr>
              <w:suppressAutoHyphens w:val="0"/>
              <w:jc w:val="both"/>
              <w:rPr>
                <w:rFonts w:cs="Times New Roman"/>
                <w:color w:val="000000"/>
                <w:sz w:val="18"/>
                <w:szCs w:val="18"/>
                <w:lang w:val="fr-BE" w:eastAsia="de-DE"/>
              </w:rPr>
            </w:pPr>
            <w:r w:rsidRPr="004107C9">
              <w:rPr>
                <w:rFonts w:cs="Times New Roman"/>
                <w:color w:val="000000"/>
                <w:sz w:val="18"/>
                <w:szCs w:val="18"/>
                <w:lang w:val="fr-BE" w:eastAsia="de-DE"/>
              </w:rPr>
              <w:t>PT3</w:t>
            </w:r>
          </w:p>
          <w:p w14:paraId="413B576E" w14:textId="77777777" w:rsidR="0010121A" w:rsidRPr="004107C9" w:rsidRDefault="0010121A" w:rsidP="0010121A">
            <w:pPr>
              <w:suppressAutoHyphens w:val="0"/>
              <w:jc w:val="both"/>
              <w:rPr>
                <w:rFonts w:cs="Times New Roman"/>
                <w:color w:val="000000"/>
                <w:sz w:val="18"/>
                <w:szCs w:val="18"/>
                <w:lang w:eastAsia="de-DE"/>
              </w:rPr>
            </w:pPr>
            <w:r>
              <w:rPr>
                <w:rFonts w:cs="Times New Roman"/>
                <w:color w:val="000000"/>
                <w:sz w:val="18"/>
                <w:szCs w:val="18"/>
                <w:lang w:eastAsia="de-DE"/>
              </w:rPr>
              <w:t>Teat disinfection</w:t>
            </w:r>
          </w:p>
          <w:p w14:paraId="0BBCDDDF" w14:textId="4FB8E9CB" w:rsidR="0010121A" w:rsidRPr="004107C9" w:rsidRDefault="0010121A" w:rsidP="004107C9">
            <w:pPr>
              <w:suppressAutoHyphens w:val="0"/>
              <w:jc w:val="both"/>
              <w:rPr>
                <w:rFonts w:cs="Times New Roman"/>
                <w:color w:val="000000"/>
                <w:sz w:val="18"/>
                <w:szCs w:val="18"/>
                <w:lang w:val="fr-BE" w:eastAsia="de-DE"/>
              </w:rPr>
            </w:pPr>
          </w:p>
        </w:tc>
        <w:tc>
          <w:tcPr>
            <w:tcW w:w="577" w:type="pct"/>
          </w:tcPr>
          <w:p w14:paraId="6D19DC71" w14:textId="77777777" w:rsidR="00EE0D1A" w:rsidRDefault="004107C9" w:rsidP="004107C9">
            <w:pPr>
              <w:suppressAutoHyphens w:val="0"/>
              <w:rPr>
                <w:rFonts w:cs="Times New Roman"/>
                <w:i/>
                <w:color w:val="000000"/>
                <w:sz w:val="18"/>
                <w:szCs w:val="18"/>
                <w:lang w:val="en-US" w:eastAsia="de-DE"/>
              </w:rPr>
            </w:pPr>
            <w:r w:rsidRPr="00EE62BE">
              <w:rPr>
                <w:rFonts w:cs="Times New Roman"/>
                <w:i/>
                <w:color w:val="000000"/>
                <w:sz w:val="18"/>
                <w:szCs w:val="18"/>
                <w:lang w:val="en-US" w:eastAsia="de-DE"/>
              </w:rPr>
              <w:t>ALGOFILM (0.9% of PVPI</w:t>
            </w:r>
            <w:r w:rsidR="002A0B13" w:rsidRPr="00EE62BE">
              <w:rPr>
                <w:rFonts w:cs="Times New Roman"/>
                <w:i/>
                <w:iCs/>
                <w:color w:val="000000"/>
                <w:sz w:val="18"/>
                <w:szCs w:val="18"/>
                <w:lang w:eastAsia="de-DE"/>
              </w:rPr>
              <w:t>, 0.08% lactic acid</w:t>
            </w:r>
            <w:r w:rsidRPr="00EE62BE">
              <w:rPr>
                <w:rFonts w:cs="Times New Roman"/>
                <w:i/>
                <w:color w:val="000000"/>
                <w:sz w:val="18"/>
                <w:szCs w:val="18"/>
                <w:lang w:val="en-US" w:eastAsia="de-DE"/>
              </w:rPr>
              <w:t xml:space="preserve">) </w:t>
            </w:r>
          </w:p>
          <w:p w14:paraId="67987041" w14:textId="28AF6DF3" w:rsidR="004107C9" w:rsidRPr="00EE62BE" w:rsidRDefault="004107C9" w:rsidP="004107C9">
            <w:pPr>
              <w:suppressAutoHyphens w:val="0"/>
              <w:rPr>
                <w:rFonts w:cs="Times New Roman"/>
                <w:i/>
                <w:color w:val="000000"/>
                <w:sz w:val="18"/>
                <w:szCs w:val="18"/>
                <w:lang w:val="en-US" w:eastAsia="de-DE"/>
              </w:rPr>
            </w:pPr>
            <w:r w:rsidRPr="00EE62BE">
              <w:rPr>
                <w:rFonts w:cs="Times New Roman"/>
                <w:i/>
                <w:color w:val="000000"/>
                <w:sz w:val="18"/>
                <w:szCs w:val="18"/>
                <w:lang w:val="en-US" w:eastAsia="de-DE"/>
              </w:rPr>
              <w:t>6 months aged sample</w:t>
            </w:r>
          </w:p>
        </w:tc>
        <w:tc>
          <w:tcPr>
            <w:tcW w:w="623" w:type="pct"/>
          </w:tcPr>
          <w:p w14:paraId="5E1748F3" w14:textId="5F7A03BA" w:rsidR="004107C9" w:rsidRPr="00EE62BE" w:rsidRDefault="00EE62BE" w:rsidP="004107C9">
            <w:pPr>
              <w:suppressAutoHyphens w:val="0"/>
              <w:jc w:val="both"/>
              <w:rPr>
                <w:rFonts w:eastAsia="Calibri" w:cs="Times New Roman"/>
                <w:i/>
                <w:sz w:val="18"/>
                <w:szCs w:val="18"/>
                <w:lang w:val="fr-BE" w:eastAsia="en-US"/>
              </w:rPr>
            </w:pPr>
            <w:r w:rsidRPr="00EE62BE">
              <w:rPr>
                <w:rFonts w:eastAsia="Calibri" w:cs="Times New Roman"/>
                <w:i/>
                <w:sz w:val="18"/>
                <w:szCs w:val="18"/>
                <w:lang w:val="fr-BE" w:eastAsia="en-US"/>
              </w:rPr>
              <w:t>Streptococcus uberis Staphy</w:t>
            </w:r>
            <w:r w:rsidR="004107C9" w:rsidRPr="00EE62BE">
              <w:rPr>
                <w:rFonts w:eastAsia="Calibri" w:cs="Times New Roman"/>
                <w:i/>
                <w:sz w:val="18"/>
                <w:szCs w:val="18"/>
                <w:lang w:val="fr-BE" w:eastAsia="en-US"/>
              </w:rPr>
              <w:t>lococcus aureus Escherichia coli</w:t>
            </w:r>
          </w:p>
        </w:tc>
        <w:tc>
          <w:tcPr>
            <w:tcW w:w="528" w:type="pct"/>
          </w:tcPr>
          <w:p w14:paraId="3E567C3A" w14:textId="2FB08ECB" w:rsidR="004107C9" w:rsidRPr="004107C9" w:rsidRDefault="004107C9" w:rsidP="00B528F6">
            <w:pPr>
              <w:suppressAutoHyphens w:val="0"/>
              <w:jc w:val="both"/>
              <w:rPr>
                <w:rFonts w:cs="Times New Roman"/>
                <w:color w:val="000000"/>
                <w:sz w:val="18"/>
                <w:szCs w:val="18"/>
                <w:lang w:val="fr-BE" w:eastAsia="de-DE"/>
              </w:rPr>
            </w:pPr>
            <w:r w:rsidRPr="004107C9">
              <w:rPr>
                <w:rFonts w:cs="Times New Roman"/>
                <w:color w:val="000000"/>
                <w:sz w:val="18"/>
                <w:szCs w:val="18"/>
                <w:lang w:val="fr-BE" w:eastAsia="de-DE"/>
              </w:rPr>
              <w:t>prEN17422 (June 2020)</w:t>
            </w:r>
          </w:p>
        </w:tc>
        <w:tc>
          <w:tcPr>
            <w:tcW w:w="815" w:type="pct"/>
          </w:tcPr>
          <w:p w14:paraId="16E890C5" w14:textId="77777777" w:rsidR="004107C9" w:rsidRPr="004107C9"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Phase 2 step 2 test (surface test)</w:t>
            </w:r>
          </w:p>
          <w:p w14:paraId="730684EB" w14:textId="77777777" w:rsidR="004107C9" w:rsidRPr="004107C9" w:rsidRDefault="004107C9" w:rsidP="004107C9">
            <w:pPr>
              <w:suppressAutoHyphens w:val="0"/>
              <w:jc w:val="both"/>
              <w:rPr>
                <w:rFonts w:cs="Times New Roman"/>
                <w:color w:val="000000"/>
                <w:sz w:val="18"/>
                <w:szCs w:val="18"/>
                <w:lang w:eastAsia="de-DE"/>
              </w:rPr>
            </w:pPr>
          </w:p>
          <w:p w14:paraId="5C2623C8" w14:textId="77777777"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val="en-US" w:eastAsia="de-DE"/>
              </w:rPr>
              <w:t>Concentration tested : 10% – 80% – 100%</w:t>
            </w:r>
          </w:p>
          <w:p w14:paraId="3E378599" w14:textId="7599E4C3"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val="en-US" w:eastAsia="de-DE"/>
              </w:rPr>
              <w:t>Temperature: 30°C</w:t>
            </w:r>
          </w:p>
          <w:p w14:paraId="730D2588" w14:textId="65649D23"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val="en-US" w:eastAsia="de-DE"/>
              </w:rPr>
              <w:t xml:space="preserve">Contact </w:t>
            </w:r>
            <w:r w:rsidR="00EE0D1A">
              <w:rPr>
                <w:rFonts w:cs="Times New Roman"/>
                <w:color w:val="000000"/>
                <w:sz w:val="18"/>
                <w:szCs w:val="18"/>
                <w:lang w:val="en-US" w:eastAsia="de-DE"/>
              </w:rPr>
              <w:t>t</w:t>
            </w:r>
            <w:r w:rsidRPr="004107C9">
              <w:rPr>
                <w:rFonts w:cs="Times New Roman"/>
                <w:color w:val="000000"/>
                <w:sz w:val="18"/>
                <w:szCs w:val="18"/>
                <w:lang w:val="en-US" w:eastAsia="de-DE"/>
              </w:rPr>
              <w:t>ime: 5 min</w:t>
            </w:r>
          </w:p>
          <w:p w14:paraId="5A65C246" w14:textId="649628F9" w:rsidR="004107C9" w:rsidRPr="004107C9" w:rsidRDefault="004107C9" w:rsidP="004107C9">
            <w:pPr>
              <w:suppressAutoHyphens w:val="0"/>
              <w:jc w:val="both"/>
              <w:rPr>
                <w:rFonts w:cs="Times New Roman"/>
                <w:color w:val="000000"/>
                <w:sz w:val="18"/>
                <w:szCs w:val="18"/>
                <w:lang w:val="en-US" w:eastAsia="de-DE"/>
              </w:rPr>
            </w:pPr>
            <w:r w:rsidRPr="004107C9">
              <w:rPr>
                <w:rFonts w:cs="Times New Roman"/>
                <w:color w:val="000000"/>
                <w:sz w:val="18"/>
                <w:szCs w:val="18"/>
                <w:lang w:val="en-US" w:eastAsia="de-DE"/>
              </w:rPr>
              <w:t>Interfering substance: 1% skimmed milk powder</w:t>
            </w:r>
          </w:p>
          <w:p w14:paraId="56BDEFCA" w14:textId="77777777" w:rsidR="00EE0D1A" w:rsidRDefault="00EE0D1A" w:rsidP="004107C9">
            <w:pPr>
              <w:suppressAutoHyphens w:val="0"/>
              <w:jc w:val="both"/>
              <w:rPr>
                <w:rFonts w:cs="Times New Roman"/>
                <w:color w:val="000000"/>
                <w:sz w:val="18"/>
                <w:szCs w:val="18"/>
                <w:lang w:eastAsia="de-DE"/>
              </w:rPr>
            </w:pPr>
          </w:p>
          <w:p w14:paraId="0CDAD89D" w14:textId="0B22F281" w:rsidR="004107C9" w:rsidRPr="005272CD" w:rsidRDefault="004107C9" w:rsidP="004107C9">
            <w:pPr>
              <w:suppressAutoHyphens w:val="0"/>
              <w:jc w:val="both"/>
              <w:rPr>
                <w:rFonts w:cs="Times New Roman"/>
                <w:color w:val="000000"/>
                <w:sz w:val="18"/>
                <w:szCs w:val="18"/>
                <w:lang w:eastAsia="de-DE"/>
              </w:rPr>
            </w:pPr>
            <w:r w:rsidRPr="004107C9">
              <w:rPr>
                <w:rFonts w:cs="Times New Roman"/>
                <w:color w:val="000000"/>
                <w:sz w:val="18"/>
                <w:szCs w:val="18"/>
                <w:lang w:eastAsia="de-DE"/>
              </w:rPr>
              <w:t>Criteria: at least a 4 log reduction</w:t>
            </w:r>
          </w:p>
        </w:tc>
        <w:tc>
          <w:tcPr>
            <w:tcW w:w="958" w:type="pct"/>
          </w:tcPr>
          <w:p w14:paraId="42B4C911" w14:textId="77777777" w:rsidR="004107C9" w:rsidRPr="004107C9" w:rsidRDefault="004107C9" w:rsidP="004107C9">
            <w:pPr>
              <w:suppressAutoHyphens w:val="0"/>
              <w:rPr>
                <w:rFonts w:cs="Times New Roman"/>
                <w:color w:val="000000"/>
                <w:sz w:val="18"/>
                <w:szCs w:val="18"/>
                <w:lang w:val="en-US" w:eastAsia="de-DE"/>
              </w:rPr>
            </w:pPr>
            <w:r w:rsidRPr="004107C9">
              <w:rPr>
                <w:rFonts w:cs="Times New Roman"/>
                <w:color w:val="000000"/>
                <w:sz w:val="18"/>
                <w:szCs w:val="18"/>
                <w:lang w:eastAsia="de-DE"/>
              </w:rPr>
              <w:t xml:space="preserve">Bactericidal activity demonstrated at </w:t>
            </w:r>
            <w:r w:rsidRPr="004107C9">
              <w:rPr>
                <w:rFonts w:cs="Times New Roman"/>
                <w:color w:val="000000"/>
                <w:sz w:val="18"/>
                <w:szCs w:val="18"/>
                <w:lang w:val="en-US" w:eastAsia="de-DE"/>
              </w:rPr>
              <w:t>80% v/v</w:t>
            </w:r>
          </w:p>
        </w:tc>
        <w:tc>
          <w:tcPr>
            <w:tcW w:w="493" w:type="pct"/>
          </w:tcPr>
          <w:p w14:paraId="2C925656" w14:textId="1FD19097" w:rsidR="004107C9" w:rsidRPr="004107C9" w:rsidRDefault="004107C9" w:rsidP="004107C9">
            <w:pPr>
              <w:suppressAutoHyphens w:val="0"/>
              <w:jc w:val="both"/>
              <w:rPr>
                <w:rFonts w:cs="Times New Roman"/>
                <w:i/>
                <w:color w:val="000000"/>
                <w:sz w:val="18"/>
                <w:szCs w:val="18"/>
                <w:lang w:val="en-US" w:eastAsia="de-DE"/>
              </w:rPr>
            </w:pPr>
            <w:r w:rsidRPr="004107C9">
              <w:rPr>
                <w:rFonts w:cs="Times New Roman"/>
                <w:i/>
                <w:color w:val="000000"/>
                <w:sz w:val="18"/>
                <w:szCs w:val="18"/>
                <w:lang w:val="en-US" w:eastAsia="de-DE"/>
              </w:rPr>
              <w:t>LMH Efficacy test for bactericidal activ</w:t>
            </w:r>
            <w:r w:rsidR="00E7229F">
              <w:rPr>
                <w:rFonts w:cs="Times New Roman"/>
                <w:i/>
                <w:color w:val="000000"/>
                <w:sz w:val="18"/>
                <w:szCs w:val="18"/>
                <w:lang w:val="en-US" w:eastAsia="de-DE"/>
              </w:rPr>
              <w:t>ity according to prNF EN17422 (J</w:t>
            </w:r>
            <w:r w:rsidRPr="004107C9">
              <w:rPr>
                <w:rFonts w:cs="Times New Roman"/>
                <w:i/>
                <w:color w:val="000000"/>
                <w:sz w:val="18"/>
                <w:szCs w:val="18"/>
                <w:lang w:val="en-US" w:eastAsia="de-DE"/>
              </w:rPr>
              <w:t>une 2020) – No6165-1 – AF Gabillet</w:t>
            </w:r>
          </w:p>
          <w:p w14:paraId="6787B469" w14:textId="77777777" w:rsidR="00E7229F" w:rsidRPr="003A4095" w:rsidRDefault="00E7229F" w:rsidP="004107C9">
            <w:pPr>
              <w:suppressAutoHyphens w:val="0"/>
              <w:jc w:val="both"/>
              <w:rPr>
                <w:rFonts w:cs="Times New Roman"/>
                <w:color w:val="000000"/>
                <w:sz w:val="18"/>
                <w:szCs w:val="18"/>
                <w:lang w:val="en-US" w:eastAsia="de-DE"/>
              </w:rPr>
            </w:pPr>
          </w:p>
          <w:p w14:paraId="0506EDD3" w14:textId="24EB0767" w:rsidR="004107C9" w:rsidRPr="004107C9" w:rsidRDefault="004107C9" w:rsidP="004107C9">
            <w:pPr>
              <w:suppressAutoHyphens w:val="0"/>
              <w:jc w:val="both"/>
              <w:rPr>
                <w:rFonts w:cs="Times New Roman"/>
                <w:sz w:val="18"/>
                <w:szCs w:val="18"/>
                <w:lang w:val="fr-FR" w:eastAsia="de-DE"/>
              </w:rPr>
            </w:pPr>
            <w:r w:rsidRPr="004107C9">
              <w:rPr>
                <w:rFonts w:cs="Times New Roman"/>
                <w:color w:val="000000"/>
                <w:sz w:val="18"/>
                <w:szCs w:val="18"/>
                <w:lang w:val="fr-FR" w:eastAsia="de-DE"/>
              </w:rPr>
              <w:t>RI : 1</w:t>
            </w:r>
          </w:p>
          <w:p w14:paraId="75DE5D30" w14:textId="77777777" w:rsidR="004107C9" w:rsidRPr="004107C9" w:rsidRDefault="004107C9" w:rsidP="004107C9">
            <w:pPr>
              <w:suppressAutoHyphens w:val="0"/>
              <w:jc w:val="both"/>
              <w:rPr>
                <w:rFonts w:cs="Times New Roman"/>
                <w:i/>
                <w:color w:val="000000"/>
                <w:sz w:val="18"/>
                <w:szCs w:val="18"/>
                <w:lang w:val="en-US" w:eastAsia="de-DE"/>
              </w:rPr>
            </w:pPr>
          </w:p>
        </w:tc>
      </w:tr>
      <w:tr w:rsidR="00EE62BE" w:rsidRPr="004107C9" w14:paraId="296D9B6E" w14:textId="77777777" w:rsidTr="00BB55A0">
        <w:tc>
          <w:tcPr>
            <w:tcW w:w="430" w:type="pct"/>
          </w:tcPr>
          <w:p w14:paraId="3209791C" w14:textId="02ACBF8D" w:rsidR="00EE62BE" w:rsidRPr="003A4095" w:rsidRDefault="00EE62BE" w:rsidP="00EE62BE">
            <w:pPr>
              <w:suppressAutoHyphens w:val="0"/>
              <w:jc w:val="both"/>
              <w:rPr>
                <w:rFonts w:cs="Times New Roman"/>
                <w:iCs/>
                <w:color w:val="000000"/>
                <w:sz w:val="18"/>
                <w:szCs w:val="18"/>
                <w:lang w:val="fr-BE" w:eastAsia="de-DE"/>
              </w:rPr>
            </w:pPr>
            <w:r w:rsidRPr="003A4095">
              <w:rPr>
                <w:rFonts w:cs="Times New Roman"/>
                <w:iCs/>
                <w:color w:val="000000"/>
                <w:sz w:val="18"/>
                <w:szCs w:val="18"/>
                <w:lang w:val="fr-BE" w:eastAsia="de-DE"/>
              </w:rPr>
              <w:t>Bactericide</w:t>
            </w:r>
          </w:p>
        </w:tc>
        <w:tc>
          <w:tcPr>
            <w:tcW w:w="576" w:type="pct"/>
          </w:tcPr>
          <w:p w14:paraId="617A4C17" w14:textId="77777777" w:rsidR="00EE62BE" w:rsidRDefault="00EE62BE" w:rsidP="00EE62BE">
            <w:pPr>
              <w:suppressAutoHyphens w:val="0"/>
              <w:jc w:val="both"/>
              <w:rPr>
                <w:rFonts w:cs="Times New Roman"/>
                <w:color w:val="000000"/>
                <w:sz w:val="18"/>
                <w:szCs w:val="18"/>
                <w:lang w:val="fr-BE" w:eastAsia="de-DE"/>
              </w:rPr>
            </w:pPr>
            <w:r w:rsidRPr="00EE62BE">
              <w:rPr>
                <w:rFonts w:cs="Times New Roman"/>
                <w:color w:val="000000"/>
                <w:sz w:val="18"/>
                <w:szCs w:val="18"/>
                <w:lang w:val="fr-BE" w:eastAsia="de-DE"/>
              </w:rPr>
              <w:t>PT3</w:t>
            </w:r>
          </w:p>
          <w:p w14:paraId="62569601" w14:textId="77777777" w:rsidR="0010121A" w:rsidRPr="004107C9" w:rsidRDefault="0010121A" w:rsidP="0010121A">
            <w:pPr>
              <w:suppressAutoHyphens w:val="0"/>
              <w:jc w:val="both"/>
              <w:rPr>
                <w:rFonts w:cs="Times New Roman"/>
                <w:color w:val="000000"/>
                <w:sz w:val="18"/>
                <w:szCs w:val="18"/>
                <w:lang w:eastAsia="de-DE"/>
              </w:rPr>
            </w:pPr>
            <w:r>
              <w:rPr>
                <w:rFonts w:cs="Times New Roman"/>
                <w:color w:val="000000"/>
                <w:sz w:val="18"/>
                <w:szCs w:val="18"/>
                <w:lang w:eastAsia="de-DE"/>
              </w:rPr>
              <w:t>Teat disinfection</w:t>
            </w:r>
          </w:p>
          <w:p w14:paraId="3077EC8F" w14:textId="557AC23C" w:rsidR="0010121A" w:rsidRPr="00EE62BE" w:rsidRDefault="0010121A" w:rsidP="00EE62BE">
            <w:pPr>
              <w:suppressAutoHyphens w:val="0"/>
              <w:jc w:val="both"/>
              <w:rPr>
                <w:rFonts w:cs="Times New Roman"/>
                <w:color w:val="000000"/>
                <w:sz w:val="18"/>
                <w:szCs w:val="18"/>
                <w:lang w:val="fr-BE" w:eastAsia="de-DE"/>
              </w:rPr>
            </w:pPr>
          </w:p>
        </w:tc>
        <w:tc>
          <w:tcPr>
            <w:tcW w:w="577" w:type="pct"/>
          </w:tcPr>
          <w:p w14:paraId="399AE77B" w14:textId="77777777" w:rsidR="00EE0D1A" w:rsidRDefault="00EE62BE" w:rsidP="00EE62BE">
            <w:pPr>
              <w:suppressAutoHyphens w:val="0"/>
              <w:rPr>
                <w:rFonts w:cs="Times New Roman"/>
                <w:i/>
                <w:color w:val="000000"/>
                <w:sz w:val="18"/>
                <w:szCs w:val="18"/>
                <w:lang w:val="en-US" w:eastAsia="de-DE"/>
              </w:rPr>
            </w:pPr>
            <w:r w:rsidRPr="00EE62BE">
              <w:rPr>
                <w:rFonts w:cs="Times New Roman"/>
                <w:i/>
                <w:color w:val="000000"/>
                <w:sz w:val="18"/>
                <w:szCs w:val="18"/>
                <w:lang w:val="en-US" w:eastAsia="de-DE"/>
              </w:rPr>
              <w:t>ALGOFILM (0.9% of PVPI</w:t>
            </w:r>
            <w:r w:rsidRPr="00EE62BE">
              <w:rPr>
                <w:rFonts w:cs="Times New Roman"/>
                <w:i/>
                <w:iCs/>
                <w:color w:val="000000"/>
                <w:sz w:val="18"/>
                <w:szCs w:val="18"/>
                <w:lang w:eastAsia="de-DE"/>
              </w:rPr>
              <w:t>, 0.08% lactic acid</w:t>
            </w:r>
            <w:r w:rsidRPr="00EE62BE">
              <w:rPr>
                <w:rFonts w:cs="Times New Roman"/>
                <w:i/>
                <w:color w:val="000000"/>
                <w:sz w:val="18"/>
                <w:szCs w:val="18"/>
                <w:lang w:val="en-US" w:eastAsia="de-DE"/>
              </w:rPr>
              <w:t xml:space="preserve">) </w:t>
            </w:r>
          </w:p>
          <w:p w14:paraId="03BAE512" w14:textId="27F69410" w:rsidR="00EE62BE" w:rsidRPr="00EE62BE" w:rsidRDefault="00EE62BE" w:rsidP="00EE62BE">
            <w:pPr>
              <w:suppressAutoHyphens w:val="0"/>
              <w:rPr>
                <w:rFonts w:cs="Times New Roman"/>
                <w:i/>
                <w:color w:val="000000"/>
                <w:sz w:val="18"/>
                <w:szCs w:val="18"/>
                <w:lang w:val="en-US" w:eastAsia="de-DE"/>
              </w:rPr>
            </w:pPr>
            <w:r w:rsidRPr="00EE62BE">
              <w:rPr>
                <w:rFonts w:cs="Times New Roman"/>
                <w:i/>
                <w:color w:val="000000"/>
                <w:sz w:val="18"/>
                <w:szCs w:val="18"/>
                <w:lang w:val="en-US" w:eastAsia="de-DE"/>
              </w:rPr>
              <w:t>12 months aged sample</w:t>
            </w:r>
          </w:p>
        </w:tc>
        <w:tc>
          <w:tcPr>
            <w:tcW w:w="623" w:type="pct"/>
          </w:tcPr>
          <w:p w14:paraId="33F2A314" w14:textId="744EE0B8" w:rsidR="00EE62BE" w:rsidRPr="00EE62BE" w:rsidRDefault="00EE62BE" w:rsidP="00EE62BE">
            <w:pPr>
              <w:suppressAutoHyphens w:val="0"/>
              <w:jc w:val="both"/>
              <w:rPr>
                <w:rFonts w:eastAsia="Calibri" w:cs="Times New Roman"/>
                <w:i/>
                <w:sz w:val="18"/>
                <w:szCs w:val="18"/>
                <w:lang w:val="fr-BE" w:eastAsia="en-US"/>
              </w:rPr>
            </w:pPr>
            <w:r w:rsidRPr="00EE62BE">
              <w:rPr>
                <w:rFonts w:eastAsia="Calibri" w:cs="Times New Roman"/>
                <w:i/>
                <w:sz w:val="18"/>
                <w:szCs w:val="18"/>
                <w:lang w:val="fr-BE" w:eastAsia="en-US"/>
              </w:rPr>
              <w:t>Streptococcus uberis Staphylococcus aureus Escherichia coli</w:t>
            </w:r>
          </w:p>
        </w:tc>
        <w:tc>
          <w:tcPr>
            <w:tcW w:w="528" w:type="pct"/>
          </w:tcPr>
          <w:p w14:paraId="7E67114D" w14:textId="4CF932CA" w:rsidR="00EE62BE" w:rsidRPr="00EE62BE" w:rsidRDefault="00EE62BE" w:rsidP="00B528F6">
            <w:pPr>
              <w:suppressAutoHyphens w:val="0"/>
              <w:jc w:val="both"/>
              <w:rPr>
                <w:rFonts w:cs="Times New Roman"/>
                <w:color w:val="000000"/>
                <w:sz w:val="18"/>
                <w:szCs w:val="18"/>
                <w:lang w:val="fr-BE" w:eastAsia="de-DE"/>
              </w:rPr>
            </w:pPr>
            <w:r w:rsidRPr="00EE62BE">
              <w:rPr>
                <w:rFonts w:cs="Times New Roman"/>
                <w:color w:val="000000"/>
                <w:sz w:val="18"/>
                <w:szCs w:val="18"/>
                <w:lang w:val="fr-BE" w:eastAsia="de-DE"/>
              </w:rPr>
              <w:t>prEN17422 (June 2020)</w:t>
            </w:r>
          </w:p>
        </w:tc>
        <w:tc>
          <w:tcPr>
            <w:tcW w:w="815" w:type="pct"/>
          </w:tcPr>
          <w:p w14:paraId="2887C5ED" w14:textId="77777777" w:rsidR="00EE62BE" w:rsidRPr="00EE62BE" w:rsidRDefault="00EE62BE" w:rsidP="00EE62BE">
            <w:pPr>
              <w:suppressAutoHyphens w:val="0"/>
              <w:jc w:val="both"/>
              <w:rPr>
                <w:rFonts w:cs="Times New Roman"/>
                <w:color w:val="000000"/>
                <w:sz w:val="18"/>
                <w:szCs w:val="18"/>
                <w:lang w:eastAsia="de-DE"/>
              </w:rPr>
            </w:pPr>
            <w:r w:rsidRPr="00EE62BE">
              <w:rPr>
                <w:rFonts w:cs="Times New Roman"/>
                <w:color w:val="000000"/>
                <w:sz w:val="18"/>
                <w:szCs w:val="18"/>
                <w:lang w:eastAsia="de-DE"/>
              </w:rPr>
              <w:t>Phase 2 step 2 test (surface test)</w:t>
            </w:r>
          </w:p>
          <w:p w14:paraId="7BC0EAD0" w14:textId="77777777" w:rsidR="00EE62BE" w:rsidRPr="00EE62BE" w:rsidRDefault="00EE62BE" w:rsidP="00EE62BE">
            <w:pPr>
              <w:suppressAutoHyphens w:val="0"/>
              <w:jc w:val="both"/>
              <w:rPr>
                <w:rFonts w:cs="Times New Roman"/>
                <w:color w:val="000000"/>
                <w:sz w:val="18"/>
                <w:szCs w:val="18"/>
                <w:lang w:eastAsia="de-DE"/>
              </w:rPr>
            </w:pPr>
          </w:p>
          <w:p w14:paraId="32FD25F9" w14:textId="3869641B" w:rsidR="00EE62BE" w:rsidRPr="00EE62BE" w:rsidRDefault="00EE62BE" w:rsidP="00EE62BE">
            <w:pPr>
              <w:suppressAutoHyphens w:val="0"/>
              <w:jc w:val="both"/>
              <w:rPr>
                <w:rFonts w:cs="Times New Roman"/>
                <w:color w:val="000000"/>
                <w:sz w:val="18"/>
                <w:szCs w:val="18"/>
                <w:lang w:val="en-US" w:eastAsia="de-DE"/>
              </w:rPr>
            </w:pPr>
            <w:r w:rsidRPr="00EE62BE">
              <w:rPr>
                <w:rFonts w:cs="Times New Roman"/>
                <w:color w:val="000000"/>
                <w:sz w:val="18"/>
                <w:szCs w:val="18"/>
                <w:lang w:val="en-US" w:eastAsia="de-DE"/>
              </w:rPr>
              <w:t>Concentration tested: 10% – 80% – 100%</w:t>
            </w:r>
          </w:p>
          <w:p w14:paraId="34A69767" w14:textId="1218BB1B" w:rsidR="00EE62BE" w:rsidRPr="00EE62BE" w:rsidRDefault="00EE62BE" w:rsidP="00EE62BE">
            <w:pPr>
              <w:suppressAutoHyphens w:val="0"/>
              <w:jc w:val="both"/>
              <w:rPr>
                <w:rFonts w:cs="Times New Roman"/>
                <w:color w:val="000000"/>
                <w:sz w:val="18"/>
                <w:szCs w:val="18"/>
                <w:lang w:val="en-US" w:eastAsia="de-DE"/>
              </w:rPr>
            </w:pPr>
            <w:r w:rsidRPr="00EE62BE">
              <w:rPr>
                <w:rFonts w:cs="Times New Roman"/>
                <w:color w:val="000000"/>
                <w:sz w:val="18"/>
                <w:szCs w:val="18"/>
                <w:lang w:val="en-US" w:eastAsia="de-DE"/>
              </w:rPr>
              <w:t>Temperature: 30°C</w:t>
            </w:r>
          </w:p>
          <w:p w14:paraId="760B0B01" w14:textId="36EF60B1" w:rsidR="00EE62BE" w:rsidRPr="00EE62BE" w:rsidRDefault="00EE62BE" w:rsidP="00EE62BE">
            <w:pPr>
              <w:suppressAutoHyphens w:val="0"/>
              <w:jc w:val="both"/>
              <w:rPr>
                <w:rFonts w:cs="Times New Roman"/>
                <w:color w:val="000000"/>
                <w:sz w:val="18"/>
                <w:szCs w:val="18"/>
                <w:lang w:val="en-US" w:eastAsia="de-DE"/>
              </w:rPr>
            </w:pPr>
            <w:r w:rsidRPr="00EE62BE">
              <w:rPr>
                <w:rFonts w:cs="Times New Roman"/>
                <w:color w:val="000000"/>
                <w:sz w:val="18"/>
                <w:szCs w:val="18"/>
                <w:lang w:val="en-US" w:eastAsia="de-DE"/>
              </w:rPr>
              <w:t xml:space="preserve">Contact </w:t>
            </w:r>
            <w:r w:rsidR="00EE0D1A">
              <w:rPr>
                <w:rFonts w:cs="Times New Roman"/>
                <w:color w:val="000000"/>
                <w:sz w:val="18"/>
                <w:szCs w:val="18"/>
                <w:lang w:val="en-US" w:eastAsia="de-DE"/>
              </w:rPr>
              <w:t>t</w:t>
            </w:r>
            <w:r w:rsidRPr="00EE62BE">
              <w:rPr>
                <w:rFonts w:cs="Times New Roman"/>
                <w:color w:val="000000"/>
                <w:sz w:val="18"/>
                <w:szCs w:val="18"/>
                <w:lang w:val="en-US" w:eastAsia="de-DE"/>
              </w:rPr>
              <w:t>ime: 5 min</w:t>
            </w:r>
          </w:p>
          <w:p w14:paraId="20B2153C" w14:textId="19E4EB63" w:rsidR="00EE62BE" w:rsidRPr="00EE62BE" w:rsidRDefault="00EE62BE" w:rsidP="00EE62BE">
            <w:pPr>
              <w:suppressAutoHyphens w:val="0"/>
              <w:jc w:val="both"/>
              <w:rPr>
                <w:rFonts w:cs="Times New Roman"/>
                <w:color w:val="000000"/>
                <w:sz w:val="18"/>
                <w:szCs w:val="18"/>
                <w:lang w:val="en-US" w:eastAsia="de-DE"/>
              </w:rPr>
            </w:pPr>
            <w:r w:rsidRPr="00EE62BE">
              <w:rPr>
                <w:rFonts w:cs="Times New Roman"/>
                <w:color w:val="000000"/>
                <w:sz w:val="18"/>
                <w:szCs w:val="18"/>
                <w:lang w:val="en-US" w:eastAsia="de-DE"/>
              </w:rPr>
              <w:t>Interfering substance: 1% skimmed milk powder</w:t>
            </w:r>
          </w:p>
          <w:p w14:paraId="3E57F96B" w14:textId="77777777" w:rsidR="00EE0D1A" w:rsidRDefault="00EE0D1A" w:rsidP="00EE62BE">
            <w:pPr>
              <w:suppressAutoHyphens w:val="0"/>
              <w:jc w:val="both"/>
              <w:rPr>
                <w:rFonts w:cs="Times New Roman"/>
                <w:color w:val="000000"/>
                <w:sz w:val="18"/>
                <w:szCs w:val="18"/>
                <w:lang w:eastAsia="de-DE"/>
              </w:rPr>
            </w:pPr>
          </w:p>
          <w:p w14:paraId="530FAB69" w14:textId="272E82AD" w:rsidR="00EE62BE" w:rsidRPr="00EE62BE" w:rsidRDefault="00EE62BE" w:rsidP="00EE62BE">
            <w:pPr>
              <w:suppressAutoHyphens w:val="0"/>
              <w:jc w:val="both"/>
              <w:rPr>
                <w:rFonts w:cs="Times New Roman"/>
                <w:color w:val="000000"/>
                <w:sz w:val="18"/>
                <w:szCs w:val="18"/>
                <w:lang w:eastAsia="de-DE"/>
              </w:rPr>
            </w:pPr>
            <w:r w:rsidRPr="00EE62BE">
              <w:rPr>
                <w:rFonts w:cs="Times New Roman"/>
                <w:color w:val="000000"/>
                <w:sz w:val="18"/>
                <w:szCs w:val="18"/>
                <w:lang w:eastAsia="de-DE"/>
              </w:rPr>
              <w:t>Criteria: at least a 4 log reduction</w:t>
            </w:r>
          </w:p>
        </w:tc>
        <w:tc>
          <w:tcPr>
            <w:tcW w:w="958" w:type="pct"/>
          </w:tcPr>
          <w:p w14:paraId="1B2FBF7A" w14:textId="2C65D32A" w:rsidR="00EE62BE" w:rsidRPr="00EE62BE" w:rsidRDefault="00EE62BE" w:rsidP="00447134">
            <w:pPr>
              <w:suppressAutoHyphens w:val="0"/>
              <w:rPr>
                <w:rFonts w:cs="Times New Roman"/>
                <w:color w:val="000000"/>
                <w:sz w:val="18"/>
                <w:szCs w:val="18"/>
                <w:lang w:eastAsia="de-DE"/>
              </w:rPr>
            </w:pPr>
            <w:r w:rsidRPr="00EE62BE">
              <w:rPr>
                <w:rFonts w:cs="Times New Roman"/>
                <w:color w:val="000000"/>
                <w:sz w:val="18"/>
                <w:szCs w:val="18"/>
                <w:lang w:eastAsia="de-DE"/>
              </w:rPr>
              <w:t xml:space="preserve">Bactericidal activity demonstrated at </w:t>
            </w:r>
            <w:r w:rsidR="00447134">
              <w:rPr>
                <w:rFonts w:cs="Times New Roman"/>
                <w:color w:val="000000"/>
                <w:sz w:val="18"/>
                <w:szCs w:val="18"/>
                <w:lang w:val="en-US" w:eastAsia="de-DE"/>
              </w:rPr>
              <w:t>80</w:t>
            </w:r>
            <w:r w:rsidRPr="00EE62BE">
              <w:rPr>
                <w:rFonts w:cs="Times New Roman"/>
                <w:color w:val="000000"/>
                <w:sz w:val="18"/>
                <w:szCs w:val="18"/>
                <w:lang w:val="en-US" w:eastAsia="de-DE"/>
              </w:rPr>
              <w:t>% v/v</w:t>
            </w:r>
          </w:p>
        </w:tc>
        <w:tc>
          <w:tcPr>
            <w:tcW w:w="493" w:type="pct"/>
          </w:tcPr>
          <w:p w14:paraId="08CE5D20" w14:textId="6D8D7C5F" w:rsidR="00EE62BE" w:rsidRPr="00EE62BE" w:rsidRDefault="00EE62BE" w:rsidP="00EE62BE">
            <w:pPr>
              <w:suppressAutoHyphens w:val="0"/>
              <w:jc w:val="both"/>
              <w:rPr>
                <w:rFonts w:cs="Times New Roman"/>
                <w:i/>
                <w:color w:val="000000"/>
                <w:sz w:val="18"/>
                <w:szCs w:val="18"/>
                <w:lang w:val="en-US" w:eastAsia="de-DE"/>
              </w:rPr>
            </w:pPr>
            <w:r w:rsidRPr="00EE62BE">
              <w:rPr>
                <w:rFonts w:cs="Times New Roman"/>
                <w:i/>
                <w:color w:val="000000"/>
                <w:sz w:val="18"/>
                <w:szCs w:val="18"/>
                <w:lang w:val="en-US" w:eastAsia="de-DE"/>
              </w:rPr>
              <w:t>LMH Efficacy test for bactericidal activity according to prNF EN17422 (</w:t>
            </w:r>
            <w:r w:rsidR="00E7229F">
              <w:rPr>
                <w:rFonts w:cs="Times New Roman"/>
                <w:i/>
                <w:color w:val="000000"/>
                <w:sz w:val="18"/>
                <w:szCs w:val="18"/>
                <w:lang w:val="en-US" w:eastAsia="de-DE"/>
              </w:rPr>
              <w:t>June</w:t>
            </w:r>
            <w:r w:rsidRPr="00EE62BE">
              <w:rPr>
                <w:rFonts w:cs="Times New Roman"/>
                <w:i/>
                <w:color w:val="000000"/>
                <w:sz w:val="18"/>
                <w:szCs w:val="18"/>
                <w:lang w:val="en-US" w:eastAsia="de-DE"/>
              </w:rPr>
              <w:t xml:space="preserve"> 2021) – No</w:t>
            </w:r>
            <w:r w:rsidR="009A4765">
              <w:rPr>
                <w:rFonts w:cs="Times New Roman"/>
                <w:i/>
                <w:color w:val="000000"/>
                <w:sz w:val="18"/>
                <w:szCs w:val="18"/>
                <w:lang w:val="en-US" w:eastAsia="de-DE"/>
              </w:rPr>
              <w:t>6452-1</w:t>
            </w:r>
            <w:r w:rsidRPr="00EE62BE">
              <w:rPr>
                <w:rFonts w:cs="Times New Roman"/>
                <w:i/>
                <w:color w:val="000000"/>
                <w:sz w:val="18"/>
                <w:szCs w:val="18"/>
                <w:lang w:val="en-US" w:eastAsia="de-DE"/>
              </w:rPr>
              <w:t>– AF Gabillet</w:t>
            </w:r>
          </w:p>
          <w:p w14:paraId="4C2250D8" w14:textId="77777777" w:rsidR="00E7229F" w:rsidRPr="003A4095" w:rsidRDefault="00E7229F" w:rsidP="00EE62BE">
            <w:pPr>
              <w:suppressAutoHyphens w:val="0"/>
              <w:jc w:val="both"/>
              <w:rPr>
                <w:rFonts w:cs="Times New Roman"/>
                <w:color w:val="000000"/>
                <w:sz w:val="18"/>
                <w:szCs w:val="18"/>
                <w:lang w:val="en-US" w:eastAsia="de-DE"/>
              </w:rPr>
            </w:pPr>
          </w:p>
          <w:p w14:paraId="6FD73AE9" w14:textId="4C49F3FF" w:rsidR="00EE62BE" w:rsidRPr="00EE62BE" w:rsidRDefault="00EE62BE" w:rsidP="00EE62BE">
            <w:pPr>
              <w:suppressAutoHyphens w:val="0"/>
              <w:jc w:val="both"/>
              <w:rPr>
                <w:rFonts w:cs="Times New Roman"/>
                <w:sz w:val="18"/>
                <w:szCs w:val="18"/>
                <w:lang w:val="fr-FR" w:eastAsia="de-DE"/>
              </w:rPr>
            </w:pPr>
            <w:r w:rsidRPr="00EE62BE">
              <w:rPr>
                <w:rFonts w:cs="Times New Roman"/>
                <w:color w:val="000000"/>
                <w:sz w:val="18"/>
                <w:szCs w:val="18"/>
                <w:lang w:val="fr-FR" w:eastAsia="de-DE"/>
              </w:rPr>
              <w:t>RI : 1</w:t>
            </w:r>
          </w:p>
          <w:p w14:paraId="11D1671E" w14:textId="569A90AA" w:rsidR="00EE62BE" w:rsidRPr="00EE62BE" w:rsidRDefault="00EE62BE" w:rsidP="00EE62BE">
            <w:pPr>
              <w:suppressAutoHyphens w:val="0"/>
              <w:jc w:val="both"/>
              <w:rPr>
                <w:rFonts w:cs="Times New Roman"/>
                <w:i/>
                <w:color w:val="000000"/>
                <w:sz w:val="18"/>
                <w:szCs w:val="18"/>
                <w:lang w:val="en-US" w:eastAsia="de-DE"/>
              </w:rPr>
            </w:pPr>
          </w:p>
        </w:tc>
      </w:tr>
    </w:tbl>
    <w:p w14:paraId="7AE59465" w14:textId="77777777" w:rsidR="004107C9" w:rsidRDefault="004107C9">
      <w:pPr>
        <w:spacing w:line="260" w:lineRule="atLeast"/>
        <w:ind w:left="360"/>
        <w:jc w:val="both"/>
        <w:rPr>
          <w:rFonts w:ascii="Times New Roman" w:eastAsia="Calibri" w:hAnsi="Times New Roman" w:cs="Arial"/>
          <w:bCs/>
          <w:i/>
          <w:caps/>
          <w:szCs w:val="28"/>
          <w:lang w:eastAsia="en-US"/>
        </w:rPr>
      </w:pPr>
    </w:p>
    <w:p w14:paraId="4D65D5AD" w14:textId="77777777" w:rsidR="009D0C0B" w:rsidRDefault="009D0C0B">
      <w:pPr>
        <w:spacing w:line="260" w:lineRule="atLeast"/>
        <w:ind w:left="360"/>
        <w:jc w:val="both"/>
        <w:rPr>
          <w:rFonts w:ascii="Times New Roman" w:eastAsia="Calibri" w:hAnsi="Times New Roman" w:cs="Arial"/>
          <w:bCs/>
          <w:i/>
          <w:caps/>
          <w:szCs w:val="28"/>
          <w:lang w:eastAsia="en-US"/>
        </w:rPr>
      </w:pPr>
    </w:p>
    <w:p w14:paraId="189416A3" w14:textId="41B9064D" w:rsidR="00695468" w:rsidRDefault="00695468" w:rsidP="00695468">
      <w:pPr>
        <w:pStyle w:val="Paragraphedeliste"/>
        <w:numPr>
          <w:ilvl w:val="0"/>
          <w:numId w:val="13"/>
        </w:numPr>
        <w:suppressAutoHyphens w:val="0"/>
        <w:spacing w:line="260" w:lineRule="atLeast"/>
        <w:contextualSpacing/>
        <w:jc w:val="both"/>
        <w:rPr>
          <w:rFonts w:ascii="Times New Roman" w:eastAsia="Calibri" w:hAnsi="Times New Roman" w:cs="Times New Roman"/>
          <w:i/>
          <w:iCs/>
          <w:lang w:eastAsia="en-US"/>
        </w:rPr>
        <w:sectPr w:rsidR="00695468" w:rsidSect="00695468">
          <w:pgSz w:w="16838" w:h="11906" w:orient="landscape"/>
          <w:pgMar w:top="1446" w:right="1474" w:bottom="1247" w:left="2013" w:header="851" w:footer="851" w:gutter="0"/>
          <w:cols w:space="720"/>
          <w:docGrid w:linePitch="272"/>
        </w:sectPr>
      </w:pPr>
    </w:p>
    <w:p w14:paraId="1687F5AD" w14:textId="5CB7855A" w:rsidR="00695468" w:rsidRPr="00695468" w:rsidRDefault="00695468" w:rsidP="00695468">
      <w:pPr>
        <w:pStyle w:val="Paragraphedeliste"/>
        <w:numPr>
          <w:ilvl w:val="0"/>
          <w:numId w:val="13"/>
        </w:numPr>
        <w:suppressAutoHyphens w:val="0"/>
        <w:spacing w:line="260" w:lineRule="atLeast"/>
        <w:contextualSpacing/>
        <w:jc w:val="both"/>
        <w:rPr>
          <w:rFonts w:eastAsia="Calibri" w:cs="Arial"/>
          <w:iCs/>
          <w:lang w:eastAsia="en-US"/>
        </w:rPr>
      </w:pPr>
      <w:r w:rsidRPr="00695468">
        <w:rPr>
          <w:rFonts w:eastAsia="Calibri" w:cs="Arial"/>
          <w:iCs/>
          <w:lang w:eastAsia="en-US"/>
        </w:rPr>
        <w:lastRenderedPageBreak/>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at </w:t>
      </w:r>
      <w:r w:rsidR="002A0B13">
        <w:rPr>
          <w:rFonts w:eastAsia="Calibri" w:cs="Arial"/>
          <w:iCs/>
          <w:lang w:eastAsia="en-US"/>
        </w:rPr>
        <w:t>4</w:t>
      </w:r>
      <w:r>
        <w:rPr>
          <w:rFonts w:eastAsia="Calibri" w:cs="Arial"/>
          <w:iCs/>
          <w:lang w:eastAsia="en-US"/>
        </w:rPr>
        <w:t>0</w:t>
      </w:r>
      <w:r w:rsidRPr="00695468">
        <w:rPr>
          <w:rFonts w:eastAsia="Calibri" w:cs="Arial"/>
          <w:iCs/>
          <w:lang w:eastAsia="en-US"/>
        </w:rPr>
        <w:t xml:space="preserve">% </w:t>
      </w:r>
      <w:r w:rsidR="00D64246">
        <w:rPr>
          <w:rFonts w:eastAsia="Calibri" w:cs="Arial"/>
          <w:iCs/>
          <w:lang w:eastAsia="en-US"/>
        </w:rPr>
        <w:t>v</w:t>
      </w:r>
      <w:r w:rsidRPr="00695468">
        <w:rPr>
          <w:rFonts w:eastAsia="Calibri" w:cs="Arial"/>
          <w:iCs/>
          <w:lang w:eastAsia="en-US"/>
        </w:rPr>
        <w:t>/</w:t>
      </w:r>
      <w:r w:rsidR="00D64246">
        <w:rPr>
          <w:rFonts w:eastAsia="Calibri" w:cs="Arial"/>
          <w:iCs/>
          <w:lang w:eastAsia="en-US"/>
        </w:rPr>
        <w:t>v</w:t>
      </w:r>
      <w:r w:rsidRPr="00695468">
        <w:rPr>
          <w:rFonts w:eastAsia="Calibri" w:cs="Arial"/>
          <w:iCs/>
          <w:lang w:eastAsia="en-US"/>
        </w:rPr>
        <w:t xml:space="preserve"> </w:t>
      </w:r>
      <w:r>
        <w:rPr>
          <w:rFonts w:eastAsia="Calibri" w:cs="Arial"/>
          <w:iCs/>
          <w:lang w:eastAsia="en-US"/>
        </w:rPr>
        <w:t>a</w:t>
      </w:r>
      <w:r w:rsidR="002152B7">
        <w:rPr>
          <w:rFonts w:eastAsia="Calibri" w:cs="Arial"/>
          <w:iCs/>
          <w:lang w:eastAsia="en-US"/>
        </w:rPr>
        <w:t>gainst bacteria and 5</w:t>
      </w:r>
      <w:r>
        <w:rPr>
          <w:rFonts w:eastAsia="Calibri" w:cs="Arial"/>
          <w:iCs/>
          <w:lang w:eastAsia="en-US"/>
        </w:rPr>
        <w:t>0 % v/v against yeasts</w:t>
      </w:r>
      <w:r w:rsidRPr="00695468">
        <w:rPr>
          <w:rFonts w:eastAsia="Calibri" w:cs="Arial"/>
          <w:iCs/>
          <w:lang w:eastAsia="en-US"/>
        </w:rPr>
        <w:t xml:space="preserve">. </w:t>
      </w:r>
    </w:p>
    <w:p w14:paraId="78E8B879" w14:textId="2ED944D3" w:rsidR="00695468" w:rsidRPr="00695468" w:rsidRDefault="00695468" w:rsidP="00695468">
      <w:pPr>
        <w:numPr>
          <w:ilvl w:val="0"/>
          <w:numId w:val="13"/>
        </w:numPr>
        <w:suppressAutoHyphens w:val="0"/>
        <w:spacing w:line="260" w:lineRule="atLeast"/>
        <w:contextualSpacing/>
        <w:jc w:val="both"/>
        <w:rPr>
          <w:rFonts w:eastAsia="Calibri" w:cs="Arial"/>
          <w:iCs/>
          <w:lang w:eastAsia="en-US"/>
        </w:rPr>
      </w:pPr>
      <w:r w:rsidRPr="00695468">
        <w:rPr>
          <w:rFonts w:eastAsia="Calibri" w:cs="Arial"/>
          <w:iCs/>
          <w:lang w:eastAsia="en-US"/>
        </w:rPr>
        <w:t xml:space="preserve">Phase 2, step 2 tests have been performed for bactericidal </w:t>
      </w:r>
      <w:r>
        <w:rPr>
          <w:rFonts w:eastAsia="Calibri" w:cs="Arial"/>
          <w:iCs/>
          <w:lang w:eastAsia="en-US"/>
        </w:rPr>
        <w:t>activity</w:t>
      </w:r>
      <w:r w:rsidRPr="00695468">
        <w:rPr>
          <w:rFonts w:eastAsia="Calibri" w:cs="Arial"/>
          <w:iCs/>
          <w:lang w:eastAsia="en-US"/>
        </w:rPr>
        <w:t xml:space="preserve">, according to the requirements of the norm </w:t>
      </w:r>
      <w:r>
        <w:rPr>
          <w:rFonts w:eastAsia="Calibri" w:cs="Arial"/>
          <w:iCs/>
          <w:lang w:eastAsia="en-US"/>
        </w:rPr>
        <w:t>pr</w:t>
      </w:r>
      <w:r w:rsidRPr="00695468">
        <w:rPr>
          <w:rFonts w:eastAsia="Calibri" w:cs="Arial"/>
          <w:iCs/>
          <w:lang w:eastAsia="en-US"/>
        </w:rPr>
        <w:t>EN 1</w:t>
      </w:r>
      <w:r>
        <w:rPr>
          <w:rFonts w:eastAsia="Calibri" w:cs="Arial"/>
          <w:iCs/>
          <w:lang w:eastAsia="en-US"/>
        </w:rPr>
        <w:t>7422</w:t>
      </w:r>
      <w:r w:rsidRPr="00695468">
        <w:rPr>
          <w:rFonts w:eastAsia="Calibri" w:cs="Arial"/>
          <w:iCs/>
          <w:lang w:eastAsia="en-US"/>
        </w:rPr>
        <w:t>, on artificial skin by the method “drop/dip”</w:t>
      </w:r>
      <w:r w:rsidR="00EE0D1A">
        <w:rPr>
          <w:rFonts w:eastAsia="Calibri" w:cs="Arial"/>
          <w:iCs/>
          <w:lang w:eastAsia="en-US"/>
        </w:rPr>
        <w:t>.</w:t>
      </w:r>
      <w:r w:rsidRPr="00695468">
        <w:rPr>
          <w:rFonts w:eastAsia="Calibri" w:cs="Arial"/>
          <w:iCs/>
          <w:lang w:eastAsia="en-US"/>
        </w:rPr>
        <w:t xml:space="preserve"> </w:t>
      </w:r>
      <w:r w:rsidR="00EE0D1A">
        <w:rPr>
          <w:rFonts w:eastAsia="Calibri" w:cs="Arial"/>
          <w:iCs/>
          <w:lang w:eastAsia="en-US"/>
        </w:rPr>
        <w:t>E</w:t>
      </w:r>
      <w:r w:rsidRPr="00695468">
        <w:rPr>
          <w:rFonts w:eastAsia="Calibri" w:cs="Arial"/>
          <w:iCs/>
          <w:lang w:eastAsia="en-US"/>
        </w:rPr>
        <w:t xml:space="preserve">fficacy of the product </w:t>
      </w:r>
      <w:r>
        <w:rPr>
          <w:rFonts w:ascii="Arial" w:hAnsi="Arial" w:cs="Arial"/>
          <w:bCs/>
          <w:color w:val="000000"/>
          <w:lang w:eastAsia="de-DE"/>
        </w:rPr>
        <w:t>ALG</w:t>
      </w:r>
      <w:r w:rsidR="002152B7">
        <w:rPr>
          <w:rFonts w:ascii="Arial" w:hAnsi="Arial" w:cs="Arial"/>
          <w:bCs/>
          <w:color w:val="000000"/>
          <w:lang w:eastAsia="de-DE"/>
        </w:rPr>
        <w:t>O</w:t>
      </w:r>
      <w:r>
        <w:rPr>
          <w:rFonts w:ascii="Arial" w:hAnsi="Arial" w:cs="Arial"/>
          <w:bCs/>
          <w:color w:val="000000"/>
          <w:lang w:eastAsia="de-DE"/>
        </w:rPr>
        <w:t>FILM</w:t>
      </w:r>
      <w:r w:rsidRPr="00695468">
        <w:rPr>
          <w:rFonts w:ascii="Arial" w:hAnsi="Arial" w:cs="Arial"/>
          <w:bCs/>
          <w:color w:val="000000"/>
          <w:lang w:eastAsia="de-DE"/>
        </w:rPr>
        <w:t xml:space="preserve"> is </w:t>
      </w:r>
      <w:r w:rsidRPr="00695468">
        <w:rPr>
          <w:rFonts w:eastAsia="Calibri" w:cs="Arial"/>
          <w:iCs/>
          <w:lang w:eastAsia="en-US"/>
        </w:rPr>
        <w:t xml:space="preserve">demonstrated at 30°C with a contact time of 5 min and </w:t>
      </w:r>
      <w:r w:rsidR="002A0B13">
        <w:rPr>
          <w:rFonts w:eastAsia="Calibri" w:cs="Arial"/>
          <w:iCs/>
          <w:lang w:eastAsia="en-US"/>
        </w:rPr>
        <w:t>skimmed milk</w:t>
      </w:r>
      <w:r w:rsidR="00EE0D1A">
        <w:rPr>
          <w:rFonts w:eastAsia="Calibri" w:cs="Arial"/>
          <w:iCs/>
          <w:lang w:eastAsia="en-US"/>
        </w:rPr>
        <w:t xml:space="preserve">, at </w:t>
      </w:r>
      <w:r w:rsidR="002A0B13">
        <w:rPr>
          <w:rFonts w:eastAsia="Calibri" w:cs="Arial"/>
          <w:iCs/>
          <w:lang w:eastAsia="en-US"/>
        </w:rPr>
        <w:t>80</w:t>
      </w:r>
      <w:r w:rsidRPr="00695468">
        <w:rPr>
          <w:rFonts w:eastAsia="Calibri" w:cs="Arial"/>
          <w:iCs/>
          <w:lang w:eastAsia="en-US"/>
        </w:rPr>
        <w:t>%</w:t>
      </w:r>
      <w:r w:rsidR="002A0B13">
        <w:rPr>
          <w:rFonts w:eastAsia="Calibri" w:cs="Arial"/>
          <w:iCs/>
          <w:lang w:eastAsia="en-US"/>
        </w:rPr>
        <w:t xml:space="preserve"> v/v</w:t>
      </w:r>
      <w:r w:rsidRPr="00695468">
        <w:rPr>
          <w:rFonts w:eastAsia="Calibri" w:cs="Arial"/>
          <w:iCs/>
          <w:lang w:eastAsia="en-US"/>
        </w:rPr>
        <w:t>.</w:t>
      </w:r>
    </w:p>
    <w:p w14:paraId="53BC11D7" w14:textId="77777777" w:rsidR="00724581" w:rsidRDefault="00724581" w:rsidP="00053DE4">
      <w:pPr>
        <w:suppressAutoHyphens w:val="0"/>
        <w:spacing w:line="260" w:lineRule="atLeast"/>
        <w:contextualSpacing/>
        <w:jc w:val="both"/>
        <w:rPr>
          <w:rFonts w:eastAsia="Calibri" w:cs="Arial"/>
          <w:iCs/>
          <w:lang w:eastAsia="en-US"/>
        </w:rPr>
      </w:pPr>
    </w:p>
    <w:p w14:paraId="0D08E467" w14:textId="0397C46F" w:rsidR="00695468" w:rsidRDefault="002A0B13" w:rsidP="00053DE4">
      <w:pPr>
        <w:suppressAutoHyphens w:val="0"/>
        <w:spacing w:line="260" w:lineRule="atLeast"/>
        <w:contextualSpacing/>
        <w:jc w:val="both"/>
        <w:rPr>
          <w:rFonts w:eastAsia="Calibri" w:cs="Arial"/>
          <w:iCs/>
          <w:lang w:eastAsia="en-US"/>
        </w:rPr>
      </w:pPr>
      <w:r>
        <w:rPr>
          <w:rFonts w:eastAsia="Calibri" w:cs="Arial"/>
          <w:iCs/>
          <w:lang w:eastAsia="en-US"/>
        </w:rPr>
        <w:t>I</w:t>
      </w:r>
      <w:r w:rsidRPr="002A0B13">
        <w:rPr>
          <w:rFonts w:eastAsia="Calibri" w:cs="Arial"/>
          <w:iCs/>
          <w:lang w:eastAsia="en-US"/>
        </w:rPr>
        <w:t xml:space="preserve">n absence of phase 2 step 2 test </w:t>
      </w:r>
      <w:r w:rsidR="00D26AC9">
        <w:rPr>
          <w:rFonts w:eastAsia="Calibri" w:cs="Arial"/>
          <w:iCs/>
          <w:lang w:eastAsia="en-US"/>
        </w:rPr>
        <w:t>available</w:t>
      </w:r>
      <w:r w:rsidRPr="002A0B13">
        <w:rPr>
          <w:rFonts w:eastAsia="Calibri" w:cs="Arial"/>
          <w:iCs/>
          <w:lang w:eastAsia="en-US"/>
        </w:rPr>
        <w:t xml:space="preserve"> </w:t>
      </w:r>
      <w:r>
        <w:rPr>
          <w:rFonts w:eastAsia="Calibri" w:cs="Arial"/>
          <w:iCs/>
          <w:lang w:eastAsia="en-US"/>
        </w:rPr>
        <w:t>for yeasticidal activity</w:t>
      </w:r>
      <w:r w:rsidRPr="002A0B13">
        <w:rPr>
          <w:rFonts w:eastAsia="Calibri" w:cs="Arial"/>
          <w:iCs/>
          <w:lang w:eastAsia="en-US"/>
        </w:rPr>
        <w:t>, results from phase 2 step 1 test (EN 1</w:t>
      </w:r>
      <w:r>
        <w:rPr>
          <w:rFonts w:eastAsia="Calibri" w:cs="Arial"/>
          <w:iCs/>
          <w:lang w:eastAsia="en-US"/>
        </w:rPr>
        <w:t>657</w:t>
      </w:r>
      <w:r w:rsidRPr="002A0B13">
        <w:rPr>
          <w:rFonts w:eastAsia="Calibri" w:cs="Arial"/>
          <w:iCs/>
          <w:lang w:eastAsia="en-US"/>
        </w:rPr>
        <w:t>) are acceptable for the time being.</w:t>
      </w:r>
    </w:p>
    <w:p w14:paraId="3DD67785" w14:textId="6E7B208E" w:rsidR="00BB55A0" w:rsidRDefault="00BB55A0" w:rsidP="00053DE4">
      <w:pPr>
        <w:suppressAutoHyphens w:val="0"/>
        <w:spacing w:line="260" w:lineRule="atLeast"/>
        <w:contextualSpacing/>
        <w:jc w:val="both"/>
        <w:rPr>
          <w:rFonts w:eastAsia="Calibri" w:cs="Arial"/>
          <w:iCs/>
          <w:lang w:eastAsia="en-US"/>
        </w:rPr>
      </w:pPr>
    </w:p>
    <w:p w14:paraId="1C9D6EB8" w14:textId="0B99BE50" w:rsidR="00BB55A0" w:rsidRPr="009A4765" w:rsidRDefault="00D26AC9" w:rsidP="00053DE4">
      <w:pPr>
        <w:suppressAutoHyphens w:val="0"/>
        <w:spacing w:line="260" w:lineRule="atLeast"/>
        <w:contextualSpacing/>
        <w:jc w:val="both"/>
        <w:rPr>
          <w:color w:val="000000"/>
        </w:rPr>
      </w:pPr>
      <w:r>
        <w:rPr>
          <w:rFonts w:eastAsia="Calibri"/>
          <w:lang w:eastAsia="en-US"/>
        </w:rPr>
        <w:t xml:space="preserve">Since </w:t>
      </w:r>
      <w:r w:rsidRPr="00850148">
        <w:rPr>
          <w:rFonts w:eastAsia="Calibri"/>
          <w:lang w:eastAsia="en-US"/>
        </w:rPr>
        <w:t xml:space="preserve">the active substance concentration </w:t>
      </w:r>
      <w:r>
        <w:rPr>
          <w:rFonts w:eastAsia="Calibri"/>
          <w:lang w:eastAsia="en-US"/>
        </w:rPr>
        <w:t xml:space="preserve">Iodine </w:t>
      </w:r>
      <w:r w:rsidRPr="00850148">
        <w:rPr>
          <w:rFonts w:eastAsia="Calibri"/>
          <w:lang w:eastAsia="en-US"/>
        </w:rPr>
        <w:t>decreases with more than 10% during shelf-life</w:t>
      </w:r>
      <w:r>
        <w:rPr>
          <w:rFonts w:eastAsia="Calibri"/>
          <w:lang w:eastAsia="en-US"/>
        </w:rPr>
        <w:t xml:space="preserve"> of the biocidal product </w:t>
      </w:r>
      <w:r>
        <w:rPr>
          <w:lang w:eastAsia="en-US"/>
        </w:rPr>
        <w:t xml:space="preserve">ALGOFILM, </w:t>
      </w:r>
      <w:r w:rsidRPr="00850148">
        <w:rPr>
          <w:rFonts w:eastAsia="Calibri"/>
          <w:lang w:eastAsia="en-US"/>
        </w:rPr>
        <w:t>at ambient temperature</w:t>
      </w:r>
      <w:r>
        <w:rPr>
          <w:rFonts w:eastAsia="Calibri"/>
          <w:lang w:eastAsia="en-US"/>
        </w:rPr>
        <w:t xml:space="preserve">, additional efficacy tests have been performed with aged products. </w:t>
      </w:r>
      <w:r w:rsidR="00BB55A0">
        <w:rPr>
          <w:rFonts w:eastAsia="Calibri" w:cs="Arial"/>
          <w:iCs/>
          <w:lang w:eastAsia="en-US"/>
        </w:rPr>
        <w:t>Additional phase 2 step 2 test</w:t>
      </w:r>
      <w:r w:rsidR="003A37BA">
        <w:rPr>
          <w:rFonts w:eastAsia="Calibri" w:cs="Arial"/>
          <w:iCs/>
          <w:lang w:eastAsia="en-US"/>
        </w:rPr>
        <w:t>s</w:t>
      </w:r>
      <w:r w:rsidR="00BB55A0">
        <w:rPr>
          <w:rFonts w:eastAsia="Calibri" w:cs="Arial"/>
          <w:iCs/>
          <w:lang w:eastAsia="en-US"/>
        </w:rPr>
        <w:t xml:space="preserve"> </w:t>
      </w:r>
      <w:r w:rsidR="00364F2B">
        <w:rPr>
          <w:rFonts w:eastAsia="Calibri" w:cs="Arial"/>
          <w:iCs/>
          <w:lang w:eastAsia="en-US"/>
        </w:rPr>
        <w:t>pr</w:t>
      </w:r>
      <w:r w:rsidR="00364F2B" w:rsidRPr="00695468">
        <w:rPr>
          <w:rFonts w:eastAsia="Calibri" w:cs="Arial"/>
          <w:iCs/>
          <w:lang w:eastAsia="en-US"/>
        </w:rPr>
        <w:t>EN 1</w:t>
      </w:r>
      <w:r w:rsidR="00364F2B">
        <w:rPr>
          <w:rFonts w:eastAsia="Calibri" w:cs="Arial"/>
          <w:iCs/>
          <w:lang w:eastAsia="en-US"/>
        </w:rPr>
        <w:t xml:space="preserve">7422 </w:t>
      </w:r>
      <w:r w:rsidR="00BB55A0">
        <w:rPr>
          <w:rFonts w:eastAsia="Calibri" w:cs="Arial"/>
          <w:iCs/>
          <w:lang w:eastAsia="en-US"/>
        </w:rPr>
        <w:t xml:space="preserve">performed with </w:t>
      </w:r>
      <w:r w:rsidR="00364F2B">
        <w:rPr>
          <w:rFonts w:eastAsia="Calibri" w:cs="Arial"/>
          <w:iCs/>
          <w:lang w:eastAsia="en-US"/>
        </w:rPr>
        <w:t xml:space="preserve">6 and </w:t>
      </w:r>
      <w:r w:rsidR="00BB55A0">
        <w:rPr>
          <w:rFonts w:eastAsia="Calibri" w:cs="Arial"/>
          <w:iCs/>
          <w:lang w:eastAsia="en-US"/>
        </w:rPr>
        <w:t>12 months aged product, ha</w:t>
      </w:r>
      <w:r>
        <w:rPr>
          <w:rFonts w:eastAsia="Calibri" w:cs="Arial"/>
          <w:iCs/>
          <w:lang w:eastAsia="en-US"/>
        </w:rPr>
        <w:t>ve</w:t>
      </w:r>
      <w:r w:rsidR="00BB55A0">
        <w:rPr>
          <w:rFonts w:eastAsia="Calibri" w:cs="Arial"/>
          <w:iCs/>
          <w:lang w:eastAsia="en-US"/>
        </w:rPr>
        <w:t xml:space="preserve"> </w:t>
      </w:r>
      <w:r w:rsidR="00364F2B">
        <w:rPr>
          <w:rFonts w:eastAsia="Calibri" w:cs="Arial"/>
          <w:iCs/>
          <w:lang w:eastAsia="en-US"/>
        </w:rPr>
        <w:t>been submitted</w:t>
      </w:r>
      <w:r w:rsidR="00724581">
        <w:rPr>
          <w:rFonts w:eastAsia="Calibri" w:cs="Arial"/>
          <w:iCs/>
          <w:lang w:eastAsia="en-US"/>
        </w:rPr>
        <w:t xml:space="preserve">. Indeed, </w:t>
      </w:r>
      <w:r w:rsidR="00364F2B">
        <w:rPr>
          <w:rFonts w:eastAsia="Calibri" w:cs="Arial"/>
          <w:iCs/>
          <w:lang w:eastAsia="en-US"/>
        </w:rPr>
        <w:t>according to EFF TAB v2.1 (WGV2018): “</w:t>
      </w:r>
      <w:r w:rsidR="00364F2B" w:rsidRPr="00364F2B">
        <w:rPr>
          <w:rStyle w:val="fontstyle01"/>
          <w:i/>
        </w:rPr>
        <w:t>If the active substance concentration decreases with more than 10% during shelf life of</w:t>
      </w:r>
      <w:r>
        <w:rPr>
          <w:rStyle w:val="fontstyle01"/>
          <w:i/>
        </w:rPr>
        <w:t xml:space="preserve"> </w:t>
      </w:r>
      <w:r w:rsidR="00364F2B" w:rsidRPr="00364F2B">
        <w:rPr>
          <w:rStyle w:val="fontstyle01"/>
          <w:i/>
        </w:rPr>
        <w:t>the biocidal product, efficacy tests should be performed demonstrating efficacy of stored</w:t>
      </w:r>
      <w:r>
        <w:rPr>
          <w:rStyle w:val="fontstyle01"/>
          <w:i/>
        </w:rPr>
        <w:t xml:space="preserve"> </w:t>
      </w:r>
      <w:r w:rsidR="00364F2B" w:rsidRPr="00364F2B">
        <w:rPr>
          <w:rStyle w:val="fontstyle01"/>
          <w:i/>
        </w:rPr>
        <w:t>product</w:t>
      </w:r>
      <w:r w:rsidR="00364F2B">
        <w:rPr>
          <w:rStyle w:val="fontstyle01"/>
        </w:rPr>
        <w:t xml:space="preserve">”. </w:t>
      </w:r>
      <w:r w:rsidR="009A4765">
        <w:rPr>
          <w:rFonts w:eastAsia="Calibri" w:cs="Arial"/>
          <w:iCs/>
          <w:lang w:eastAsia="en-US"/>
        </w:rPr>
        <w:t>B</w:t>
      </w:r>
      <w:r w:rsidR="009A4765" w:rsidRPr="00695468">
        <w:rPr>
          <w:rFonts w:eastAsia="Calibri" w:cs="Arial"/>
          <w:iCs/>
          <w:lang w:eastAsia="en-US"/>
        </w:rPr>
        <w:t xml:space="preserve">actericidal </w:t>
      </w:r>
      <w:r w:rsidR="009A4765">
        <w:rPr>
          <w:rFonts w:eastAsia="Calibri" w:cs="Arial"/>
          <w:iCs/>
          <w:lang w:eastAsia="en-US"/>
        </w:rPr>
        <w:t>activity</w:t>
      </w:r>
      <w:r w:rsidR="009A4765">
        <w:t xml:space="preserve"> </w:t>
      </w:r>
      <w:r w:rsidR="009A4765" w:rsidRPr="00695468">
        <w:rPr>
          <w:rFonts w:ascii="Arial" w:hAnsi="Arial" w:cs="Arial"/>
          <w:bCs/>
          <w:color w:val="000000"/>
          <w:lang w:eastAsia="de-DE"/>
        </w:rPr>
        <w:t xml:space="preserve">is </w:t>
      </w:r>
      <w:r w:rsidR="009A4765" w:rsidRPr="00695468">
        <w:rPr>
          <w:rFonts w:eastAsia="Calibri" w:cs="Arial"/>
          <w:iCs/>
          <w:lang w:eastAsia="en-US"/>
        </w:rPr>
        <w:t xml:space="preserve">demonstrated at 30°C with a contact time of 5 min and </w:t>
      </w:r>
      <w:r w:rsidR="009A4765">
        <w:rPr>
          <w:rFonts w:eastAsia="Calibri" w:cs="Arial"/>
          <w:iCs/>
          <w:lang w:eastAsia="en-US"/>
        </w:rPr>
        <w:t>skimmed milk</w:t>
      </w:r>
      <w:r w:rsidR="00724581">
        <w:rPr>
          <w:rFonts w:eastAsia="Calibri" w:cs="Arial"/>
          <w:iCs/>
          <w:lang w:eastAsia="en-US"/>
        </w:rPr>
        <w:t xml:space="preserve">, at </w:t>
      </w:r>
      <w:r w:rsidR="009A4765">
        <w:rPr>
          <w:rFonts w:eastAsia="Calibri" w:cs="Arial"/>
          <w:iCs/>
          <w:lang w:eastAsia="en-US"/>
        </w:rPr>
        <w:t>80</w:t>
      </w:r>
      <w:r w:rsidR="009A4765" w:rsidRPr="00695468">
        <w:rPr>
          <w:rFonts w:eastAsia="Calibri" w:cs="Arial"/>
          <w:iCs/>
          <w:lang w:eastAsia="en-US"/>
        </w:rPr>
        <w:t>%</w:t>
      </w:r>
      <w:r w:rsidR="009A4765">
        <w:rPr>
          <w:rFonts w:eastAsia="Calibri" w:cs="Arial"/>
          <w:iCs/>
          <w:lang w:eastAsia="en-US"/>
        </w:rPr>
        <w:t xml:space="preserve"> v/v </w:t>
      </w:r>
      <w:r w:rsidR="009A4765">
        <w:t>with</w:t>
      </w:r>
      <w:r w:rsidR="00364F2B">
        <w:rPr>
          <w:rFonts w:eastAsia="Calibri" w:cs="Arial"/>
          <w:iCs/>
          <w:lang w:eastAsia="en-US"/>
        </w:rPr>
        <w:t xml:space="preserve"> 6 and 12 months aged product.</w:t>
      </w:r>
    </w:p>
    <w:p w14:paraId="71907B79" w14:textId="35E83E19" w:rsidR="00695468" w:rsidRPr="00574E6E" w:rsidRDefault="00574E6E" w:rsidP="00574E6E">
      <w:pPr>
        <w:spacing w:line="260" w:lineRule="atLeast"/>
        <w:jc w:val="both"/>
        <w:rPr>
          <w:rFonts w:eastAsia="Calibri"/>
          <w:lang w:eastAsia="en-US"/>
        </w:rPr>
      </w:pPr>
      <w:r w:rsidRPr="00574E6E">
        <w:rPr>
          <w:rFonts w:eastAsia="Calibri"/>
          <w:lang w:eastAsia="en-US"/>
        </w:rPr>
        <w:t xml:space="preserve">As applicant submitted a P2S2 test (pre EN17422) with a 12 month aged product which demonstrated a bactericidal activity at 80% v/v, it </w:t>
      </w:r>
      <w:r>
        <w:rPr>
          <w:rFonts w:eastAsia="Calibri"/>
          <w:lang w:eastAsia="en-US"/>
        </w:rPr>
        <w:t xml:space="preserve">was considered </w:t>
      </w:r>
      <w:r w:rsidRPr="00574E6E">
        <w:rPr>
          <w:rFonts w:eastAsia="Calibri"/>
          <w:lang w:eastAsia="en-US"/>
        </w:rPr>
        <w:t>as a worst case (most difficult conditions) thus there is no need to demonstrate the yeasticidal activity of the aged product.</w:t>
      </w:r>
    </w:p>
    <w:p w14:paraId="5947FA69" w14:textId="77777777" w:rsidR="00574E6E" w:rsidRDefault="00574E6E">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686955BC"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68B44FE1" w14:textId="77777777" w:rsidR="009D0C0B" w:rsidRDefault="00FA480B">
            <w:pPr>
              <w:spacing w:line="260" w:lineRule="atLeast"/>
            </w:pPr>
            <w:r>
              <w:rPr>
                <w:rFonts w:eastAsia="Calibri"/>
                <w:b/>
                <w:bCs/>
                <w:lang w:eastAsia="en-US"/>
              </w:rPr>
              <w:t>Conclusion on the efficacy of the product</w:t>
            </w:r>
          </w:p>
        </w:tc>
      </w:tr>
      <w:tr w:rsidR="009D0C0B" w14:paraId="3B85620A"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4124F891" w14:textId="56FC2C26" w:rsidR="002A0B13" w:rsidRPr="00431980" w:rsidRDefault="009A4765" w:rsidP="002A0B13">
            <w:pPr>
              <w:suppressAutoHyphens w:val="0"/>
              <w:spacing w:line="260" w:lineRule="atLeast"/>
              <w:jc w:val="both"/>
              <w:rPr>
                <w:rFonts w:eastAsia="Calibri" w:cs="Times New Roman"/>
                <w:lang w:eastAsia="en-US"/>
              </w:rPr>
            </w:pPr>
            <w:r>
              <w:rPr>
                <w:rFonts w:eastAsia="Calibri" w:cs="Times New Roman"/>
                <w:lang w:eastAsia="en-US"/>
              </w:rPr>
              <w:t>T</w:t>
            </w:r>
            <w:r w:rsidR="002A0B13" w:rsidRPr="00431980">
              <w:rPr>
                <w:rFonts w:eastAsia="Calibri"/>
              </w:rPr>
              <w:t>he product</w:t>
            </w:r>
            <w:r w:rsidR="002A0B13" w:rsidRPr="00431980">
              <w:rPr>
                <w:rFonts w:eastAsia="Calibri" w:cs="Times New Roman"/>
                <w:lang w:eastAsia="en-US"/>
              </w:rPr>
              <w:t xml:space="preserve"> </w:t>
            </w:r>
            <w:r w:rsidR="002152B7">
              <w:rPr>
                <w:rFonts w:ascii="Arial" w:hAnsi="Arial" w:cs="Arial"/>
                <w:bCs/>
                <w:color w:val="000000"/>
                <w:lang w:eastAsia="de-DE"/>
              </w:rPr>
              <w:t>ALGOFILM</w:t>
            </w:r>
            <w:r w:rsidR="002A0B13" w:rsidRPr="00431980">
              <w:rPr>
                <w:rFonts w:eastAsia="Calibri" w:cs="Times"/>
                <w:color w:val="000000"/>
                <w:lang w:eastAsia="en-US"/>
              </w:rPr>
              <w:t>,</w:t>
            </w:r>
            <w:r w:rsidR="002A0B13" w:rsidRPr="00431980">
              <w:rPr>
                <w:rFonts w:eastAsia="Calibri" w:cs="Times"/>
                <w:color w:val="000000"/>
                <w:sz w:val="18"/>
                <w:szCs w:val="18"/>
                <w:lang w:eastAsia="en-US"/>
              </w:rPr>
              <w:t xml:space="preserve"> </w:t>
            </w:r>
            <w:r w:rsidR="002A0B13" w:rsidRPr="00431980">
              <w:rPr>
                <w:rFonts w:eastAsia="Calibri"/>
              </w:rPr>
              <w:t>has</w:t>
            </w:r>
            <w:r w:rsidR="002A0B13" w:rsidRPr="00431980">
              <w:rPr>
                <w:rFonts w:eastAsia="Calibri" w:cs="Times New Roman"/>
                <w:lang w:eastAsia="en-US"/>
              </w:rPr>
              <w:t xml:space="preserve"> shown a sufficient efficacy in accordance with the requirements of </w:t>
            </w:r>
            <w:r w:rsidR="002A0B13" w:rsidRPr="00431980">
              <w:rPr>
                <w:rFonts w:eastAsia="Calibri" w:cs="Times New Roman"/>
                <w:lang w:eastAsia="fi-FI"/>
              </w:rPr>
              <w:t xml:space="preserve">the guidance on the Biocidal Products Regulation, </w:t>
            </w:r>
            <w:r w:rsidR="002A0B13" w:rsidRPr="00431980">
              <w:rPr>
                <w:rFonts w:eastAsia="Calibri"/>
                <w:lang w:eastAsia="fi-FI"/>
              </w:rPr>
              <w:t>Volume</w:t>
            </w:r>
            <w:r w:rsidR="002A0B13" w:rsidRPr="00431980">
              <w:rPr>
                <w:rFonts w:eastAsia="Calibri" w:cs="Times New Roman"/>
                <w:lang w:eastAsia="fi-FI"/>
              </w:rPr>
              <w:t xml:space="preserve"> II Efficacy – Assess</w:t>
            </w:r>
            <w:r w:rsidR="002A0B13" w:rsidRPr="00431980">
              <w:rPr>
                <w:rFonts w:eastAsia="Calibri"/>
                <w:lang w:eastAsia="fi-FI"/>
              </w:rPr>
              <w:t>ment and Evaluation (Parts B+C)</w:t>
            </w:r>
            <w:r w:rsidR="002A0B13" w:rsidRPr="00D17BFC">
              <w:rPr>
                <w:rFonts w:eastAsia="Calibri" w:cs="Times New Roman"/>
                <w:lang w:eastAsia="fi-FI"/>
              </w:rPr>
              <w:t xml:space="preserve"> </w:t>
            </w:r>
            <w:r w:rsidR="002152B7">
              <w:rPr>
                <w:rFonts w:eastAsia="Calibri" w:cs="Times New Roman"/>
                <w:lang w:eastAsia="en-US"/>
              </w:rPr>
              <w:t>for the following use</w:t>
            </w:r>
            <w:r w:rsidR="002A0B13" w:rsidRPr="00431980">
              <w:rPr>
                <w:rFonts w:eastAsia="Calibri" w:cs="Times New Roman"/>
                <w:lang w:eastAsia="en-US"/>
              </w:rPr>
              <w:t>:</w:t>
            </w:r>
          </w:p>
          <w:p w14:paraId="2C0AF5D3" w14:textId="18684A79" w:rsidR="009D0C0B" w:rsidRPr="002152B7" w:rsidRDefault="002152B7" w:rsidP="00AB1CDB">
            <w:pPr>
              <w:numPr>
                <w:ilvl w:val="0"/>
                <w:numId w:val="13"/>
              </w:numPr>
              <w:suppressAutoHyphens w:val="0"/>
              <w:spacing w:line="260" w:lineRule="atLeast"/>
              <w:contextualSpacing/>
              <w:jc w:val="both"/>
              <w:rPr>
                <w:rFonts w:eastAsia="Calibri"/>
                <w:lang w:eastAsia="fi-FI"/>
              </w:rPr>
            </w:pPr>
            <w:r w:rsidRPr="002152B7">
              <w:rPr>
                <w:rFonts w:eastAsia="Calibri"/>
                <w:lang w:eastAsia="fi-FI"/>
              </w:rPr>
              <w:t>Teat disinfection after milking by manual or automated dipping</w:t>
            </w:r>
            <w:r>
              <w:rPr>
                <w:rFonts w:eastAsia="Calibri"/>
                <w:lang w:eastAsia="fi-FI"/>
              </w:rPr>
              <w:t xml:space="preserve">: </w:t>
            </w:r>
            <w:r w:rsidR="00724581">
              <w:rPr>
                <w:rFonts w:eastAsia="Calibri"/>
                <w:lang w:eastAsia="fi-FI"/>
              </w:rPr>
              <w:t>ready-to-use</w:t>
            </w:r>
            <w:r w:rsidRPr="002152B7">
              <w:rPr>
                <w:rFonts w:eastAsia="Calibri"/>
                <w:lang w:eastAsia="fi-FI"/>
              </w:rPr>
              <w:t xml:space="preserve"> with a contact time of 5 minutes,</w:t>
            </w:r>
            <w:r>
              <w:rPr>
                <w:rFonts w:eastAsia="Calibri"/>
                <w:lang w:eastAsia="fi-FI"/>
              </w:rPr>
              <w:t xml:space="preserve"> </w:t>
            </w:r>
            <w:r w:rsidRPr="002152B7">
              <w:rPr>
                <w:rFonts w:eastAsia="Calibri"/>
                <w:lang w:eastAsia="fi-FI"/>
              </w:rPr>
              <w:t>against bacteria and yeasts.</w:t>
            </w:r>
          </w:p>
        </w:tc>
      </w:tr>
    </w:tbl>
    <w:p w14:paraId="55134226" w14:textId="77777777" w:rsidR="00695468" w:rsidRDefault="00695468">
      <w:pPr>
        <w:spacing w:line="260" w:lineRule="atLeast"/>
        <w:ind w:left="360"/>
        <w:rPr>
          <w:rFonts w:eastAsia="Calibri"/>
          <w:lang w:eastAsia="en-US"/>
        </w:rPr>
        <w:sectPr w:rsidR="00695468" w:rsidSect="002A0B13">
          <w:pgSz w:w="11906" w:h="16838"/>
          <w:pgMar w:top="1474" w:right="1247" w:bottom="2013" w:left="1446" w:header="851" w:footer="851" w:gutter="0"/>
          <w:cols w:space="720"/>
          <w:docGrid w:linePitch="272"/>
        </w:sectPr>
      </w:pPr>
    </w:p>
    <w:p w14:paraId="070EF0EE" w14:textId="614CA999" w:rsidR="009D0C0B" w:rsidRDefault="009D0C0B">
      <w:pPr>
        <w:spacing w:line="260" w:lineRule="atLeast"/>
        <w:ind w:left="360"/>
        <w:rPr>
          <w:rFonts w:eastAsia="Calibri"/>
          <w:lang w:eastAsia="en-US"/>
        </w:rPr>
      </w:pPr>
    </w:p>
    <w:p w14:paraId="633D7F06" w14:textId="77777777" w:rsidR="009D0C0B" w:rsidRDefault="00FA480B">
      <w:pPr>
        <w:pStyle w:val="Titre4"/>
        <w:rPr>
          <w:rFonts w:ascii="Times New Roman" w:hAnsi="Times New Roman" w:cs="Times New Roman"/>
          <w:i/>
          <w:iCs/>
          <w:lang w:eastAsia="en-US"/>
        </w:rPr>
      </w:pPr>
      <w:bookmarkStart w:id="65" w:name="_Toc74732485"/>
      <w:r>
        <w:t>Occurrence of resistance and resistance management</w:t>
      </w:r>
      <w:bookmarkEnd w:id="65"/>
    </w:p>
    <w:p w14:paraId="5DC4CA52" w14:textId="4154AA8F" w:rsidR="00053DE4" w:rsidRPr="00053DE4" w:rsidRDefault="000A7815" w:rsidP="00053DE4">
      <w:pPr>
        <w:suppressAutoHyphens w:val="0"/>
        <w:jc w:val="both"/>
        <w:rPr>
          <w:rFonts w:eastAsia="Calibri" w:cs="Times New Roman"/>
          <w:iCs/>
          <w:lang w:eastAsia="en-US"/>
        </w:rPr>
      </w:pPr>
      <w:r w:rsidRPr="00753A9A">
        <w:rPr>
          <w:rFonts w:cs="Arial"/>
        </w:rPr>
        <w:t>Acc</w:t>
      </w:r>
      <w:r>
        <w:rPr>
          <w:rFonts w:cs="Arial"/>
        </w:rPr>
        <w:t>ording to the Assessment Report of</w:t>
      </w:r>
      <w:r w:rsidRPr="00753A9A">
        <w:rPr>
          <w:rFonts w:cs="Arial"/>
        </w:rPr>
        <w:t xml:space="preserve"> L(+) lactic acid (June 2017),</w:t>
      </w:r>
      <w:r>
        <w:rPr>
          <w:rFonts w:cs="Arial"/>
        </w:rPr>
        <w:t xml:space="preserve"> </w:t>
      </w:r>
      <w:r>
        <w:rPr>
          <w:rFonts w:eastAsia="Calibri" w:cs="Times New Roman"/>
          <w:iCs/>
          <w:lang w:eastAsia="en-US"/>
        </w:rPr>
        <w:t>n</w:t>
      </w:r>
      <w:r w:rsidR="00053DE4" w:rsidRPr="00053DE4">
        <w:rPr>
          <w:rFonts w:eastAsia="Calibri" w:cs="Times New Roman"/>
          <w:iCs/>
          <w:lang w:eastAsia="en-US"/>
        </w:rPr>
        <w:t>o reduction in efficacy was reported in the literature for such applications indicating that no development of resistant microorganisms has occurred.</w:t>
      </w:r>
    </w:p>
    <w:p w14:paraId="5A706281" w14:textId="0F26DFCC" w:rsidR="00724581" w:rsidRDefault="00724581" w:rsidP="00053DE4">
      <w:pPr>
        <w:suppressAutoHyphens w:val="0"/>
        <w:jc w:val="both"/>
        <w:rPr>
          <w:rFonts w:eastAsia="Calibri" w:cs="Times New Roman"/>
          <w:bCs/>
          <w:iCs/>
          <w:lang w:val="en-US" w:eastAsia="en-US"/>
        </w:rPr>
      </w:pPr>
    </w:p>
    <w:p w14:paraId="616441D7" w14:textId="3ED9F61C" w:rsidR="000A7815" w:rsidRDefault="000A7815" w:rsidP="00053DE4">
      <w:pPr>
        <w:suppressAutoHyphens w:val="0"/>
        <w:jc w:val="both"/>
        <w:rPr>
          <w:rFonts w:eastAsia="Calibri" w:cs="Times New Roman"/>
          <w:bCs/>
          <w:iCs/>
          <w:lang w:val="en-US" w:eastAsia="en-US"/>
        </w:rPr>
      </w:pPr>
      <w:r w:rsidRPr="00753A9A">
        <w:rPr>
          <w:rFonts w:cs="Arial"/>
        </w:rPr>
        <w:t>Acc</w:t>
      </w:r>
      <w:r>
        <w:rPr>
          <w:rFonts w:cs="Arial"/>
        </w:rPr>
        <w:t>ording to the Assessment Report of</w:t>
      </w:r>
      <w:r w:rsidRPr="00753A9A">
        <w:rPr>
          <w:rFonts w:cs="Arial"/>
        </w:rPr>
        <w:t xml:space="preserve"> L(+) lactic acid (</w:t>
      </w:r>
      <w:r>
        <w:rPr>
          <w:rFonts w:cs="Arial"/>
        </w:rPr>
        <w:t>2013</w:t>
      </w:r>
      <w:r w:rsidRPr="00753A9A">
        <w:rPr>
          <w:rFonts w:cs="Arial"/>
        </w:rPr>
        <w:t>), resistance is unlikely to develop.</w:t>
      </w:r>
    </w:p>
    <w:p w14:paraId="7CDB6D7C" w14:textId="77777777" w:rsidR="000A7815" w:rsidRDefault="000A7815" w:rsidP="00053DE4">
      <w:pPr>
        <w:suppressAutoHyphens w:val="0"/>
        <w:jc w:val="both"/>
        <w:rPr>
          <w:rFonts w:eastAsia="Calibri" w:cs="Times New Roman"/>
          <w:bCs/>
          <w:iCs/>
          <w:lang w:val="en-US" w:eastAsia="en-US"/>
        </w:rPr>
      </w:pPr>
    </w:p>
    <w:p w14:paraId="6192A34C" w14:textId="00A87A81" w:rsidR="00053DE4" w:rsidRPr="00053DE4" w:rsidRDefault="00053DE4" w:rsidP="00053DE4">
      <w:pPr>
        <w:suppressAutoHyphens w:val="0"/>
        <w:jc w:val="both"/>
        <w:rPr>
          <w:rFonts w:eastAsia="Calibri" w:cs="Times New Roman"/>
          <w:bCs/>
          <w:iCs/>
          <w:lang w:val="en-US" w:eastAsia="en-US"/>
        </w:rPr>
      </w:pPr>
      <w:r w:rsidRPr="00053DE4">
        <w:rPr>
          <w:rFonts w:eastAsia="Calibri" w:cs="Times New Roman"/>
          <w:bCs/>
          <w:iCs/>
          <w:lang w:val="en-US" w:eastAsia="en-US"/>
        </w:rPr>
        <w:t>The authorization holder has to report any observed resistance incidents to the Competent Authorities (CA) or other appointed bodies involved in resistance management.</w:t>
      </w:r>
    </w:p>
    <w:p w14:paraId="1046DE13" w14:textId="0156D8F6" w:rsidR="009D0C0B" w:rsidRDefault="009D0C0B">
      <w:pPr>
        <w:spacing w:line="260" w:lineRule="atLeast"/>
        <w:rPr>
          <w:rFonts w:ascii="Times New Roman" w:eastAsia="Calibri" w:hAnsi="Times New Roman" w:cs="Times New Roman"/>
          <w:i/>
          <w:iCs/>
          <w:szCs w:val="24"/>
          <w:lang w:eastAsia="en-US"/>
        </w:rPr>
      </w:pPr>
    </w:p>
    <w:p w14:paraId="7BCE0AB6" w14:textId="000017E3" w:rsidR="00724581" w:rsidRDefault="00724581">
      <w:pPr>
        <w:spacing w:line="260" w:lineRule="atLeast"/>
        <w:rPr>
          <w:rFonts w:ascii="Times New Roman" w:eastAsia="Calibri" w:hAnsi="Times New Roman" w:cs="Times New Roman"/>
          <w:i/>
          <w:iCs/>
          <w:szCs w:val="24"/>
          <w:lang w:eastAsia="en-US"/>
        </w:rPr>
      </w:pPr>
    </w:p>
    <w:p w14:paraId="09C228F1" w14:textId="77777777" w:rsidR="009D0C0B" w:rsidRDefault="00FA480B">
      <w:pPr>
        <w:pStyle w:val="Titre4"/>
        <w:rPr>
          <w:rFonts w:ascii="Times New Roman" w:hAnsi="Times New Roman" w:cs="Times New Roman"/>
          <w:i/>
          <w:iCs/>
          <w:lang w:eastAsia="en-US"/>
        </w:rPr>
      </w:pPr>
      <w:bookmarkStart w:id="66" w:name="_Toc74732486"/>
      <w:r>
        <w:t>Known limitations</w:t>
      </w:r>
      <w:bookmarkEnd w:id="66"/>
    </w:p>
    <w:p w14:paraId="7C1CE58C" w14:textId="77777777" w:rsidR="00053DE4" w:rsidRPr="00391E61" w:rsidRDefault="00053DE4" w:rsidP="00053DE4">
      <w:pPr>
        <w:jc w:val="both"/>
        <w:rPr>
          <w:rFonts w:cs="Arial"/>
          <w:highlight w:val="yellow"/>
        </w:rPr>
      </w:pPr>
      <w:r>
        <w:rPr>
          <w:rStyle w:val="tlid-translation"/>
          <w:rFonts w:eastAsia="Arial"/>
        </w:rPr>
        <w:t>None.</w:t>
      </w:r>
    </w:p>
    <w:p w14:paraId="133699D0" w14:textId="77777777" w:rsidR="009D0C0B" w:rsidRDefault="009D0C0B">
      <w:pPr>
        <w:spacing w:line="260" w:lineRule="atLeast"/>
        <w:rPr>
          <w:rFonts w:ascii="Times New Roman" w:eastAsia="Calibri" w:hAnsi="Times New Roman" w:cs="Times New Roman"/>
          <w:i/>
          <w:iCs/>
          <w:szCs w:val="24"/>
          <w:lang w:eastAsia="en-US"/>
        </w:rPr>
      </w:pPr>
    </w:p>
    <w:p w14:paraId="30B78606" w14:textId="77777777" w:rsidR="009D0C0B" w:rsidRDefault="00FA480B">
      <w:pPr>
        <w:pStyle w:val="Titre4"/>
        <w:rPr>
          <w:rFonts w:ascii="Times New Roman" w:hAnsi="Times New Roman" w:cs="Times New Roman"/>
          <w:i/>
          <w:iCs/>
          <w:lang w:eastAsia="en-US"/>
        </w:rPr>
      </w:pPr>
      <w:bookmarkStart w:id="67" w:name="_Toc74732487"/>
      <w:r>
        <w:t>Evaluation of the label claims</w:t>
      </w:r>
      <w:bookmarkEnd w:id="67"/>
    </w:p>
    <w:p w14:paraId="33D85CF2" w14:textId="15DCBE78" w:rsidR="00053DE4" w:rsidRPr="00377AC6" w:rsidRDefault="00724581" w:rsidP="00377AC6">
      <w:pPr>
        <w:jc w:val="both"/>
        <w:rPr>
          <w:rFonts w:eastAsia="Calibri"/>
          <w:lang w:val="sv-SE" w:eastAsia="en-US"/>
        </w:rPr>
      </w:pPr>
      <w:r w:rsidRPr="00377AC6">
        <w:rPr>
          <w:rFonts w:eastAsia="Calibri"/>
          <w:lang w:val="sv-SE" w:eastAsia="en-US"/>
        </w:rPr>
        <w:t>T</w:t>
      </w:r>
      <w:r w:rsidR="00053DE4" w:rsidRPr="00377AC6">
        <w:rPr>
          <w:rFonts w:eastAsia="Calibri"/>
          <w:lang w:val="sv-SE" w:eastAsia="en-US"/>
        </w:rPr>
        <w:t xml:space="preserve">he product ALGOFILM, has demonstrated a sufficient efficacy for the following </w:t>
      </w:r>
      <w:r w:rsidR="00BB55A0" w:rsidRPr="00377AC6">
        <w:rPr>
          <w:rFonts w:eastAsia="Calibri"/>
          <w:lang w:val="sv-SE" w:eastAsia="en-US"/>
        </w:rPr>
        <w:t>use</w:t>
      </w:r>
      <w:r w:rsidR="00053DE4" w:rsidRPr="00377AC6">
        <w:rPr>
          <w:rFonts w:eastAsia="Calibri"/>
          <w:lang w:val="sv-SE" w:eastAsia="en-US"/>
        </w:rPr>
        <w:t xml:space="preserve">: </w:t>
      </w:r>
    </w:p>
    <w:p w14:paraId="4FEC668B" w14:textId="5EC8F2EF" w:rsidR="00053DE4" w:rsidRPr="00377AC6" w:rsidRDefault="00053DE4" w:rsidP="00377AC6">
      <w:pPr>
        <w:pStyle w:val="Paragraphedeliste"/>
        <w:numPr>
          <w:ilvl w:val="0"/>
          <w:numId w:val="13"/>
        </w:numPr>
        <w:jc w:val="both"/>
        <w:rPr>
          <w:rFonts w:eastAsia="Calibri"/>
          <w:lang w:val="sv-SE" w:eastAsia="en-US"/>
        </w:rPr>
      </w:pPr>
      <w:r w:rsidRPr="00377AC6">
        <w:rPr>
          <w:rFonts w:eastAsia="Calibri"/>
          <w:lang w:eastAsia="fi-FI"/>
        </w:rPr>
        <w:t xml:space="preserve">Teat disinfection after milking by manual or automated dipping: </w:t>
      </w:r>
      <w:r w:rsidR="00724581" w:rsidRPr="00377AC6">
        <w:rPr>
          <w:rFonts w:eastAsia="Calibri"/>
          <w:lang w:eastAsia="fi-FI"/>
        </w:rPr>
        <w:t>ready-to-use</w:t>
      </w:r>
      <w:r w:rsidRPr="00377AC6">
        <w:rPr>
          <w:rFonts w:eastAsia="Calibri"/>
          <w:lang w:eastAsia="fi-FI"/>
        </w:rPr>
        <w:t xml:space="preserve"> with a contact time of 5 minutes, against bacteria and yeasts.</w:t>
      </w:r>
    </w:p>
    <w:p w14:paraId="23DF35F3" w14:textId="520D8D73" w:rsidR="00724581" w:rsidRPr="00377AC6" w:rsidRDefault="00724581" w:rsidP="00377AC6">
      <w:pPr>
        <w:jc w:val="both"/>
        <w:rPr>
          <w:rFonts w:eastAsia="Calibri"/>
          <w:caps/>
          <w:sz w:val="18"/>
          <w:szCs w:val="28"/>
          <w:lang w:eastAsia="en-US"/>
        </w:rPr>
      </w:pPr>
    </w:p>
    <w:p w14:paraId="585F58E8" w14:textId="77777777" w:rsidR="00724581" w:rsidRPr="00377AC6" w:rsidRDefault="00724581" w:rsidP="00377AC6">
      <w:pPr>
        <w:jc w:val="both"/>
        <w:rPr>
          <w:lang w:val="en-US"/>
        </w:rPr>
      </w:pPr>
      <w:r w:rsidRPr="00377AC6">
        <w:rPr>
          <w:szCs w:val="22"/>
        </w:rPr>
        <w:t>To ensure a satisfactory level of efficacy and avoid the development of resistance, the recommendations proposed in the SPC have to be implemented.</w:t>
      </w:r>
    </w:p>
    <w:p w14:paraId="65B04A03" w14:textId="31F76C15" w:rsidR="00724581" w:rsidRPr="00377AC6" w:rsidRDefault="00724581">
      <w:pPr>
        <w:spacing w:line="260" w:lineRule="atLeast"/>
        <w:jc w:val="both"/>
        <w:rPr>
          <w:rFonts w:eastAsia="Calibri" w:cs="Arial"/>
          <w:bCs/>
          <w:i/>
          <w:iCs/>
          <w:caps/>
          <w:sz w:val="18"/>
          <w:szCs w:val="28"/>
          <w:lang w:eastAsia="en-US"/>
        </w:rPr>
      </w:pPr>
    </w:p>
    <w:p w14:paraId="2E03507C" w14:textId="77777777" w:rsidR="009D0C0B" w:rsidRDefault="009D0C0B">
      <w:pPr>
        <w:spacing w:line="260" w:lineRule="atLeast"/>
        <w:jc w:val="both"/>
        <w:rPr>
          <w:rFonts w:ascii="Times New Roman" w:eastAsia="Calibri" w:hAnsi="Times New Roman" w:cs="Arial"/>
          <w:bCs/>
          <w:i/>
          <w:iCs/>
          <w:caps/>
          <w:szCs w:val="28"/>
          <w:lang w:eastAsia="en-US"/>
        </w:rPr>
      </w:pPr>
    </w:p>
    <w:p w14:paraId="50338075" w14:textId="1146C502" w:rsidR="009D0C0B" w:rsidRDefault="00FA480B">
      <w:pPr>
        <w:pStyle w:val="Titre4"/>
      </w:pPr>
      <w:bookmarkStart w:id="68" w:name="_Toc74732488"/>
      <w:r>
        <w:t>Relevant information if the product is intended to be authorised for use with other biocidal product(s)</w:t>
      </w:r>
      <w:bookmarkEnd w:id="68"/>
    </w:p>
    <w:p w14:paraId="6300A941" w14:textId="7DA7F30E" w:rsidR="00BD0BF7" w:rsidRPr="00BD0BF7" w:rsidRDefault="00BD0BF7" w:rsidP="00BD0BF7">
      <w:pPr>
        <w:pStyle w:val="Corpsdetexte"/>
        <w:rPr>
          <w:lang w:val="de-DE"/>
        </w:rPr>
      </w:pPr>
      <w:r>
        <w:rPr>
          <w:lang w:val="de-DE"/>
        </w:rPr>
        <w:t>The product is not inteded to be used with other biocidal product.</w:t>
      </w:r>
    </w:p>
    <w:p w14:paraId="62D3F96B" w14:textId="77777777" w:rsidR="009D0C0B" w:rsidRDefault="00FA480B">
      <w:pPr>
        <w:pStyle w:val="Titre3"/>
        <w:pageBreakBefore/>
        <w:rPr>
          <w:rFonts w:ascii="Times New Roman" w:eastAsia="Calibri" w:hAnsi="Times New Roman" w:cs="Times New Roman"/>
          <w:i/>
          <w:iCs/>
          <w:lang w:eastAsia="en-US"/>
        </w:rPr>
      </w:pPr>
      <w:bookmarkStart w:id="69" w:name="_Toc74732489"/>
      <w:r>
        <w:lastRenderedPageBreak/>
        <w:t>Risk assessment for human health</w:t>
      </w:r>
      <w:bookmarkEnd w:id="69"/>
    </w:p>
    <w:p w14:paraId="4A67229D" w14:textId="743AD56C" w:rsidR="009D0C0B" w:rsidRDefault="00FA480B">
      <w:pPr>
        <w:pStyle w:val="Titre4"/>
      </w:pPr>
      <w:bookmarkStart w:id="70" w:name="_Toc74732490"/>
      <w:r>
        <w:t>Assessment of effects on Human Health</w:t>
      </w:r>
      <w:bookmarkEnd w:id="70"/>
      <w:r>
        <w:t xml:space="preserve"> </w:t>
      </w:r>
    </w:p>
    <w:p w14:paraId="101A8294" w14:textId="1960E407" w:rsidR="00452E09" w:rsidRDefault="00452E09" w:rsidP="00850DB8">
      <w:pPr>
        <w:pStyle w:val="Corpsdetexte"/>
      </w:pPr>
    </w:p>
    <w:p w14:paraId="5AA0986E" w14:textId="77777777" w:rsidR="00452E09" w:rsidRDefault="00452E09" w:rsidP="00452E09">
      <w:pPr>
        <w:rPr>
          <w:rFonts w:ascii="Times New Roman" w:eastAsia="Calibri" w:hAnsi="Times New Roman" w:cs="Times New Roman"/>
          <w:i/>
          <w:iCs/>
          <w:lang w:eastAsia="en-US"/>
        </w:rPr>
      </w:pPr>
      <w:r>
        <w:rPr>
          <w:rFonts w:eastAsia="Calibri"/>
          <w:b/>
          <w:i/>
          <w:sz w:val="22"/>
          <w:szCs w:val="22"/>
          <w:lang w:eastAsia="en-US"/>
        </w:rPr>
        <w:t>Skin corrosion and irritation</w:t>
      </w:r>
    </w:p>
    <w:p w14:paraId="6B93A338" w14:textId="01882E54" w:rsidR="00452E09" w:rsidRDefault="00452E09" w:rsidP="00452E09">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452E09" w14:paraId="327F95EB"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19E99ED8" w14:textId="77777777" w:rsidR="00452E09" w:rsidRDefault="00452E09" w:rsidP="00452E09">
            <w:pPr>
              <w:spacing w:line="260" w:lineRule="atLeast"/>
            </w:pPr>
            <w:r>
              <w:rPr>
                <w:rFonts w:eastAsia="Calibri"/>
                <w:b/>
                <w:lang w:eastAsia="en-US"/>
              </w:rPr>
              <w:t>Data waiving</w:t>
            </w:r>
          </w:p>
        </w:tc>
      </w:tr>
      <w:tr w:rsidR="00452E09" w14:paraId="4412F46F" w14:textId="77777777" w:rsidTr="00452E09">
        <w:tc>
          <w:tcPr>
            <w:tcW w:w="1955" w:type="dxa"/>
            <w:tcBorders>
              <w:top w:val="single" w:sz="6" w:space="0" w:color="000000"/>
              <w:left w:val="single" w:sz="4" w:space="0" w:color="000000"/>
              <w:bottom w:val="single" w:sz="6" w:space="0" w:color="000000"/>
            </w:tcBorders>
            <w:shd w:val="clear" w:color="auto" w:fill="auto"/>
          </w:tcPr>
          <w:p w14:paraId="63A71CDB"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D0AD826" w14:textId="77777777" w:rsidR="00452E09" w:rsidRDefault="00452E09" w:rsidP="00452E09">
            <w:pPr>
              <w:snapToGrid w:val="0"/>
              <w:spacing w:line="260" w:lineRule="atLeast"/>
              <w:rPr>
                <w:rFonts w:eastAsia="Calibri"/>
                <w:lang w:eastAsia="en-US"/>
              </w:rPr>
            </w:pPr>
            <w:r>
              <w:rPr>
                <w:rFonts w:eastAsia="Calibri"/>
                <w:lang w:eastAsia="en-US"/>
              </w:rPr>
              <w:t xml:space="preserve">No </w:t>
            </w:r>
            <w:r w:rsidRPr="000C6F19">
              <w:rPr>
                <w:rFonts w:eastAsia="Calibri"/>
                <w:i/>
                <w:lang w:eastAsia="en-US"/>
              </w:rPr>
              <w:t>in vitro/in vivo</w:t>
            </w:r>
            <w:r>
              <w:rPr>
                <w:rFonts w:eastAsia="Calibri"/>
                <w:lang w:eastAsia="en-US"/>
              </w:rPr>
              <w:t xml:space="preserve"> study is considered necessary.</w:t>
            </w:r>
          </w:p>
        </w:tc>
      </w:tr>
      <w:tr w:rsidR="00452E09" w14:paraId="24E09CAA" w14:textId="77777777" w:rsidTr="00452E09">
        <w:tc>
          <w:tcPr>
            <w:tcW w:w="1955" w:type="dxa"/>
            <w:tcBorders>
              <w:top w:val="single" w:sz="6" w:space="0" w:color="000000"/>
              <w:left w:val="single" w:sz="4" w:space="0" w:color="000000"/>
              <w:bottom w:val="single" w:sz="6" w:space="0" w:color="000000"/>
            </w:tcBorders>
            <w:shd w:val="clear" w:color="auto" w:fill="auto"/>
          </w:tcPr>
          <w:p w14:paraId="26381CDE"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1B8429F" w14:textId="7CDF1D2F" w:rsidR="00452E09" w:rsidRDefault="0004652B" w:rsidP="0004652B">
            <w:pPr>
              <w:snapToGrid w:val="0"/>
              <w:spacing w:line="260" w:lineRule="atLeast"/>
              <w:rPr>
                <w:rFonts w:eastAsia="Calibri"/>
                <w:lang w:eastAsia="en-US"/>
              </w:rPr>
            </w:pPr>
            <w:r>
              <w:rPr>
                <w:rFonts w:eastAsia="Calibri"/>
                <w:lang w:eastAsia="en-US"/>
              </w:rPr>
              <w:t xml:space="preserve">pH of the product (3.84) is superior to 2 and inferior to 11.5. </w:t>
            </w:r>
            <w:r w:rsidR="00452E09">
              <w:rPr>
                <w:rFonts w:eastAsia="Calibri"/>
                <w:lang w:eastAsia="en-US"/>
              </w:rPr>
              <w:t>None of AS/formulants are above the threshold of 1% (to be used for additive approach) for this endpoint</w:t>
            </w:r>
            <w:r>
              <w:rPr>
                <w:rFonts w:eastAsia="Calibri"/>
                <w:lang w:eastAsia="en-US"/>
              </w:rPr>
              <w:t>. Therefore,</w:t>
            </w:r>
            <w:r w:rsidR="00452E09">
              <w:rPr>
                <w:rFonts w:eastAsia="Calibri"/>
                <w:lang w:eastAsia="en-US"/>
              </w:rPr>
              <w:t xml:space="preserve"> no classification is warranted under CLP.</w:t>
            </w:r>
          </w:p>
        </w:tc>
      </w:tr>
    </w:tbl>
    <w:p w14:paraId="4FB272C0" w14:textId="3D1F60C7" w:rsidR="00452E09" w:rsidRDefault="00452E09" w:rsidP="00452E09">
      <w:pPr>
        <w:spacing w:line="260" w:lineRule="atLeast"/>
        <w:rPr>
          <w:rFonts w:eastAsia="Calibri"/>
          <w:lang w:eastAsia="en-US"/>
        </w:rPr>
      </w:pPr>
    </w:p>
    <w:p w14:paraId="0BE91402" w14:textId="77777777" w:rsidR="00452E09" w:rsidRDefault="00452E09" w:rsidP="00452E09">
      <w:pPr>
        <w:rPr>
          <w:rFonts w:ascii="Times New Roman" w:eastAsia="Calibri" w:hAnsi="Times New Roman" w:cs="Times New Roman"/>
          <w:i/>
          <w:iCs/>
          <w:lang w:eastAsia="en-US"/>
        </w:rPr>
      </w:pPr>
      <w:r>
        <w:rPr>
          <w:rFonts w:eastAsia="Calibri"/>
          <w:b/>
          <w:i/>
          <w:sz w:val="22"/>
          <w:szCs w:val="22"/>
          <w:lang w:eastAsia="en-US"/>
        </w:rPr>
        <w:t>Eye irritation</w:t>
      </w:r>
    </w:p>
    <w:p w14:paraId="07B1458E" w14:textId="77777777" w:rsidR="00452E09" w:rsidRDefault="00452E09" w:rsidP="00452E09">
      <w:pPr>
        <w:spacing w:line="260" w:lineRule="atLeast"/>
        <w:rPr>
          <w:rFonts w:ascii="Times New Roman" w:eastAsia="Calibri" w:hAnsi="Times New Roman" w:cs="Times New Roman"/>
          <w:i/>
          <w:iCs/>
          <w:lang w:eastAsia="en-US"/>
        </w:rPr>
      </w:pPr>
      <w:r w:rsidDel="00ED31B5">
        <w:rPr>
          <w:rFonts w:ascii="Times New Roman" w:eastAsia="Calibri" w:hAnsi="Times New Roman" w:cs="Times New Roman"/>
          <w:i/>
          <w:iCs/>
          <w:lang w:eastAsia="en-US"/>
        </w:rPr>
        <w:t xml:space="preserve"> </w:t>
      </w:r>
    </w:p>
    <w:tbl>
      <w:tblPr>
        <w:tblW w:w="9341" w:type="dxa"/>
        <w:tblInd w:w="-9" w:type="dxa"/>
        <w:tblLayout w:type="fixed"/>
        <w:tblLook w:val="0000" w:firstRow="0" w:lastRow="0" w:firstColumn="0" w:lastColumn="0" w:noHBand="0" w:noVBand="0"/>
      </w:tblPr>
      <w:tblGrid>
        <w:gridCol w:w="1955"/>
        <w:gridCol w:w="7386"/>
      </w:tblGrid>
      <w:tr w:rsidR="00452E09" w14:paraId="671CEFBB"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36C60E3C" w14:textId="77777777" w:rsidR="00452E09" w:rsidRDefault="00452E09" w:rsidP="00452E09">
            <w:pPr>
              <w:spacing w:line="260" w:lineRule="atLeast"/>
            </w:pPr>
            <w:r>
              <w:rPr>
                <w:rFonts w:eastAsia="Calibri"/>
                <w:b/>
                <w:lang w:eastAsia="en-US"/>
              </w:rPr>
              <w:t>Data waiving</w:t>
            </w:r>
          </w:p>
        </w:tc>
      </w:tr>
      <w:tr w:rsidR="00452E09" w14:paraId="5116FD76" w14:textId="77777777" w:rsidTr="00452E09">
        <w:tc>
          <w:tcPr>
            <w:tcW w:w="1955" w:type="dxa"/>
            <w:tcBorders>
              <w:top w:val="single" w:sz="6" w:space="0" w:color="000000"/>
              <w:left w:val="single" w:sz="4" w:space="0" w:color="000000"/>
              <w:bottom w:val="single" w:sz="6" w:space="0" w:color="000000"/>
            </w:tcBorders>
            <w:shd w:val="clear" w:color="auto" w:fill="auto"/>
          </w:tcPr>
          <w:p w14:paraId="5C25D444"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tcPr>
          <w:p w14:paraId="324D0DCB" w14:textId="77777777" w:rsidR="00452E09" w:rsidRDefault="00452E09" w:rsidP="00452E09">
            <w:pPr>
              <w:snapToGrid w:val="0"/>
              <w:spacing w:line="260" w:lineRule="atLeast"/>
              <w:rPr>
                <w:rFonts w:eastAsia="Calibri"/>
                <w:lang w:eastAsia="en-US"/>
              </w:rPr>
            </w:pPr>
            <w:r>
              <w:rPr>
                <w:rFonts w:eastAsia="Calibri"/>
                <w:lang w:eastAsia="en-US"/>
              </w:rPr>
              <w:t xml:space="preserve">No </w:t>
            </w:r>
            <w:r w:rsidRPr="000C6F19">
              <w:rPr>
                <w:rFonts w:eastAsia="Calibri"/>
                <w:i/>
                <w:lang w:eastAsia="en-US"/>
              </w:rPr>
              <w:t>in vitro/in vivo</w:t>
            </w:r>
            <w:r>
              <w:rPr>
                <w:rFonts w:eastAsia="Calibri"/>
                <w:lang w:eastAsia="en-US"/>
              </w:rPr>
              <w:t xml:space="preserve"> study is considered necessary.</w:t>
            </w:r>
          </w:p>
        </w:tc>
      </w:tr>
      <w:tr w:rsidR="00452E09" w14:paraId="0EAEB1A4" w14:textId="77777777" w:rsidTr="00452E09">
        <w:tc>
          <w:tcPr>
            <w:tcW w:w="1955" w:type="dxa"/>
            <w:tcBorders>
              <w:top w:val="single" w:sz="6" w:space="0" w:color="000000"/>
              <w:left w:val="single" w:sz="4" w:space="0" w:color="000000"/>
              <w:bottom w:val="single" w:sz="6" w:space="0" w:color="000000"/>
            </w:tcBorders>
            <w:shd w:val="clear" w:color="auto" w:fill="auto"/>
          </w:tcPr>
          <w:p w14:paraId="7A06741A"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tcPr>
          <w:p w14:paraId="64A0FA49" w14:textId="3077043D" w:rsidR="00452E09" w:rsidRDefault="0004652B">
            <w:pPr>
              <w:snapToGrid w:val="0"/>
              <w:spacing w:line="260" w:lineRule="atLeast"/>
              <w:rPr>
                <w:rFonts w:eastAsia="Calibri"/>
                <w:lang w:eastAsia="en-US"/>
              </w:rPr>
            </w:pPr>
            <w:r>
              <w:rPr>
                <w:rFonts w:eastAsia="Calibri"/>
                <w:lang w:eastAsia="en-US"/>
              </w:rPr>
              <w:t xml:space="preserve">pH of the product (3.84) is superior to 2 and inferior to 11.5. </w:t>
            </w:r>
            <w:r w:rsidR="00452E09">
              <w:rPr>
                <w:rFonts w:eastAsia="Calibri"/>
                <w:lang w:eastAsia="en-US"/>
              </w:rPr>
              <w:t>None of AS/formulants are above the threshold of 1% (to be used for additive approach) for this endpoint</w:t>
            </w:r>
            <w:r>
              <w:rPr>
                <w:rFonts w:eastAsia="Calibri"/>
                <w:lang w:eastAsia="en-US"/>
              </w:rPr>
              <w:t xml:space="preserve">. </w:t>
            </w:r>
            <w:r w:rsidR="00452E09">
              <w:rPr>
                <w:rFonts w:eastAsia="Calibri"/>
                <w:lang w:eastAsia="en-US"/>
              </w:rPr>
              <w:t xml:space="preserve"> </w:t>
            </w:r>
            <w:r>
              <w:rPr>
                <w:rFonts w:eastAsia="Calibri"/>
                <w:lang w:eastAsia="en-US"/>
              </w:rPr>
              <w:t>Therefore,</w:t>
            </w:r>
            <w:r w:rsidR="00452E09">
              <w:rPr>
                <w:rFonts w:eastAsia="Calibri"/>
                <w:lang w:eastAsia="en-US"/>
              </w:rPr>
              <w:t xml:space="preserve"> no classification is warranted under CLP.</w:t>
            </w:r>
          </w:p>
        </w:tc>
      </w:tr>
    </w:tbl>
    <w:p w14:paraId="51AF77D3" w14:textId="77777777" w:rsidR="00452E09" w:rsidRDefault="00452E09" w:rsidP="00452E09">
      <w:pPr>
        <w:rPr>
          <w:rFonts w:ascii="Times New Roman" w:eastAsia="Calibri" w:hAnsi="Times New Roman" w:cs="Times New Roman"/>
          <w:i/>
          <w:iCs/>
          <w:lang w:eastAsia="en-US"/>
        </w:rPr>
      </w:pPr>
    </w:p>
    <w:p w14:paraId="111EB60F" w14:textId="590C8DF9" w:rsidR="00452E09" w:rsidRDefault="00452E09" w:rsidP="00452E09">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623B22FB" w14:textId="77777777" w:rsidR="00452E09" w:rsidRDefault="00452E09" w:rsidP="00452E09">
      <w:pPr>
        <w:spacing w:line="260" w:lineRule="atLeast"/>
        <w:rPr>
          <w:rFonts w:eastAsia="Calibri"/>
          <w:lang w:eastAsia="en-US"/>
        </w:rPr>
      </w:pPr>
    </w:p>
    <w:tbl>
      <w:tblPr>
        <w:tblW w:w="9341" w:type="dxa"/>
        <w:tblInd w:w="-9" w:type="dxa"/>
        <w:tblLayout w:type="fixed"/>
        <w:tblLook w:val="0000" w:firstRow="0" w:lastRow="0" w:firstColumn="0" w:lastColumn="0" w:noHBand="0" w:noVBand="0"/>
      </w:tblPr>
      <w:tblGrid>
        <w:gridCol w:w="1955"/>
        <w:gridCol w:w="7386"/>
      </w:tblGrid>
      <w:tr w:rsidR="00452E09" w14:paraId="23D07F9C"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11B9E69B" w14:textId="77777777" w:rsidR="00452E09" w:rsidRDefault="00452E09" w:rsidP="00452E09">
            <w:pPr>
              <w:spacing w:line="260" w:lineRule="atLeast"/>
            </w:pPr>
            <w:r>
              <w:rPr>
                <w:rFonts w:eastAsia="Calibri"/>
                <w:b/>
                <w:lang w:eastAsia="en-US"/>
              </w:rPr>
              <w:t>Data waiving</w:t>
            </w:r>
          </w:p>
        </w:tc>
      </w:tr>
      <w:tr w:rsidR="00452E09" w14:paraId="04D3A8DF" w14:textId="77777777" w:rsidTr="00452E09">
        <w:tc>
          <w:tcPr>
            <w:tcW w:w="1955" w:type="dxa"/>
            <w:tcBorders>
              <w:top w:val="single" w:sz="6" w:space="0" w:color="000000"/>
              <w:left w:val="single" w:sz="4" w:space="0" w:color="000000"/>
              <w:bottom w:val="single" w:sz="6" w:space="0" w:color="000000"/>
            </w:tcBorders>
            <w:shd w:val="clear" w:color="auto" w:fill="auto"/>
          </w:tcPr>
          <w:p w14:paraId="10BC3919"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tcPr>
          <w:p w14:paraId="1FE73B1E" w14:textId="77777777" w:rsidR="00452E09" w:rsidRDefault="00452E09" w:rsidP="00452E09">
            <w:pPr>
              <w:snapToGrid w:val="0"/>
              <w:spacing w:line="260" w:lineRule="atLeast"/>
              <w:rPr>
                <w:rFonts w:eastAsia="Calibri"/>
                <w:lang w:eastAsia="en-US"/>
              </w:rPr>
            </w:pPr>
            <w:r>
              <w:rPr>
                <w:rFonts w:eastAsia="Calibri"/>
                <w:lang w:eastAsia="en-US"/>
              </w:rPr>
              <w:t xml:space="preserve">No </w:t>
            </w:r>
            <w:r w:rsidRPr="000C6F19">
              <w:rPr>
                <w:rFonts w:eastAsia="Calibri"/>
                <w:i/>
                <w:lang w:eastAsia="en-US"/>
              </w:rPr>
              <w:t>in vivo</w:t>
            </w:r>
            <w:r>
              <w:rPr>
                <w:rFonts w:eastAsia="Calibri"/>
                <w:lang w:eastAsia="en-US"/>
              </w:rPr>
              <w:t xml:space="preserve"> study is considered necessary.</w:t>
            </w:r>
          </w:p>
        </w:tc>
      </w:tr>
      <w:tr w:rsidR="00452E09" w14:paraId="1051B6C1" w14:textId="77777777" w:rsidTr="00452E09">
        <w:tc>
          <w:tcPr>
            <w:tcW w:w="1955" w:type="dxa"/>
            <w:tcBorders>
              <w:top w:val="single" w:sz="6" w:space="0" w:color="000000"/>
              <w:left w:val="single" w:sz="4" w:space="0" w:color="000000"/>
              <w:bottom w:val="single" w:sz="6" w:space="0" w:color="000000"/>
            </w:tcBorders>
            <w:shd w:val="clear" w:color="auto" w:fill="auto"/>
          </w:tcPr>
          <w:p w14:paraId="4702249D"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tcPr>
          <w:p w14:paraId="38437E51" w14:textId="0F51664C" w:rsidR="00452E09" w:rsidRDefault="00452E09" w:rsidP="00452E09">
            <w:pPr>
              <w:snapToGrid w:val="0"/>
              <w:spacing w:line="260" w:lineRule="atLeast"/>
              <w:rPr>
                <w:rFonts w:eastAsia="Calibri"/>
                <w:lang w:eastAsia="en-US"/>
              </w:rPr>
            </w:pPr>
            <w:r>
              <w:rPr>
                <w:rFonts w:eastAsia="Calibri"/>
                <w:lang w:eastAsia="en-US"/>
              </w:rPr>
              <w:t>None of AS/formulants are above the threshold of 20% so no classification is warranted under CLP.</w:t>
            </w:r>
          </w:p>
        </w:tc>
      </w:tr>
    </w:tbl>
    <w:p w14:paraId="0296DA12" w14:textId="42335EB0" w:rsidR="00452E09" w:rsidRDefault="00452E09" w:rsidP="00452E09">
      <w:pPr>
        <w:spacing w:line="260" w:lineRule="atLeast"/>
        <w:rPr>
          <w:rFonts w:eastAsia="Calibri"/>
          <w:lang w:eastAsia="en-US"/>
        </w:rPr>
      </w:pPr>
    </w:p>
    <w:p w14:paraId="70389697" w14:textId="77777777" w:rsidR="00452E09" w:rsidRDefault="00452E09" w:rsidP="00452E09">
      <w:pPr>
        <w:rPr>
          <w:rFonts w:eastAsia="Calibri"/>
          <w:b/>
          <w:i/>
          <w:sz w:val="22"/>
          <w:szCs w:val="22"/>
          <w:lang w:eastAsia="en-US"/>
        </w:rPr>
      </w:pPr>
      <w:r>
        <w:rPr>
          <w:rFonts w:eastAsia="Calibri"/>
          <w:b/>
          <w:i/>
          <w:sz w:val="22"/>
          <w:szCs w:val="22"/>
          <w:lang w:eastAsia="en-US"/>
        </w:rPr>
        <w:t>Skin sensitization</w:t>
      </w:r>
    </w:p>
    <w:p w14:paraId="45F60596" w14:textId="77777777" w:rsidR="00452E09" w:rsidRDefault="00452E09" w:rsidP="00452E09">
      <w:pPr>
        <w:rPr>
          <w:rFonts w:ascii="Times New Roman" w:eastAsia="Calibri" w:hAnsi="Times New Roman" w:cs="Times New Roman"/>
          <w:i/>
          <w:iCs/>
          <w:lang w:eastAsia="en-US"/>
        </w:rPr>
      </w:pPr>
    </w:p>
    <w:tbl>
      <w:tblPr>
        <w:tblW w:w="9341" w:type="dxa"/>
        <w:tblInd w:w="-9" w:type="dxa"/>
        <w:tblLayout w:type="fixed"/>
        <w:tblLook w:val="0000" w:firstRow="0" w:lastRow="0" w:firstColumn="0" w:lastColumn="0" w:noHBand="0" w:noVBand="0"/>
      </w:tblPr>
      <w:tblGrid>
        <w:gridCol w:w="1955"/>
        <w:gridCol w:w="7386"/>
      </w:tblGrid>
      <w:tr w:rsidR="00452E09" w14:paraId="7E1FD81F"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0A411719" w14:textId="77777777" w:rsidR="00452E09" w:rsidRDefault="00452E09" w:rsidP="00452E09">
            <w:pPr>
              <w:spacing w:line="260" w:lineRule="atLeast"/>
            </w:pPr>
            <w:r>
              <w:rPr>
                <w:rFonts w:eastAsia="Calibri"/>
                <w:b/>
                <w:lang w:eastAsia="en-US"/>
              </w:rPr>
              <w:t>Data waiving</w:t>
            </w:r>
          </w:p>
        </w:tc>
      </w:tr>
      <w:tr w:rsidR="00452E09" w14:paraId="174C03DB" w14:textId="77777777" w:rsidTr="00452E09">
        <w:tc>
          <w:tcPr>
            <w:tcW w:w="1955" w:type="dxa"/>
            <w:tcBorders>
              <w:top w:val="single" w:sz="6" w:space="0" w:color="000000"/>
              <w:left w:val="single" w:sz="4" w:space="0" w:color="000000"/>
              <w:bottom w:val="single" w:sz="6" w:space="0" w:color="000000"/>
            </w:tcBorders>
            <w:shd w:val="clear" w:color="auto" w:fill="auto"/>
          </w:tcPr>
          <w:p w14:paraId="26B30663"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tcPr>
          <w:p w14:paraId="3D08D7CF" w14:textId="77777777" w:rsidR="00452E09" w:rsidRDefault="00452E09" w:rsidP="00452E09">
            <w:pPr>
              <w:snapToGrid w:val="0"/>
              <w:spacing w:line="260" w:lineRule="atLeast"/>
              <w:rPr>
                <w:rFonts w:eastAsia="Calibri"/>
                <w:lang w:eastAsia="en-US"/>
              </w:rPr>
            </w:pPr>
            <w:r>
              <w:rPr>
                <w:rFonts w:eastAsia="Calibri"/>
                <w:lang w:eastAsia="en-US"/>
              </w:rPr>
              <w:t xml:space="preserve">No </w:t>
            </w:r>
            <w:r w:rsidRPr="000C6F19">
              <w:rPr>
                <w:rFonts w:eastAsia="Calibri"/>
                <w:i/>
                <w:lang w:eastAsia="en-US"/>
              </w:rPr>
              <w:t xml:space="preserve">in </w:t>
            </w:r>
            <w:r>
              <w:rPr>
                <w:rFonts w:eastAsia="Calibri"/>
                <w:i/>
                <w:lang w:eastAsia="en-US"/>
              </w:rPr>
              <w:t>vitro/</w:t>
            </w:r>
            <w:r w:rsidRPr="000C6F19">
              <w:rPr>
                <w:rFonts w:eastAsia="Calibri"/>
                <w:i/>
                <w:lang w:eastAsia="en-US"/>
              </w:rPr>
              <w:t>vivo</w:t>
            </w:r>
            <w:r>
              <w:rPr>
                <w:rFonts w:eastAsia="Calibri"/>
                <w:lang w:eastAsia="en-US"/>
              </w:rPr>
              <w:t xml:space="preserve"> study is considered necessary.</w:t>
            </w:r>
          </w:p>
        </w:tc>
      </w:tr>
      <w:tr w:rsidR="00452E09" w14:paraId="5183AC33" w14:textId="77777777" w:rsidTr="00452E09">
        <w:tc>
          <w:tcPr>
            <w:tcW w:w="1955" w:type="dxa"/>
            <w:tcBorders>
              <w:top w:val="single" w:sz="6" w:space="0" w:color="000000"/>
              <w:left w:val="single" w:sz="4" w:space="0" w:color="000000"/>
              <w:bottom w:val="single" w:sz="6" w:space="0" w:color="000000"/>
            </w:tcBorders>
            <w:shd w:val="clear" w:color="auto" w:fill="auto"/>
          </w:tcPr>
          <w:p w14:paraId="5A3CB25D"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tcPr>
          <w:p w14:paraId="65937066" w14:textId="77777777" w:rsidR="00452E09" w:rsidRDefault="00452E09" w:rsidP="00452E09">
            <w:pPr>
              <w:spacing w:line="260" w:lineRule="atLeast"/>
              <w:rPr>
                <w:rFonts w:eastAsia="Calibri"/>
                <w:lang w:eastAsia="en-US"/>
              </w:rPr>
            </w:pPr>
            <w:r>
              <w:rPr>
                <w:rFonts w:eastAsia="Calibri"/>
                <w:lang w:eastAsia="en-US"/>
              </w:rPr>
              <w:t xml:space="preserve">None of AS/formulants are classified for this endpoint. </w:t>
            </w:r>
          </w:p>
          <w:p w14:paraId="64E1325F" w14:textId="77777777" w:rsidR="00452E09" w:rsidRDefault="00452E09" w:rsidP="00452E09">
            <w:pPr>
              <w:snapToGrid w:val="0"/>
              <w:spacing w:line="260" w:lineRule="atLeast"/>
              <w:rPr>
                <w:rFonts w:eastAsia="Calibri"/>
                <w:lang w:eastAsia="en-US"/>
              </w:rPr>
            </w:pPr>
            <w:r>
              <w:rPr>
                <w:rFonts w:eastAsia="Calibri"/>
                <w:lang w:eastAsia="en-US"/>
              </w:rPr>
              <w:t>No classification is warranted under CLP.</w:t>
            </w:r>
          </w:p>
          <w:p w14:paraId="2D05D413" w14:textId="77777777" w:rsidR="00C8444E" w:rsidRDefault="00C8444E" w:rsidP="00452E09">
            <w:pPr>
              <w:snapToGrid w:val="0"/>
              <w:spacing w:line="260" w:lineRule="atLeast"/>
              <w:rPr>
                <w:rFonts w:eastAsia="Calibri"/>
                <w:lang w:eastAsia="en-US"/>
              </w:rPr>
            </w:pPr>
          </w:p>
          <w:p w14:paraId="644BF85B" w14:textId="5CC26D73" w:rsidR="00C8444E" w:rsidRDefault="00C8444E" w:rsidP="00452E09">
            <w:pPr>
              <w:snapToGrid w:val="0"/>
              <w:spacing w:line="260" w:lineRule="atLeast"/>
              <w:rPr>
                <w:rFonts w:eastAsia="Calibri"/>
                <w:lang w:eastAsia="en-US"/>
              </w:rPr>
            </w:pPr>
            <w:r>
              <w:rPr>
                <w:rFonts w:eastAsia="Calibri"/>
                <w:lang w:eastAsia="en-US"/>
              </w:rPr>
              <w:t>However, a sensitivity to pyrrolidone is known</w:t>
            </w:r>
            <w:r w:rsidR="007730D4">
              <w:rPr>
                <w:rFonts w:eastAsia="Calibri"/>
                <w:lang w:eastAsia="en-US"/>
              </w:rPr>
              <w:t xml:space="preserve"> in the medical sector. Therefore, the following sentence is added in the section 6 of the SPC: “</w:t>
            </w:r>
            <w:r w:rsidR="007730D4" w:rsidRPr="00E37C51">
              <w:rPr>
                <w:lang w:eastAsia="en-GB"/>
              </w:rPr>
              <w:t>The product contains pyrrolidones derivatives. Do not use in case of known hypersensitivity</w:t>
            </w:r>
            <w:r w:rsidR="007730D4">
              <w:rPr>
                <w:lang w:eastAsia="en-GB"/>
              </w:rPr>
              <w:t>.”</w:t>
            </w:r>
          </w:p>
        </w:tc>
      </w:tr>
    </w:tbl>
    <w:p w14:paraId="0836E776" w14:textId="069BF481" w:rsidR="00452E09" w:rsidRDefault="00452E09" w:rsidP="00452E09">
      <w:pPr>
        <w:spacing w:line="260" w:lineRule="atLeast"/>
        <w:rPr>
          <w:rFonts w:ascii="Times New Roman" w:eastAsia="Calibri" w:hAnsi="Times New Roman" w:cs="Times New Roman"/>
          <w:i/>
          <w:iCs/>
          <w:lang w:eastAsia="en-US"/>
        </w:rPr>
      </w:pPr>
    </w:p>
    <w:p w14:paraId="3D5A4327" w14:textId="77777777" w:rsidR="00452E09" w:rsidRDefault="00452E09" w:rsidP="00452E09">
      <w:pPr>
        <w:pageBreakBefore/>
        <w:rPr>
          <w:rFonts w:ascii="Times New Roman" w:eastAsia="Calibri" w:hAnsi="Times New Roman" w:cs="Times New Roman"/>
          <w:i/>
          <w:iCs/>
          <w:lang w:eastAsia="en-US"/>
        </w:rPr>
      </w:pPr>
      <w:r>
        <w:rPr>
          <w:rFonts w:eastAsia="Calibri"/>
          <w:b/>
          <w:i/>
          <w:sz w:val="22"/>
          <w:szCs w:val="22"/>
          <w:lang w:eastAsia="en-US"/>
        </w:rPr>
        <w:lastRenderedPageBreak/>
        <w:t>Respiratory sensitization (ADS)</w:t>
      </w:r>
    </w:p>
    <w:p w14:paraId="0414FDD7" w14:textId="77777777" w:rsidR="00452E09" w:rsidRDefault="00452E09" w:rsidP="00452E09">
      <w:pPr>
        <w:spacing w:line="260" w:lineRule="atLeast"/>
        <w:rPr>
          <w:rFonts w:eastAsia="Calibri"/>
          <w:lang w:eastAsia="en-US"/>
        </w:rPr>
      </w:pPr>
    </w:p>
    <w:tbl>
      <w:tblPr>
        <w:tblW w:w="9341" w:type="dxa"/>
        <w:tblInd w:w="-9" w:type="dxa"/>
        <w:tblLayout w:type="fixed"/>
        <w:tblLook w:val="0000" w:firstRow="0" w:lastRow="0" w:firstColumn="0" w:lastColumn="0" w:noHBand="0" w:noVBand="0"/>
      </w:tblPr>
      <w:tblGrid>
        <w:gridCol w:w="1955"/>
        <w:gridCol w:w="7386"/>
      </w:tblGrid>
      <w:tr w:rsidR="00452E09" w14:paraId="1DB9715C"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345AE2BE" w14:textId="77777777" w:rsidR="00452E09" w:rsidRDefault="00452E09" w:rsidP="00452E09">
            <w:pPr>
              <w:spacing w:line="260" w:lineRule="atLeast"/>
            </w:pPr>
            <w:r>
              <w:rPr>
                <w:rFonts w:eastAsia="Calibri"/>
                <w:b/>
                <w:lang w:eastAsia="en-US"/>
              </w:rPr>
              <w:t>Data waiving</w:t>
            </w:r>
          </w:p>
        </w:tc>
      </w:tr>
      <w:tr w:rsidR="00452E09" w14:paraId="4F587435" w14:textId="77777777" w:rsidTr="00452E09">
        <w:tc>
          <w:tcPr>
            <w:tcW w:w="1955" w:type="dxa"/>
            <w:tcBorders>
              <w:top w:val="single" w:sz="6" w:space="0" w:color="000000"/>
              <w:left w:val="single" w:sz="4" w:space="0" w:color="000000"/>
              <w:bottom w:val="single" w:sz="6" w:space="0" w:color="000000"/>
            </w:tcBorders>
            <w:shd w:val="clear" w:color="auto" w:fill="auto"/>
          </w:tcPr>
          <w:p w14:paraId="6E3EA432"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tcPr>
          <w:p w14:paraId="742E00D5" w14:textId="77777777" w:rsidR="00452E09" w:rsidRPr="00914E2F" w:rsidRDefault="00452E09" w:rsidP="00452E09">
            <w:pPr>
              <w:spacing w:line="260" w:lineRule="atLeast"/>
              <w:rPr>
                <w:rFonts w:eastAsia="Calibri"/>
                <w:lang w:eastAsia="en-US"/>
              </w:rPr>
            </w:pPr>
            <w:r w:rsidRPr="00914E2F">
              <w:rPr>
                <w:rFonts w:eastAsia="Calibri"/>
                <w:lang w:eastAsia="en-US"/>
              </w:rPr>
              <w:t>No in vitro/vivo study is considered necessary.</w:t>
            </w:r>
          </w:p>
          <w:p w14:paraId="23E2D029" w14:textId="77777777" w:rsidR="00452E09" w:rsidRDefault="00452E09" w:rsidP="00452E09">
            <w:pPr>
              <w:snapToGrid w:val="0"/>
              <w:spacing w:line="260" w:lineRule="atLeast"/>
              <w:rPr>
                <w:rFonts w:eastAsia="Calibri"/>
                <w:lang w:eastAsia="en-US"/>
              </w:rPr>
            </w:pPr>
          </w:p>
        </w:tc>
      </w:tr>
      <w:tr w:rsidR="00452E09" w14:paraId="3424A98F" w14:textId="77777777" w:rsidTr="00452E09">
        <w:tc>
          <w:tcPr>
            <w:tcW w:w="1955" w:type="dxa"/>
            <w:tcBorders>
              <w:top w:val="single" w:sz="6" w:space="0" w:color="000000"/>
              <w:left w:val="single" w:sz="4" w:space="0" w:color="000000"/>
              <w:bottom w:val="single" w:sz="6" w:space="0" w:color="000000"/>
            </w:tcBorders>
            <w:shd w:val="clear" w:color="auto" w:fill="auto"/>
          </w:tcPr>
          <w:p w14:paraId="0F6F01C1"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tcPr>
          <w:p w14:paraId="30A2FD31" w14:textId="77777777" w:rsidR="00452E09" w:rsidRPr="00914E2F" w:rsidRDefault="00452E09" w:rsidP="00452E09">
            <w:pPr>
              <w:spacing w:line="260" w:lineRule="atLeast"/>
              <w:rPr>
                <w:rFonts w:eastAsia="Calibri"/>
                <w:lang w:eastAsia="en-US"/>
              </w:rPr>
            </w:pPr>
            <w:r w:rsidRPr="00914E2F">
              <w:rPr>
                <w:rFonts w:eastAsia="Calibri"/>
                <w:lang w:eastAsia="en-US"/>
              </w:rPr>
              <w:t xml:space="preserve">None of AS/formulants are classified for this endpoint. </w:t>
            </w:r>
          </w:p>
          <w:p w14:paraId="77D7FD7D" w14:textId="77777777" w:rsidR="00452E09" w:rsidRDefault="00452E09" w:rsidP="00452E09">
            <w:pPr>
              <w:snapToGrid w:val="0"/>
              <w:spacing w:line="260" w:lineRule="atLeast"/>
              <w:rPr>
                <w:rFonts w:eastAsia="Calibri"/>
                <w:lang w:eastAsia="en-US"/>
              </w:rPr>
            </w:pPr>
            <w:r w:rsidRPr="00914E2F">
              <w:rPr>
                <w:rFonts w:eastAsia="Calibri"/>
                <w:lang w:eastAsia="en-US"/>
              </w:rPr>
              <w:t>No classification is warranted under CLP.</w:t>
            </w:r>
          </w:p>
        </w:tc>
      </w:tr>
    </w:tbl>
    <w:p w14:paraId="2AAAC485" w14:textId="77777777" w:rsidR="00377AC6" w:rsidRDefault="00377AC6" w:rsidP="00377AC6">
      <w:pPr>
        <w:suppressAutoHyphens w:val="0"/>
        <w:rPr>
          <w:rFonts w:eastAsia="Calibri"/>
          <w:b/>
          <w:i/>
          <w:sz w:val="22"/>
          <w:szCs w:val="22"/>
          <w:lang w:eastAsia="en-US"/>
        </w:rPr>
      </w:pPr>
    </w:p>
    <w:p w14:paraId="4CD931F0" w14:textId="5C25A153" w:rsidR="00452E09" w:rsidRDefault="00452E09" w:rsidP="00377AC6">
      <w:pPr>
        <w:suppressAutoHyphens w:val="0"/>
        <w:rPr>
          <w:rFonts w:eastAsia="Calibri"/>
          <w:i/>
          <w:u w:val="single"/>
          <w:lang w:eastAsia="en-US"/>
        </w:rPr>
      </w:pPr>
      <w:r>
        <w:rPr>
          <w:rFonts w:eastAsia="Calibri"/>
          <w:b/>
          <w:i/>
          <w:sz w:val="22"/>
          <w:szCs w:val="22"/>
          <w:lang w:eastAsia="en-US"/>
        </w:rPr>
        <w:t>Acute toxicity</w:t>
      </w:r>
    </w:p>
    <w:p w14:paraId="435DB46E" w14:textId="055E7B51" w:rsidR="00452E09" w:rsidRDefault="00452E09" w:rsidP="00452E09">
      <w:pPr>
        <w:rPr>
          <w:rFonts w:ascii="Times New Roman" w:eastAsia="Calibri" w:hAnsi="Times New Roman" w:cs="Times New Roman"/>
          <w:i/>
          <w:iCs/>
          <w:lang w:eastAsia="en-US"/>
        </w:rPr>
      </w:pPr>
      <w:r>
        <w:rPr>
          <w:rFonts w:eastAsia="Calibri"/>
          <w:i/>
          <w:u w:val="single"/>
          <w:lang w:eastAsia="en-US"/>
        </w:rPr>
        <w:t>Acute toxicity by oral route</w:t>
      </w:r>
    </w:p>
    <w:p w14:paraId="7CDFBD8B" w14:textId="6A240ECA" w:rsidR="00452E09" w:rsidRDefault="00452E09" w:rsidP="00452E09">
      <w:pPr>
        <w:spacing w:line="260" w:lineRule="atLeast"/>
        <w:rPr>
          <w:rFonts w:eastAsia="Calibri"/>
          <w:lang w:eastAsia="en-US"/>
        </w:rPr>
      </w:pPr>
    </w:p>
    <w:tbl>
      <w:tblPr>
        <w:tblW w:w="9341" w:type="dxa"/>
        <w:tblInd w:w="-9" w:type="dxa"/>
        <w:tblLayout w:type="fixed"/>
        <w:tblLook w:val="0000" w:firstRow="0" w:lastRow="0" w:firstColumn="0" w:lastColumn="0" w:noHBand="0" w:noVBand="0"/>
      </w:tblPr>
      <w:tblGrid>
        <w:gridCol w:w="1955"/>
        <w:gridCol w:w="7386"/>
      </w:tblGrid>
      <w:tr w:rsidR="00452E09" w14:paraId="385D765D"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2E7778AE" w14:textId="77777777" w:rsidR="00452E09" w:rsidRDefault="00452E09" w:rsidP="00452E09">
            <w:pPr>
              <w:spacing w:line="260" w:lineRule="atLeast"/>
            </w:pPr>
            <w:r>
              <w:rPr>
                <w:rFonts w:eastAsia="Calibri"/>
                <w:b/>
                <w:lang w:eastAsia="en-US"/>
              </w:rPr>
              <w:t>Data waiving</w:t>
            </w:r>
          </w:p>
        </w:tc>
      </w:tr>
      <w:tr w:rsidR="00452E09" w14:paraId="3F3C9530" w14:textId="77777777" w:rsidTr="00452E09">
        <w:tc>
          <w:tcPr>
            <w:tcW w:w="1955" w:type="dxa"/>
            <w:tcBorders>
              <w:top w:val="single" w:sz="6" w:space="0" w:color="000000"/>
              <w:left w:val="single" w:sz="4" w:space="0" w:color="000000"/>
              <w:bottom w:val="single" w:sz="6" w:space="0" w:color="000000"/>
            </w:tcBorders>
            <w:shd w:val="clear" w:color="auto" w:fill="auto"/>
          </w:tcPr>
          <w:p w14:paraId="7492AEBD"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tcPr>
          <w:p w14:paraId="3A468A83" w14:textId="77777777" w:rsidR="00452E09" w:rsidRDefault="00452E09" w:rsidP="00452E09">
            <w:pPr>
              <w:snapToGrid w:val="0"/>
              <w:spacing w:line="260" w:lineRule="atLeast"/>
              <w:rPr>
                <w:rFonts w:eastAsia="Calibri"/>
                <w:lang w:eastAsia="en-US"/>
              </w:rPr>
            </w:pPr>
            <w:r w:rsidRPr="00914E2F">
              <w:rPr>
                <w:rFonts w:eastAsia="Calibri"/>
                <w:lang w:eastAsia="en-US"/>
              </w:rPr>
              <w:t>No in vivo study is considered necessary.</w:t>
            </w:r>
          </w:p>
        </w:tc>
      </w:tr>
      <w:tr w:rsidR="00452E09" w14:paraId="7FCB8D0F" w14:textId="77777777" w:rsidTr="00452E09">
        <w:tc>
          <w:tcPr>
            <w:tcW w:w="1955" w:type="dxa"/>
            <w:tcBorders>
              <w:top w:val="single" w:sz="6" w:space="0" w:color="000000"/>
              <w:left w:val="single" w:sz="4" w:space="0" w:color="000000"/>
              <w:bottom w:val="single" w:sz="6" w:space="0" w:color="000000"/>
            </w:tcBorders>
            <w:shd w:val="clear" w:color="auto" w:fill="auto"/>
          </w:tcPr>
          <w:p w14:paraId="123424DD"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tcPr>
          <w:p w14:paraId="7576DE44" w14:textId="77777777" w:rsidR="00452E09" w:rsidRPr="00914E2F" w:rsidRDefault="00452E09" w:rsidP="00452E09">
            <w:pPr>
              <w:spacing w:line="260" w:lineRule="atLeast"/>
              <w:rPr>
                <w:rFonts w:eastAsia="Calibri"/>
                <w:lang w:eastAsia="en-US"/>
              </w:rPr>
            </w:pPr>
            <w:r w:rsidRPr="00914E2F">
              <w:rPr>
                <w:rFonts w:eastAsia="Calibri"/>
                <w:lang w:eastAsia="en-US"/>
              </w:rPr>
              <w:t xml:space="preserve">None of AS/formulants are classified for this endpoint. </w:t>
            </w:r>
          </w:p>
          <w:p w14:paraId="6C39C871" w14:textId="77777777" w:rsidR="00452E09" w:rsidRDefault="00452E09" w:rsidP="00452E09">
            <w:pPr>
              <w:snapToGrid w:val="0"/>
              <w:spacing w:line="260" w:lineRule="atLeast"/>
              <w:rPr>
                <w:rFonts w:eastAsia="Calibri"/>
                <w:lang w:eastAsia="en-US"/>
              </w:rPr>
            </w:pPr>
            <w:r w:rsidRPr="00914E2F">
              <w:rPr>
                <w:rFonts w:eastAsia="Calibri"/>
                <w:lang w:eastAsia="en-US"/>
              </w:rPr>
              <w:t>No classification is warranted under CLP.</w:t>
            </w:r>
          </w:p>
        </w:tc>
      </w:tr>
    </w:tbl>
    <w:p w14:paraId="5B7CD3B4" w14:textId="77777777" w:rsidR="00377AC6" w:rsidRDefault="00377AC6" w:rsidP="00377AC6">
      <w:pPr>
        <w:suppressAutoHyphens w:val="0"/>
        <w:rPr>
          <w:rFonts w:eastAsia="Calibri"/>
          <w:i/>
          <w:u w:val="single"/>
          <w:lang w:eastAsia="en-US"/>
        </w:rPr>
      </w:pPr>
    </w:p>
    <w:p w14:paraId="0472EABA" w14:textId="5C9F0482" w:rsidR="00452E09" w:rsidRDefault="00452E09" w:rsidP="00377AC6">
      <w:pPr>
        <w:suppressAutoHyphens w:val="0"/>
        <w:rPr>
          <w:rFonts w:ascii="Times New Roman" w:eastAsia="Calibri" w:hAnsi="Times New Roman" w:cs="Times New Roman"/>
          <w:i/>
          <w:iCs/>
          <w:lang w:eastAsia="en-US"/>
        </w:rPr>
      </w:pPr>
      <w:r>
        <w:rPr>
          <w:rFonts w:eastAsia="Calibri"/>
          <w:i/>
          <w:u w:val="single"/>
          <w:lang w:eastAsia="en-US"/>
        </w:rPr>
        <w:t>Acute toxicity by inhalation</w:t>
      </w:r>
    </w:p>
    <w:p w14:paraId="6C2641AC" w14:textId="77DC7E31" w:rsidR="00452E09" w:rsidRDefault="00452E09" w:rsidP="00452E09">
      <w:pPr>
        <w:spacing w:line="260" w:lineRule="atLeast"/>
        <w:rPr>
          <w:rFonts w:eastAsia="Calibri"/>
          <w:lang w:eastAsia="en-US"/>
        </w:rPr>
      </w:pPr>
    </w:p>
    <w:tbl>
      <w:tblPr>
        <w:tblW w:w="9341" w:type="dxa"/>
        <w:tblInd w:w="-9" w:type="dxa"/>
        <w:tblLayout w:type="fixed"/>
        <w:tblLook w:val="0000" w:firstRow="0" w:lastRow="0" w:firstColumn="0" w:lastColumn="0" w:noHBand="0" w:noVBand="0"/>
      </w:tblPr>
      <w:tblGrid>
        <w:gridCol w:w="1955"/>
        <w:gridCol w:w="7386"/>
      </w:tblGrid>
      <w:tr w:rsidR="00452E09" w14:paraId="5E5FA2DC"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12B2547B" w14:textId="77777777" w:rsidR="00452E09" w:rsidRDefault="00452E09" w:rsidP="00452E09">
            <w:pPr>
              <w:spacing w:line="260" w:lineRule="atLeast"/>
            </w:pPr>
            <w:r>
              <w:rPr>
                <w:rFonts w:eastAsia="Calibri"/>
                <w:b/>
                <w:lang w:eastAsia="en-US"/>
              </w:rPr>
              <w:t>Data waiving</w:t>
            </w:r>
          </w:p>
        </w:tc>
      </w:tr>
      <w:tr w:rsidR="00452E09" w14:paraId="3688B97B" w14:textId="77777777" w:rsidTr="00452E09">
        <w:tc>
          <w:tcPr>
            <w:tcW w:w="1955" w:type="dxa"/>
            <w:tcBorders>
              <w:top w:val="single" w:sz="6" w:space="0" w:color="000000"/>
              <w:left w:val="single" w:sz="4" w:space="0" w:color="000000"/>
              <w:bottom w:val="single" w:sz="6" w:space="0" w:color="000000"/>
            </w:tcBorders>
            <w:shd w:val="clear" w:color="auto" w:fill="auto"/>
          </w:tcPr>
          <w:p w14:paraId="15F7CA42"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tcPr>
          <w:p w14:paraId="5E1714E0" w14:textId="77777777" w:rsidR="00452E09" w:rsidRDefault="00452E09" w:rsidP="00452E09">
            <w:pPr>
              <w:snapToGrid w:val="0"/>
              <w:spacing w:line="260" w:lineRule="atLeast"/>
              <w:rPr>
                <w:rFonts w:eastAsia="Calibri"/>
                <w:lang w:eastAsia="en-US"/>
              </w:rPr>
            </w:pPr>
            <w:r w:rsidRPr="00914E2F">
              <w:rPr>
                <w:rFonts w:eastAsia="Calibri"/>
                <w:lang w:eastAsia="en-US"/>
              </w:rPr>
              <w:t>No in vivo study is considered necessary.</w:t>
            </w:r>
          </w:p>
        </w:tc>
      </w:tr>
      <w:tr w:rsidR="00452E09" w14:paraId="71E78B73" w14:textId="77777777" w:rsidTr="00452E09">
        <w:tc>
          <w:tcPr>
            <w:tcW w:w="1955" w:type="dxa"/>
            <w:tcBorders>
              <w:top w:val="single" w:sz="6" w:space="0" w:color="000000"/>
              <w:left w:val="single" w:sz="4" w:space="0" w:color="000000"/>
              <w:bottom w:val="single" w:sz="6" w:space="0" w:color="000000"/>
            </w:tcBorders>
            <w:shd w:val="clear" w:color="auto" w:fill="auto"/>
          </w:tcPr>
          <w:p w14:paraId="364070F0"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tcPr>
          <w:p w14:paraId="61396514" w14:textId="77777777" w:rsidR="00452E09" w:rsidRDefault="00452E09" w:rsidP="00452E09">
            <w:pPr>
              <w:snapToGrid w:val="0"/>
              <w:spacing w:line="260" w:lineRule="atLeast"/>
              <w:rPr>
                <w:rFonts w:eastAsia="Calibri"/>
                <w:lang w:eastAsia="en-US"/>
              </w:rPr>
            </w:pPr>
            <w:r>
              <w:rPr>
                <w:rFonts w:eastAsia="Calibri"/>
                <w:lang w:eastAsia="en-US"/>
              </w:rPr>
              <w:t>Only Iodine is classified H332 and is below the threshold of 1% so, no classification is warranted under CLP.</w:t>
            </w:r>
          </w:p>
        </w:tc>
      </w:tr>
    </w:tbl>
    <w:p w14:paraId="07AE5D1C" w14:textId="12BCE6E7" w:rsidR="00452E09" w:rsidRDefault="00452E09" w:rsidP="00452E09">
      <w:pPr>
        <w:spacing w:line="260" w:lineRule="atLeast"/>
        <w:rPr>
          <w:rFonts w:eastAsia="Calibri"/>
          <w:lang w:eastAsia="en-US"/>
        </w:rPr>
      </w:pPr>
    </w:p>
    <w:p w14:paraId="4736A9C7" w14:textId="4C5800C6" w:rsidR="00452E09" w:rsidRDefault="00452E09" w:rsidP="00452E09">
      <w:pPr>
        <w:rPr>
          <w:rFonts w:eastAsia="Calibri"/>
          <w:i/>
          <w:u w:val="single"/>
          <w:lang w:eastAsia="en-US"/>
        </w:rPr>
      </w:pPr>
      <w:r>
        <w:rPr>
          <w:rFonts w:eastAsia="Calibri"/>
          <w:i/>
          <w:u w:val="single"/>
          <w:lang w:eastAsia="en-US"/>
        </w:rPr>
        <w:t>Acute toxicity by dermal route</w:t>
      </w:r>
    </w:p>
    <w:p w14:paraId="67227BA7" w14:textId="77777777" w:rsidR="00452E09" w:rsidRDefault="00452E09" w:rsidP="00452E09">
      <w:pPr>
        <w:rPr>
          <w:rFonts w:ascii="Times New Roman" w:eastAsia="Calibri" w:hAnsi="Times New Roman" w:cs="Times New Roman"/>
          <w:i/>
          <w:iCs/>
          <w:lang w:eastAsia="en-US"/>
        </w:rPr>
      </w:pPr>
    </w:p>
    <w:tbl>
      <w:tblPr>
        <w:tblW w:w="9341" w:type="dxa"/>
        <w:tblInd w:w="-9" w:type="dxa"/>
        <w:tblLayout w:type="fixed"/>
        <w:tblLook w:val="0000" w:firstRow="0" w:lastRow="0" w:firstColumn="0" w:lastColumn="0" w:noHBand="0" w:noVBand="0"/>
      </w:tblPr>
      <w:tblGrid>
        <w:gridCol w:w="1955"/>
        <w:gridCol w:w="7386"/>
      </w:tblGrid>
      <w:tr w:rsidR="00452E09" w14:paraId="4D26FF3C"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5721F7A9" w14:textId="77777777" w:rsidR="00452E09" w:rsidRDefault="00452E09" w:rsidP="00452E09">
            <w:pPr>
              <w:spacing w:line="260" w:lineRule="atLeast"/>
            </w:pPr>
            <w:r>
              <w:rPr>
                <w:rFonts w:eastAsia="Calibri"/>
                <w:b/>
                <w:lang w:eastAsia="en-US"/>
              </w:rPr>
              <w:t>Data waiving</w:t>
            </w:r>
          </w:p>
        </w:tc>
      </w:tr>
      <w:tr w:rsidR="00452E09" w14:paraId="6B56D305" w14:textId="77777777" w:rsidTr="00452E09">
        <w:tc>
          <w:tcPr>
            <w:tcW w:w="1955" w:type="dxa"/>
            <w:tcBorders>
              <w:top w:val="single" w:sz="6" w:space="0" w:color="000000"/>
              <w:left w:val="single" w:sz="4" w:space="0" w:color="000000"/>
              <w:bottom w:val="single" w:sz="6" w:space="0" w:color="000000"/>
            </w:tcBorders>
            <w:shd w:val="clear" w:color="auto" w:fill="auto"/>
          </w:tcPr>
          <w:p w14:paraId="6C1A8FC3"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tcPr>
          <w:p w14:paraId="520A2C6A" w14:textId="77777777" w:rsidR="00452E09" w:rsidRDefault="00452E09" w:rsidP="00452E09">
            <w:pPr>
              <w:snapToGrid w:val="0"/>
              <w:spacing w:line="260" w:lineRule="atLeast"/>
              <w:rPr>
                <w:rFonts w:eastAsia="Calibri"/>
                <w:lang w:eastAsia="en-US"/>
              </w:rPr>
            </w:pPr>
            <w:r w:rsidRPr="00914E2F">
              <w:rPr>
                <w:rFonts w:eastAsia="Calibri"/>
                <w:lang w:eastAsia="en-US"/>
              </w:rPr>
              <w:t>No in vivo study is considered necessary.</w:t>
            </w:r>
          </w:p>
        </w:tc>
      </w:tr>
      <w:tr w:rsidR="00452E09" w14:paraId="6264A556" w14:textId="77777777" w:rsidTr="00452E09">
        <w:tc>
          <w:tcPr>
            <w:tcW w:w="1955" w:type="dxa"/>
            <w:tcBorders>
              <w:top w:val="single" w:sz="6" w:space="0" w:color="000000"/>
              <w:left w:val="single" w:sz="4" w:space="0" w:color="000000"/>
              <w:bottom w:val="single" w:sz="6" w:space="0" w:color="000000"/>
            </w:tcBorders>
            <w:shd w:val="clear" w:color="auto" w:fill="auto"/>
          </w:tcPr>
          <w:p w14:paraId="7CEA51F6"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tcPr>
          <w:p w14:paraId="445740FB" w14:textId="7EE40039" w:rsidR="00452E09" w:rsidRDefault="00452E09">
            <w:pPr>
              <w:snapToGrid w:val="0"/>
              <w:spacing w:line="260" w:lineRule="atLeast"/>
              <w:rPr>
                <w:rFonts w:eastAsia="Calibri"/>
                <w:lang w:eastAsia="en-US"/>
              </w:rPr>
            </w:pPr>
            <w:r>
              <w:rPr>
                <w:rFonts w:eastAsia="Calibri"/>
                <w:lang w:eastAsia="en-US"/>
              </w:rPr>
              <w:t xml:space="preserve">Only Iodine is classified </w:t>
            </w:r>
            <w:r w:rsidR="00B23FDF">
              <w:rPr>
                <w:rFonts w:eastAsia="Calibri"/>
                <w:lang w:eastAsia="en-US"/>
              </w:rPr>
              <w:t xml:space="preserve">H312 </w:t>
            </w:r>
            <w:r>
              <w:rPr>
                <w:rFonts w:eastAsia="Calibri"/>
                <w:lang w:eastAsia="en-US"/>
              </w:rPr>
              <w:t>and is below the threshold of 1% so, no classification is warranted under CLP.</w:t>
            </w:r>
          </w:p>
        </w:tc>
      </w:tr>
    </w:tbl>
    <w:p w14:paraId="74981063" w14:textId="77777777" w:rsidR="00452E09" w:rsidRDefault="00452E09" w:rsidP="00452E09">
      <w:pPr>
        <w:spacing w:line="260" w:lineRule="atLeast"/>
        <w:rPr>
          <w:rFonts w:eastAsia="Calibri"/>
          <w:lang w:eastAsia="en-US"/>
        </w:rPr>
      </w:pPr>
    </w:p>
    <w:p w14:paraId="08B98EDE" w14:textId="77777777" w:rsidR="00452E09" w:rsidRDefault="00452E09" w:rsidP="00452E09">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51AA9983" w14:textId="77777777" w:rsidR="00452E09" w:rsidRDefault="00452E09" w:rsidP="00452E09">
      <w:pPr>
        <w:spacing w:line="260" w:lineRule="atLeast"/>
        <w:rPr>
          <w:rFonts w:eastAsia="Calibri"/>
          <w:lang w:eastAsia="en-US"/>
        </w:rPr>
      </w:pPr>
      <w:r>
        <w:rPr>
          <w:rFonts w:ascii="Times New Roman" w:eastAsia="Calibri" w:hAnsi="Times New Roman" w:cs="Times New Roman"/>
          <w:i/>
          <w:iCs/>
          <w:lang w:eastAsia="en-US"/>
        </w:rPr>
        <w:t xml:space="preserve">[ </w:t>
      </w:r>
    </w:p>
    <w:tbl>
      <w:tblPr>
        <w:tblW w:w="0" w:type="auto"/>
        <w:tblInd w:w="-9" w:type="dxa"/>
        <w:tblLayout w:type="fixed"/>
        <w:tblLook w:val="0000" w:firstRow="0" w:lastRow="0" w:firstColumn="0" w:lastColumn="0" w:noHBand="0" w:noVBand="0"/>
      </w:tblPr>
      <w:tblGrid>
        <w:gridCol w:w="1955"/>
        <w:gridCol w:w="7386"/>
      </w:tblGrid>
      <w:tr w:rsidR="00452E09" w14:paraId="035AA362" w14:textId="77777777" w:rsidTr="00452E09">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18D01FA4" w14:textId="77777777" w:rsidR="00452E09" w:rsidRDefault="00452E09" w:rsidP="00452E09">
            <w:pPr>
              <w:spacing w:line="260" w:lineRule="atLeast"/>
            </w:pPr>
            <w:r>
              <w:rPr>
                <w:rFonts w:eastAsia="Calibri"/>
                <w:b/>
                <w:lang w:eastAsia="en-US"/>
              </w:rPr>
              <w:t>Data waiving</w:t>
            </w:r>
          </w:p>
        </w:tc>
      </w:tr>
      <w:tr w:rsidR="00452E09" w14:paraId="6F18C268" w14:textId="77777777" w:rsidTr="00452E09">
        <w:tc>
          <w:tcPr>
            <w:tcW w:w="1955" w:type="dxa"/>
            <w:tcBorders>
              <w:top w:val="single" w:sz="6" w:space="0" w:color="000000"/>
              <w:left w:val="single" w:sz="4" w:space="0" w:color="000000"/>
              <w:bottom w:val="single" w:sz="6" w:space="0" w:color="000000"/>
            </w:tcBorders>
            <w:shd w:val="clear" w:color="auto" w:fill="auto"/>
          </w:tcPr>
          <w:p w14:paraId="473AA10C" w14:textId="77777777" w:rsidR="00452E09" w:rsidRDefault="00452E09" w:rsidP="00452E09">
            <w:pPr>
              <w:spacing w:line="260" w:lineRule="atLeast"/>
              <w:rPr>
                <w:rFonts w:eastAsia="Calibri"/>
                <w:lang w:eastAsia="en-US"/>
              </w:rPr>
            </w:pPr>
            <w:r>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F4116E9" w14:textId="77777777" w:rsidR="00452E09" w:rsidRDefault="00452E09" w:rsidP="00452E09">
            <w:pPr>
              <w:snapToGrid w:val="0"/>
              <w:spacing w:line="260" w:lineRule="atLeast"/>
              <w:rPr>
                <w:rFonts w:eastAsia="Calibri"/>
                <w:lang w:eastAsia="en-US"/>
              </w:rPr>
            </w:pPr>
            <w:r>
              <w:rPr>
                <w:iCs/>
                <w:lang w:eastAsia="en-US"/>
              </w:rPr>
              <w:t>No dermal absorption study was provided on the product ALGOFILM.</w:t>
            </w:r>
          </w:p>
        </w:tc>
      </w:tr>
      <w:tr w:rsidR="00452E09" w14:paraId="5EF08C74" w14:textId="77777777" w:rsidTr="00452E09">
        <w:tc>
          <w:tcPr>
            <w:tcW w:w="1955" w:type="dxa"/>
            <w:tcBorders>
              <w:top w:val="single" w:sz="6" w:space="0" w:color="000000"/>
              <w:left w:val="single" w:sz="4" w:space="0" w:color="000000"/>
              <w:bottom w:val="single" w:sz="6" w:space="0" w:color="000000"/>
            </w:tcBorders>
            <w:shd w:val="clear" w:color="auto" w:fill="auto"/>
          </w:tcPr>
          <w:p w14:paraId="23E700DA" w14:textId="77777777" w:rsidR="00452E09" w:rsidRDefault="00452E09" w:rsidP="00452E09">
            <w:pPr>
              <w:spacing w:line="260" w:lineRule="atLeast"/>
              <w:rPr>
                <w:rFonts w:eastAsia="Calibri"/>
                <w:lang w:eastAsia="en-US"/>
              </w:rPr>
            </w:pPr>
            <w:r>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28477B0" w14:textId="05F7EF3A" w:rsidR="00452E09" w:rsidRDefault="00452E09" w:rsidP="00A23F3D">
            <w:pPr>
              <w:rPr>
                <w:rFonts w:eastAsia="Calibri"/>
                <w:lang w:eastAsia="en-US"/>
              </w:rPr>
            </w:pPr>
            <w:r>
              <w:rPr>
                <w:iCs/>
                <w:lang w:eastAsia="en-US"/>
              </w:rPr>
              <w:t>According to the Guidance on dermal absorption, EFSA, 2017, the default dermal absorption value of 50% for dilutions water-based  with a concentration in substance inferior to 5% is used.</w:t>
            </w:r>
          </w:p>
        </w:tc>
      </w:tr>
    </w:tbl>
    <w:p w14:paraId="4D491F2C" w14:textId="77777777" w:rsidR="00452E09" w:rsidRDefault="00452E09" w:rsidP="00452E09">
      <w:pPr>
        <w:spacing w:line="260" w:lineRule="atLeast"/>
        <w:rPr>
          <w:rFonts w:ascii="Times New Roman" w:eastAsia="Calibri" w:hAnsi="Times New Roman" w:cs="Times New Roman"/>
          <w:i/>
          <w:iCs/>
          <w:lang w:eastAsia="en-US"/>
        </w:rPr>
      </w:pPr>
    </w:p>
    <w:p w14:paraId="093DBD72" w14:textId="77777777" w:rsidR="00452E09" w:rsidRDefault="00452E09" w:rsidP="00A23F3D">
      <w:pPr>
        <w:jc w:val="both"/>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20996574" w14:textId="77777777" w:rsidR="00452E09" w:rsidRDefault="00452E09" w:rsidP="00452E09">
      <w:pPr>
        <w:spacing w:line="260" w:lineRule="atLeast"/>
        <w:rPr>
          <w:rFonts w:eastAsia="Calibri"/>
          <w:lang w:eastAsia="en-US"/>
        </w:rPr>
      </w:pPr>
    </w:p>
    <w:p w14:paraId="37D5DEF8" w14:textId="3FC7D79D" w:rsidR="00452E09" w:rsidRDefault="00452E09" w:rsidP="00A23F3D">
      <w:pPr>
        <w:spacing w:line="260" w:lineRule="atLeast"/>
        <w:jc w:val="both"/>
        <w:rPr>
          <w:rFonts w:ascii="Times New Roman" w:eastAsia="Calibri" w:hAnsi="Times New Roman" w:cs="Times New Roman"/>
          <w:i/>
          <w:iCs/>
          <w:lang w:eastAsia="en-US"/>
        </w:rPr>
      </w:pPr>
      <w:r>
        <w:rPr>
          <w:rFonts w:eastAsia="Calibri"/>
          <w:lang w:eastAsia="en-US"/>
        </w:rPr>
        <w:t>No substance of concern ha</w:t>
      </w:r>
      <w:r w:rsidR="00D64246">
        <w:rPr>
          <w:rFonts w:eastAsia="Calibri"/>
          <w:lang w:eastAsia="en-US"/>
        </w:rPr>
        <w:t>s</w:t>
      </w:r>
      <w:r>
        <w:rPr>
          <w:rFonts w:eastAsia="Calibri"/>
          <w:lang w:eastAsia="en-US"/>
        </w:rPr>
        <w:t xml:space="preserve"> been identified in the product ALGOFILM </w:t>
      </w:r>
      <w:r w:rsidRPr="00B2743F">
        <w:rPr>
          <w:rFonts w:eastAsia="Calibri"/>
          <w:lang w:eastAsia="en-US"/>
        </w:rPr>
        <w:t>(see confidential annex</w:t>
      </w:r>
      <w:r w:rsidR="00A23F3D">
        <w:rPr>
          <w:rFonts w:eastAsia="Calibri"/>
          <w:lang w:eastAsia="en-US"/>
        </w:rPr>
        <w:t>).</w:t>
      </w:r>
      <w:r w:rsidRPr="00B2743F">
        <w:rPr>
          <w:rFonts w:eastAsia="Calibri"/>
          <w:lang w:eastAsia="en-US"/>
        </w:rPr>
        <w:t xml:space="preserve"> </w:t>
      </w:r>
    </w:p>
    <w:p w14:paraId="22D7A30B" w14:textId="77777777" w:rsidR="00452E09" w:rsidRDefault="00452E09" w:rsidP="00452E09">
      <w:pPr>
        <w:rPr>
          <w:rFonts w:eastAsia="Calibri"/>
          <w:b/>
          <w:i/>
          <w:sz w:val="22"/>
          <w:szCs w:val="22"/>
          <w:lang w:eastAsia="en-US"/>
        </w:rPr>
      </w:pPr>
    </w:p>
    <w:p w14:paraId="45969365" w14:textId="77777777" w:rsidR="00452E09" w:rsidRDefault="00452E09" w:rsidP="00452E09">
      <w:pPr>
        <w:rPr>
          <w:rFonts w:eastAsia="Calibri"/>
          <w:lang w:eastAsia="en-US"/>
        </w:rPr>
      </w:pPr>
      <w:r>
        <w:rPr>
          <w:rFonts w:eastAsia="Calibri"/>
          <w:b/>
          <w:i/>
          <w:sz w:val="22"/>
          <w:szCs w:val="22"/>
          <w:lang w:eastAsia="en-US"/>
        </w:rPr>
        <w:t xml:space="preserve">Available toxicological data relating to a mixture </w:t>
      </w:r>
    </w:p>
    <w:p w14:paraId="3CA15E96" w14:textId="77777777" w:rsidR="00452E09" w:rsidRDefault="00452E09" w:rsidP="00452E09">
      <w:pPr>
        <w:spacing w:line="260" w:lineRule="atLeast"/>
        <w:rPr>
          <w:rFonts w:eastAsia="Calibri"/>
          <w:lang w:eastAsia="en-US"/>
        </w:rPr>
      </w:pPr>
    </w:p>
    <w:p w14:paraId="15B6729E" w14:textId="77777777" w:rsidR="00452E09" w:rsidRDefault="00452E09" w:rsidP="00452E09">
      <w:pPr>
        <w:spacing w:line="260" w:lineRule="atLeast"/>
        <w:rPr>
          <w:rFonts w:ascii="Times New Roman" w:eastAsia="Calibri" w:hAnsi="Times New Roman" w:cs="Times New Roman"/>
          <w:i/>
          <w:iCs/>
          <w:lang w:eastAsia="en-US"/>
        </w:rPr>
      </w:pPr>
      <w:r>
        <w:rPr>
          <w:rFonts w:eastAsia="Calibri"/>
          <w:lang w:eastAsia="en-US"/>
        </w:rPr>
        <w:t>None</w:t>
      </w:r>
    </w:p>
    <w:p w14:paraId="1357CDE0" w14:textId="77777777" w:rsidR="00452E09" w:rsidRDefault="00452E09" w:rsidP="00452E09">
      <w:pPr>
        <w:spacing w:line="260" w:lineRule="atLeast"/>
        <w:rPr>
          <w:rFonts w:ascii="Times New Roman" w:eastAsia="Calibri" w:hAnsi="Times New Roman" w:cs="Times New Roman"/>
          <w:i/>
          <w:iCs/>
          <w:lang w:eastAsia="en-US"/>
        </w:rPr>
      </w:pPr>
    </w:p>
    <w:p w14:paraId="2A81BFE0" w14:textId="77777777" w:rsidR="00452E09" w:rsidRDefault="00452E09" w:rsidP="00452E09">
      <w:pPr>
        <w:rPr>
          <w:rFonts w:ascii="Times New Roman" w:eastAsia="Calibri" w:hAnsi="Times New Roman" w:cs="Times New Roman"/>
          <w:i/>
          <w:iCs/>
          <w:lang w:eastAsia="en-US"/>
        </w:rPr>
      </w:pPr>
      <w:r>
        <w:rPr>
          <w:rFonts w:eastAsia="Calibri"/>
          <w:b/>
          <w:i/>
          <w:sz w:val="22"/>
          <w:szCs w:val="22"/>
          <w:lang w:eastAsia="en-US"/>
        </w:rPr>
        <w:lastRenderedPageBreak/>
        <w:t>Other</w:t>
      </w:r>
    </w:p>
    <w:p w14:paraId="4EAAC260" w14:textId="77777777" w:rsidR="00452E09" w:rsidRDefault="00452E09" w:rsidP="00452E09">
      <w:pPr>
        <w:spacing w:line="260" w:lineRule="atLeast"/>
        <w:jc w:val="both"/>
        <w:rPr>
          <w:rFonts w:ascii="Times New Roman" w:eastAsia="Calibri" w:hAnsi="Times New Roman" w:cs="Times New Roman"/>
          <w:i/>
          <w:iCs/>
          <w:lang w:eastAsia="en-US"/>
        </w:rPr>
      </w:pPr>
    </w:p>
    <w:p w14:paraId="07EFBA17" w14:textId="77777777" w:rsidR="00452E09" w:rsidRPr="009569B9" w:rsidRDefault="00452E09" w:rsidP="00452E09">
      <w:pPr>
        <w:spacing w:line="260" w:lineRule="atLeast"/>
        <w:jc w:val="both"/>
        <w:rPr>
          <w:rFonts w:eastAsia="Calibri"/>
          <w:lang w:eastAsia="en-US"/>
        </w:rPr>
      </w:pPr>
      <w:r w:rsidRPr="009569B9">
        <w:rPr>
          <w:rFonts w:eastAsia="Calibri"/>
          <w:lang w:eastAsia="en-US"/>
        </w:rPr>
        <w:t xml:space="preserve">The components classified for the other endpoints are not at a content sufficient to classify the product. </w:t>
      </w:r>
    </w:p>
    <w:p w14:paraId="12C2B656" w14:textId="07B408FD" w:rsidR="00452E09" w:rsidRPr="009569B9" w:rsidRDefault="00452E09" w:rsidP="00452E09">
      <w:pPr>
        <w:spacing w:line="260" w:lineRule="atLeast"/>
        <w:jc w:val="both"/>
        <w:rPr>
          <w:rFonts w:eastAsia="Calibri"/>
          <w:lang w:eastAsia="en-US"/>
        </w:rPr>
      </w:pPr>
      <w:r w:rsidRPr="009569B9">
        <w:rPr>
          <w:rFonts w:eastAsia="Calibri"/>
          <w:lang w:eastAsia="en-US"/>
        </w:rPr>
        <w:t xml:space="preserve">To conclude, the product </w:t>
      </w:r>
      <w:r w:rsidR="00A23F3D" w:rsidRPr="009569B9">
        <w:rPr>
          <w:rFonts w:eastAsia="Calibri"/>
          <w:lang w:eastAsia="en-US"/>
        </w:rPr>
        <w:t xml:space="preserve">ALGOFILM </w:t>
      </w:r>
      <w:r w:rsidRPr="009569B9">
        <w:rPr>
          <w:rFonts w:eastAsia="Calibri"/>
          <w:lang w:eastAsia="en-US"/>
        </w:rPr>
        <w:t xml:space="preserve">is not classified. </w:t>
      </w:r>
    </w:p>
    <w:p w14:paraId="35189BF6" w14:textId="77777777" w:rsidR="00452E09" w:rsidRPr="00377AC6" w:rsidRDefault="00452E09" w:rsidP="00377AC6">
      <w:pPr>
        <w:pStyle w:val="Corpsdetexte"/>
      </w:pPr>
    </w:p>
    <w:p w14:paraId="34005F59" w14:textId="77777777" w:rsidR="009D0C0B" w:rsidRDefault="009D0C0B">
      <w:pPr>
        <w:spacing w:line="260" w:lineRule="atLeast"/>
        <w:jc w:val="both"/>
        <w:rPr>
          <w:rFonts w:ascii="Times New Roman" w:eastAsia="Calibri" w:hAnsi="Times New Roman" w:cs="Times New Roman"/>
          <w:i/>
          <w:iCs/>
          <w:lang w:eastAsia="en-US"/>
        </w:rPr>
      </w:pPr>
    </w:p>
    <w:p w14:paraId="0D569A99" w14:textId="4569A6DF" w:rsidR="009D0C0B" w:rsidRDefault="00377AC6">
      <w:pPr>
        <w:pStyle w:val="Titre4"/>
      </w:pPr>
      <w:r>
        <w:t xml:space="preserve"> </w:t>
      </w:r>
      <w:bookmarkStart w:id="71" w:name="_Toc74732491"/>
      <w:r w:rsidR="00FA480B">
        <w:t>Exposure assessment</w:t>
      </w:r>
      <w:r w:rsidR="00452E09">
        <w:t xml:space="preserve"> and risk characterisation </w:t>
      </w:r>
      <w:r w:rsidR="00A23F3D">
        <w:t>on Human Health</w:t>
      </w:r>
      <w:bookmarkEnd w:id="71"/>
    </w:p>
    <w:p w14:paraId="1EA15CDC" w14:textId="57554A12" w:rsidR="00452E09" w:rsidRDefault="00452E09" w:rsidP="00377AC6">
      <w:pPr>
        <w:pStyle w:val="Corpsdetexte"/>
      </w:pPr>
    </w:p>
    <w:p w14:paraId="7AA5421E" w14:textId="6C6DC249" w:rsidR="00452E09" w:rsidRPr="00452E09" w:rsidRDefault="00377AC6" w:rsidP="00452E09">
      <w:pPr>
        <w:suppressAutoHyphens w:val="0"/>
        <w:spacing w:line="260" w:lineRule="atLeast"/>
        <w:jc w:val="both"/>
        <w:rPr>
          <w:rFonts w:eastAsia="Calibri"/>
          <w:bCs/>
          <w:lang w:eastAsia="en-US"/>
        </w:rPr>
      </w:pPr>
      <w:r>
        <w:rPr>
          <w:rFonts w:eastAsia="Calibri"/>
          <w:bCs/>
          <w:lang w:eastAsia="en-US"/>
        </w:rPr>
        <w:t>ALGOFILM</w:t>
      </w:r>
      <w:r w:rsidR="00452E09" w:rsidRPr="00452E09">
        <w:rPr>
          <w:rFonts w:eastAsia="Calibri"/>
          <w:bCs/>
          <w:lang w:eastAsia="en-US"/>
        </w:rPr>
        <w:t xml:space="preserve"> is a biocidal product containing ready-to-use product packaged in can of 20</w:t>
      </w:r>
      <w:r w:rsidR="001E5F9A">
        <w:rPr>
          <w:rFonts w:eastAsia="Calibri"/>
          <w:bCs/>
          <w:lang w:eastAsia="en-US"/>
        </w:rPr>
        <w:t xml:space="preserve"> </w:t>
      </w:r>
      <w:r w:rsidR="00452E09" w:rsidRPr="00452E09">
        <w:rPr>
          <w:rFonts w:eastAsia="Calibri"/>
          <w:bCs/>
          <w:lang w:eastAsia="en-US"/>
        </w:rPr>
        <w:t>L and barrels of 60 and 220</w:t>
      </w:r>
      <w:r w:rsidR="001E5F9A">
        <w:rPr>
          <w:rFonts w:eastAsia="Calibri"/>
          <w:bCs/>
          <w:lang w:eastAsia="en-US"/>
        </w:rPr>
        <w:t xml:space="preserve"> </w:t>
      </w:r>
      <w:r w:rsidR="00452E09" w:rsidRPr="00452E09">
        <w:rPr>
          <w:rFonts w:eastAsia="Calibri"/>
          <w:bCs/>
          <w:lang w:eastAsia="en-US"/>
        </w:rPr>
        <w:t>L.</w:t>
      </w:r>
    </w:p>
    <w:p w14:paraId="30E68457" w14:textId="77777777" w:rsidR="00452E09" w:rsidRPr="00452E09" w:rsidRDefault="00452E09" w:rsidP="00452E09">
      <w:pPr>
        <w:spacing w:line="260" w:lineRule="atLeast"/>
        <w:jc w:val="both"/>
        <w:rPr>
          <w:rFonts w:eastAsia="Calibri"/>
          <w:bCs/>
          <w:lang w:eastAsia="en-US"/>
        </w:rPr>
      </w:pPr>
      <w:r w:rsidRPr="00452E09">
        <w:rPr>
          <w:rFonts w:eastAsia="Calibri"/>
          <w:bCs/>
          <w:lang w:eastAsia="en-US"/>
        </w:rPr>
        <w:t xml:space="preserve">It is intended to be used by professionals to disinfect teats. It is applied by manual or automatic dipping on the teats after milking and two milkings per day are performed. </w:t>
      </w:r>
    </w:p>
    <w:p w14:paraId="166FD8CC" w14:textId="77777777" w:rsidR="00452E09" w:rsidRPr="00452E09" w:rsidRDefault="00452E09" w:rsidP="00452E09">
      <w:pPr>
        <w:spacing w:line="260" w:lineRule="atLeast"/>
        <w:jc w:val="both"/>
        <w:rPr>
          <w:rFonts w:eastAsia="Calibri"/>
          <w:bCs/>
          <w:lang w:eastAsia="en-US"/>
        </w:rPr>
      </w:pPr>
    </w:p>
    <w:p w14:paraId="3EB5516A" w14:textId="77777777" w:rsidR="00452E09" w:rsidRPr="00452E09" w:rsidRDefault="00452E09" w:rsidP="00452E09">
      <w:pPr>
        <w:suppressAutoHyphens w:val="0"/>
        <w:spacing w:line="260" w:lineRule="atLeast"/>
        <w:jc w:val="both"/>
        <w:rPr>
          <w:rFonts w:eastAsia="Calibri"/>
          <w:bCs/>
          <w:lang w:eastAsia="en-US"/>
        </w:rPr>
      </w:pPr>
      <w:r w:rsidRPr="00452E09">
        <w:rPr>
          <w:rFonts w:eastAsia="Calibri"/>
          <w:bCs/>
          <w:lang w:eastAsia="en-US"/>
        </w:rPr>
        <w:t>The assessment follows the recommendation n°13 of the BPC Ad hoc Working Group on Human Exposure (Exposure Assessment of teat disinfection products for veterinary hygiene PT3), agreed at the human Health Working group I on january 2017.</w:t>
      </w:r>
    </w:p>
    <w:p w14:paraId="4D01247A" w14:textId="77777777" w:rsidR="00452E09" w:rsidRPr="00452E09" w:rsidRDefault="00452E09" w:rsidP="00452E09">
      <w:pPr>
        <w:suppressAutoHyphens w:val="0"/>
        <w:spacing w:line="260" w:lineRule="atLeast"/>
        <w:jc w:val="both"/>
        <w:rPr>
          <w:rFonts w:eastAsia="Calibri"/>
          <w:bCs/>
          <w:lang w:eastAsia="en-US"/>
        </w:rPr>
      </w:pPr>
    </w:p>
    <w:p w14:paraId="3FE13569" w14:textId="01C25068" w:rsidR="00452E09" w:rsidRPr="00452E09" w:rsidRDefault="00452E09" w:rsidP="00452E09">
      <w:pPr>
        <w:suppressAutoHyphens w:val="0"/>
        <w:spacing w:line="260" w:lineRule="atLeast"/>
        <w:jc w:val="both"/>
        <w:rPr>
          <w:rFonts w:eastAsia="Calibri"/>
          <w:bCs/>
          <w:lang w:eastAsia="en-US"/>
        </w:rPr>
      </w:pPr>
      <w:r w:rsidRPr="00452E09">
        <w:rPr>
          <w:rFonts w:eastAsia="Calibri"/>
          <w:bCs/>
          <w:lang w:eastAsia="en-US"/>
        </w:rPr>
        <w:t>The exposure calculations presented below are conducted with the values of</w:t>
      </w:r>
      <w:r w:rsidRPr="00452E09">
        <w:rPr>
          <w:rFonts w:eastAsia="Calibri"/>
          <w:bCs/>
          <w:lang w:eastAsia="en-US"/>
        </w:rPr>
        <w:br/>
        <w:t xml:space="preserve">0.222% of total iodine (PVP iodine + </w:t>
      </w:r>
      <w:r w:rsidR="00024308">
        <w:rPr>
          <w:rFonts w:eastAsia="Calibri"/>
          <w:bCs/>
          <w:lang w:eastAsia="en-US"/>
        </w:rPr>
        <w:t>co-formulants</w:t>
      </w:r>
      <w:r w:rsidR="00CC5331">
        <w:rPr>
          <w:rFonts w:eastAsia="Calibri"/>
          <w:bCs/>
          <w:lang w:eastAsia="en-US"/>
        </w:rPr>
        <w:t xml:space="preserve"> containining iodine</w:t>
      </w:r>
      <w:r w:rsidRPr="00452E09">
        <w:rPr>
          <w:rFonts w:eastAsia="Calibri"/>
          <w:bCs/>
          <w:lang w:eastAsia="en-US"/>
        </w:rPr>
        <w:t xml:space="preserve">), since the reference values is expressed as iodine (and not as PVPi). </w:t>
      </w:r>
    </w:p>
    <w:p w14:paraId="3DCAD5DC" w14:textId="77777777" w:rsidR="00452E09" w:rsidRPr="00452E09" w:rsidRDefault="00452E09" w:rsidP="00452E09">
      <w:pPr>
        <w:spacing w:line="260" w:lineRule="atLeast"/>
        <w:jc w:val="both"/>
        <w:rPr>
          <w:rFonts w:eastAsia="Calibri"/>
          <w:bCs/>
          <w:lang w:eastAsia="en-US"/>
        </w:rPr>
      </w:pPr>
    </w:p>
    <w:p w14:paraId="297B3529" w14:textId="0779ABB2" w:rsidR="00452E09" w:rsidRPr="00452E09" w:rsidRDefault="00452E09" w:rsidP="00AB1CDB">
      <w:pPr>
        <w:spacing w:before="100" w:beforeAutospacing="1" w:after="100" w:afterAutospacing="1"/>
        <w:jc w:val="both"/>
        <w:rPr>
          <w:rFonts w:eastAsia="Calibri"/>
          <w:bCs/>
          <w:lang w:eastAsia="en-US"/>
        </w:rPr>
      </w:pPr>
      <w:r w:rsidRPr="00452E09">
        <w:rPr>
          <w:rFonts w:eastAsia="Calibri"/>
          <w:bCs/>
          <w:lang w:eastAsia="en-US"/>
        </w:rPr>
        <w:t xml:space="preserve">For L-(+)-lactic acid, no reference value was derived at the active substance level. According to the discussion which took place on March 2021 during the Human Health WG I 2021, it has been agreed not </w:t>
      </w:r>
      <w:r w:rsidR="00F96ED4" w:rsidRPr="00452E09">
        <w:rPr>
          <w:rFonts w:eastAsia="Calibri"/>
          <w:bCs/>
          <w:lang w:eastAsia="en-US"/>
        </w:rPr>
        <w:t xml:space="preserve">to </w:t>
      </w:r>
      <w:r w:rsidRPr="00452E09">
        <w:rPr>
          <w:rFonts w:eastAsia="Calibri"/>
          <w:bCs/>
          <w:lang w:eastAsia="en-US"/>
        </w:rPr>
        <w:t xml:space="preserve">perform the comparison of the systemic exposure linked to biocidal uses to the endogenous L-(+)-lactic acid at the product authorization level. Consequently, any calculation regarding the estimation of level of exposure of L-(+)-lactic acid is performed. </w:t>
      </w:r>
      <w:r w:rsidR="00904F6E">
        <w:rPr>
          <w:rFonts w:eastAsia="Calibri"/>
          <w:bCs/>
          <w:lang w:eastAsia="en-US"/>
        </w:rPr>
        <w:t xml:space="preserve">Moreover, </w:t>
      </w:r>
      <w:r w:rsidR="00904F6E" w:rsidRPr="00452E09">
        <w:rPr>
          <w:rFonts w:eastAsia="Calibri"/>
          <w:bCs/>
          <w:lang w:eastAsia="en-US"/>
        </w:rPr>
        <w:t>L-(+)-lactic acid</w:t>
      </w:r>
      <w:r w:rsidR="00904F6E">
        <w:rPr>
          <w:rFonts w:eastAsia="Calibri"/>
          <w:bCs/>
          <w:lang w:eastAsia="en-US"/>
        </w:rPr>
        <w:t xml:space="preserve"> is not at a sufficient concentration to trigger local effect. </w:t>
      </w:r>
    </w:p>
    <w:p w14:paraId="498097F9" w14:textId="77777777" w:rsidR="00452E09" w:rsidRPr="00452E09" w:rsidRDefault="00452E09" w:rsidP="00452E09">
      <w:pPr>
        <w:spacing w:line="260" w:lineRule="atLeast"/>
        <w:jc w:val="both"/>
        <w:rPr>
          <w:rFonts w:eastAsia="Calibri"/>
          <w:b/>
          <w:bCs/>
          <w:lang w:eastAsia="en-US"/>
        </w:rPr>
      </w:pPr>
      <w:r w:rsidRPr="00452E09">
        <w:rPr>
          <w:rFonts w:eastAsia="Calibri"/>
          <w:b/>
          <w:bCs/>
          <w:lang w:eastAsia="en-US"/>
        </w:rPr>
        <w:t>Identification of main paths of human exposure towards active substance(s) and substances of concern from its use in biocidal product</w:t>
      </w:r>
    </w:p>
    <w:p w14:paraId="65530093" w14:textId="77777777" w:rsidR="00452E09" w:rsidRPr="00452E09" w:rsidRDefault="00452E09" w:rsidP="00452E09">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452E09" w:rsidRPr="00452E09" w14:paraId="7B4CC26E" w14:textId="77777777" w:rsidTr="00452E09">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3C49EE6E" w14:textId="77777777" w:rsidR="00452E09" w:rsidRPr="00452E09" w:rsidRDefault="00452E09" w:rsidP="00452E09">
            <w:pPr>
              <w:spacing w:line="260" w:lineRule="atLeast"/>
              <w:jc w:val="center"/>
            </w:pPr>
            <w:r w:rsidRPr="00452E09">
              <w:rPr>
                <w:rFonts w:eastAsia="Calibri"/>
                <w:b/>
                <w:lang w:eastAsia="en-US"/>
              </w:rPr>
              <w:t>Summary table: relevant paths of human exposure</w:t>
            </w:r>
          </w:p>
        </w:tc>
      </w:tr>
      <w:tr w:rsidR="00452E09" w:rsidRPr="00452E09" w14:paraId="79E36CD3" w14:textId="77777777" w:rsidTr="00452E09">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4ACBF94F" w14:textId="77777777" w:rsidR="00452E09" w:rsidRPr="00452E09" w:rsidRDefault="00452E09" w:rsidP="00452E09">
            <w:pPr>
              <w:spacing w:line="260" w:lineRule="atLeast"/>
              <w:rPr>
                <w:rFonts w:eastAsia="Calibri"/>
                <w:b/>
                <w:lang w:eastAsia="en-US"/>
              </w:rPr>
            </w:pPr>
            <w:r w:rsidRPr="00452E09">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0E283594" w14:textId="77777777" w:rsidR="00452E09" w:rsidRPr="00452E09" w:rsidRDefault="00452E09" w:rsidP="00452E09">
            <w:pPr>
              <w:spacing w:line="260" w:lineRule="atLeast"/>
              <w:rPr>
                <w:rFonts w:eastAsia="Calibri"/>
                <w:b/>
                <w:lang w:eastAsia="en-US"/>
              </w:rPr>
            </w:pPr>
            <w:r w:rsidRPr="00452E09">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379C1521" w14:textId="77777777" w:rsidR="00452E09" w:rsidRPr="00452E09" w:rsidRDefault="00452E09" w:rsidP="00452E09">
            <w:pPr>
              <w:spacing w:line="260" w:lineRule="atLeast"/>
            </w:pPr>
            <w:r w:rsidRPr="00452E09">
              <w:rPr>
                <w:rFonts w:eastAsia="Calibri"/>
                <w:b/>
                <w:lang w:eastAsia="en-US"/>
              </w:rPr>
              <w:t xml:space="preserve">Secondary (indirect) exposure </w:t>
            </w:r>
          </w:p>
        </w:tc>
      </w:tr>
      <w:tr w:rsidR="00452E09" w:rsidRPr="00452E09" w14:paraId="5103B21D" w14:textId="77777777" w:rsidTr="00452E09">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24D2D2B1" w14:textId="77777777" w:rsidR="00452E09" w:rsidRPr="00452E09" w:rsidRDefault="00452E09" w:rsidP="00452E09"/>
        </w:tc>
        <w:tc>
          <w:tcPr>
            <w:tcW w:w="1134" w:type="dxa"/>
            <w:tcBorders>
              <w:top w:val="single" w:sz="6" w:space="0" w:color="000000"/>
              <w:left w:val="single" w:sz="6" w:space="0" w:color="000000"/>
              <w:bottom w:val="single" w:sz="6" w:space="0" w:color="000000"/>
            </w:tcBorders>
            <w:shd w:val="clear" w:color="auto" w:fill="auto"/>
          </w:tcPr>
          <w:p w14:paraId="46E9837A" w14:textId="77777777" w:rsidR="00452E09" w:rsidRPr="00452E09" w:rsidRDefault="00452E09" w:rsidP="00452E09">
            <w:pPr>
              <w:spacing w:line="260" w:lineRule="atLeast"/>
              <w:rPr>
                <w:rFonts w:eastAsia="Calibri"/>
                <w:b/>
                <w:lang w:eastAsia="en-US"/>
              </w:rPr>
            </w:pPr>
            <w:r w:rsidRPr="00452E09">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0765BB7C" w14:textId="77777777" w:rsidR="00452E09" w:rsidRPr="00452E09" w:rsidRDefault="00452E09" w:rsidP="00452E09">
            <w:pPr>
              <w:spacing w:line="260" w:lineRule="atLeast"/>
              <w:rPr>
                <w:rFonts w:eastAsia="Calibri"/>
                <w:b/>
                <w:lang w:eastAsia="en-US"/>
              </w:rPr>
            </w:pPr>
            <w:r w:rsidRPr="00452E09">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64D6478E" w14:textId="77777777" w:rsidR="00452E09" w:rsidRPr="00452E09" w:rsidRDefault="00452E09" w:rsidP="00452E09">
            <w:pPr>
              <w:spacing w:line="260" w:lineRule="atLeast"/>
              <w:rPr>
                <w:rFonts w:eastAsia="Calibri"/>
                <w:b/>
                <w:lang w:eastAsia="en-US"/>
              </w:rPr>
            </w:pPr>
            <w:r w:rsidRPr="00452E09">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0B8405AE" w14:textId="77777777" w:rsidR="00452E09" w:rsidRPr="00452E09" w:rsidRDefault="00452E09" w:rsidP="00452E09">
            <w:pPr>
              <w:spacing w:line="260" w:lineRule="atLeast"/>
              <w:rPr>
                <w:rFonts w:eastAsia="Calibri"/>
                <w:b/>
                <w:lang w:eastAsia="en-US"/>
              </w:rPr>
            </w:pPr>
            <w:r w:rsidRPr="00452E09">
              <w:rPr>
                <w:rFonts w:eastAsia="Calibri"/>
                <w:b/>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62DA97AF" w14:textId="77777777" w:rsidR="00452E09" w:rsidRPr="00452E09" w:rsidRDefault="00452E09" w:rsidP="00452E09">
            <w:pPr>
              <w:spacing w:line="260" w:lineRule="atLeast"/>
              <w:rPr>
                <w:rFonts w:eastAsia="Calibri"/>
                <w:b/>
                <w:lang w:eastAsia="en-US"/>
              </w:rPr>
            </w:pPr>
            <w:r w:rsidRPr="00452E09">
              <w:rPr>
                <w:rFonts w:eastAsia="Calibri"/>
                <w:b/>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14:paraId="76FA0C9B" w14:textId="77777777" w:rsidR="00452E09" w:rsidRPr="00452E09" w:rsidRDefault="00452E09" w:rsidP="00452E09">
            <w:pPr>
              <w:spacing w:line="260" w:lineRule="atLeast"/>
              <w:rPr>
                <w:rFonts w:eastAsia="Calibri"/>
                <w:b/>
                <w:lang w:eastAsia="en-US"/>
              </w:rPr>
            </w:pPr>
            <w:r w:rsidRPr="00452E09">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1C2960F" w14:textId="77777777" w:rsidR="00452E09" w:rsidRPr="00452E09" w:rsidRDefault="00452E09" w:rsidP="00452E09">
            <w:pPr>
              <w:spacing w:line="260" w:lineRule="atLeast"/>
            </w:pPr>
            <w:r w:rsidRPr="00452E09">
              <w:rPr>
                <w:rFonts w:eastAsia="Calibri"/>
                <w:b/>
                <w:lang w:eastAsia="en-US"/>
              </w:rPr>
              <w:t>Via food</w:t>
            </w:r>
          </w:p>
        </w:tc>
      </w:tr>
      <w:tr w:rsidR="00452E09" w:rsidRPr="00452E09" w14:paraId="1EB1BA7D" w14:textId="77777777" w:rsidTr="00452E09">
        <w:tc>
          <w:tcPr>
            <w:tcW w:w="1208" w:type="dxa"/>
            <w:tcBorders>
              <w:top w:val="single" w:sz="6" w:space="0" w:color="000000"/>
              <w:left w:val="single" w:sz="6" w:space="0" w:color="000000"/>
              <w:bottom w:val="single" w:sz="6" w:space="0" w:color="000000"/>
            </w:tcBorders>
            <w:shd w:val="clear" w:color="auto" w:fill="auto"/>
          </w:tcPr>
          <w:p w14:paraId="15D4D555" w14:textId="77777777" w:rsidR="00452E09" w:rsidRPr="00452E09" w:rsidRDefault="00452E09" w:rsidP="00452E09">
            <w:pPr>
              <w:spacing w:line="260" w:lineRule="atLeast"/>
              <w:rPr>
                <w:rFonts w:eastAsia="Calibri"/>
                <w:lang w:eastAsia="en-US"/>
              </w:rPr>
            </w:pPr>
            <w:r w:rsidRPr="00452E09">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2108ECB5"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397" w:type="dxa"/>
            <w:tcBorders>
              <w:top w:val="single" w:sz="6" w:space="0" w:color="000000"/>
              <w:left w:val="single" w:sz="6" w:space="0" w:color="000000"/>
              <w:bottom w:val="single" w:sz="6" w:space="0" w:color="000000"/>
            </w:tcBorders>
            <w:shd w:val="clear" w:color="auto" w:fill="auto"/>
          </w:tcPr>
          <w:p w14:paraId="6E6D9286"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7C9B1669"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182" w:type="dxa"/>
            <w:tcBorders>
              <w:top w:val="single" w:sz="6" w:space="0" w:color="000000"/>
              <w:left w:val="single" w:sz="6" w:space="0" w:color="000000"/>
              <w:bottom w:val="single" w:sz="6" w:space="0" w:color="000000"/>
            </w:tcBorders>
            <w:shd w:val="clear" w:color="auto" w:fill="auto"/>
          </w:tcPr>
          <w:p w14:paraId="64B7C489"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373" w:type="dxa"/>
            <w:tcBorders>
              <w:top w:val="single" w:sz="6" w:space="0" w:color="000000"/>
              <w:left w:val="single" w:sz="6" w:space="0" w:color="000000"/>
              <w:bottom w:val="single" w:sz="6" w:space="0" w:color="000000"/>
            </w:tcBorders>
            <w:shd w:val="clear" w:color="auto" w:fill="auto"/>
          </w:tcPr>
          <w:p w14:paraId="78FBA87D"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849" w:type="dxa"/>
            <w:tcBorders>
              <w:top w:val="single" w:sz="6" w:space="0" w:color="000000"/>
              <w:left w:val="single" w:sz="6" w:space="0" w:color="000000"/>
              <w:bottom w:val="single" w:sz="6" w:space="0" w:color="000000"/>
            </w:tcBorders>
            <w:shd w:val="clear" w:color="auto" w:fill="auto"/>
          </w:tcPr>
          <w:p w14:paraId="697BB2C0"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49856CF4" w14:textId="4CC9981B" w:rsidR="00452E09" w:rsidRPr="00452E09" w:rsidRDefault="00BE724A" w:rsidP="00452E09">
            <w:pPr>
              <w:snapToGrid w:val="0"/>
              <w:spacing w:line="260" w:lineRule="atLeast"/>
              <w:rPr>
                <w:rFonts w:eastAsia="Calibri"/>
                <w:lang w:eastAsia="en-US"/>
              </w:rPr>
            </w:pPr>
            <w:r>
              <w:rPr>
                <w:rFonts w:eastAsia="Calibri"/>
                <w:lang w:eastAsia="en-US"/>
              </w:rPr>
              <w:t>nr</w:t>
            </w:r>
          </w:p>
        </w:tc>
      </w:tr>
      <w:tr w:rsidR="00452E09" w:rsidRPr="00452E09" w14:paraId="727CE9AB" w14:textId="77777777" w:rsidTr="00452E09">
        <w:tc>
          <w:tcPr>
            <w:tcW w:w="1208" w:type="dxa"/>
            <w:tcBorders>
              <w:top w:val="single" w:sz="6" w:space="0" w:color="000000"/>
              <w:left w:val="single" w:sz="6" w:space="0" w:color="000000"/>
              <w:bottom w:val="single" w:sz="6" w:space="0" w:color="000000"/>
            </w:tcBorders>
            <w:shd w:val="clear" w:color="auto" w:fill="auto"/>
          </w:tcPr>
          <w:p w14:paraId="234C0BD4" w14:textId="77777777" w:rsidR="00452E09" w:rsidRPr="00452E09" w:rsidRDefault="00452E09" w:rsidP="00452E09">
            <w:pPr>
              <w:spacing w:line="260" w:lineRule="atLeast"/>
              <w:rPr>
                <w:rFonts w:eastAsia="Calibri"/>
                <w:lang w:eastAsia="en-US"/>
              </w:rPr>
            </w:pPr>
            <w:r w:rsidRPr="00452E09">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376E8342"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397" w:type="dxa"/>
            <w:tcBorders>
              <w:top w:val="single" w:sz="6" w:space="0" w:color="000000"/>
              <w:left w:val="single" w:sz="6" w:space="0" w:color="000000"/>
              <w:bottom w:val="single" w:sz="6" w:space="0" w:color="000000"/>
            </w:tcBorders>
            <w:shd w:val="clear" w:color="auto" w:fill="auto"/>
          </w:tcPr>
          <w:p w14:paraId="25AE3A25"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27F955A4"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182" w:type="dxa"/>
            <w:tcBorders>
              <w:top w:val="single" w:sz="6" w:space="0" w:color="000000"/>
              <w:left w:val="single" w:sz="6" w:space="0" w:color="000000"/>
              <w:bottom w:val="single" w:sz="6" w:space="0" w:color="000000"/>
            </w:tcBorders>
            <w:shd w:val="clear" w:color="auto" w:fill="auto"/>
          </w:tcPr>
          <w:p w14:paraId="235730E6"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373" w:type="dxa"/>
            <w:tcBorders>
              <w:top w:val="single" w:sz="6" w:space="0" w:color="000000"/>
              <w:left w:val="single" w:sz="6" w:space="0" w:color="000000"/>
              <w:bottom w:val="single" w:sz="6" w:space="0" w:color="000000"/>
            </w:tcBorders>
            <w:shd w:val="clear" w:color="auto" w:fill="auto"/>
          </w:tcPr>
          <w:p w14:paraId="62FBA37F"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849" w:type="dxa"/>
            <w:tcBorders>
              <w:top w:val="single" w:sz="6" w:space="0" w:color="000000"/>
              <w:left w:val="single" w:sz="6" w:space="0" w:color="000000"/>
              <w:bottom w:val="single" w:sz="6" w:space="0" w:color="000000"/>
            </w:tcBorders>
            <w:shd w:val="clear" w:color="auto" w:fill="auto"/>
          </w:tcPr>
          <w:p w14:paraId="6ABC24F6"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4EE2EBCD" w14:textId="2B0D2896" w:rsidR="00452E09" w:rsidRPr="00452E09" w:rsidRDefault="00BE724A" w:rsidP="00452E09">
            <w:pPr>
              <w:snapToGrid w:val="0"/>
              <w:spacing w:line="260" w:lineRule="atLeast"/>
              <w:rPr>
                <w:rFonts w:eastAsia="Calibri"/>
                <w:lang w:eastAsia="en-US"/>
              </w:rPr>
            </w:pPr>
            <w:r>
              <w:rPr>
                <w:rFonts w:eastAsia="Calibri"/>
                <w:lang w:eastAsia="en-US"/>
              </w:rPr>
              <w:t>nr</w:t>
            </w:r>
          </w:p>
        </w:tc>
      </w:tr>
      <w:tr w:rsidR="00452E09" w:rsidRPr="00452E09" w14:paraId="2549EFFD" w14:textId="77777777" w:rsidTr="00452E09">
        <w:tc>
          <w:tcPr>
            <w:tcW w:w="1208" w:type="dxa"/>
            <w:tcBorders>
              <w:top w:val="single" w:sz="6" w:space="0" w:color="000000"/>
              <w:left w:val="single" w:sz="6" w:space="0" w:color="000000"/>
              <w:bottom w:val="single" w:sz="6" w:space="0" w:color="000000"/>
            </w:tcBorders>
            <w:shd w:val="clear" w:color="auto" w:fill="auto"/>
          </w:tcPr>
          <w:p w14:paraId="3D1D28ED" w14:textId="77777777" w:rsidR="00452E09" w:rsidRPr="00452E09" w:rsidRDefault="00452E09" w:rsidP="00452E09">
            <w:pPr>
              <w:spacing w:line="260" w:lineRule="atLeast"/>
              <w:rPr>
                <w:rFonts w:eastAsia="Calibri"/>
                <w:lang w:eastAsia="en-US"/>
              </w:rPr>
            </w:pPr>
            <w:r w:rsidRPr="00452E09">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22B7E3D7"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397" w:type="dxa"/>
            <w:tcBorders>
              <w:top w:val="single" w:sz="6" w:space="0" w:color="000000"/>
              <w:left w:val="single" w:sz="6" w:space="0" w:color="000000"/>
              <w:bottom w:val="single" w:sz="6" w:space="0" w:color="000000"/>
            </w:tcBorders>
            <w:shd w:val="clear" w:color="auto" w:fill="auto"/>
          </w:tcPr>
          <w:p w14:paraId="03AC7D7C"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433" w:type="dxa"/>
            <w:tcBorders>
              <w:top w:val="single" w:sz="6" w:space="0" w:color="000000"/>
              <w:left w:val="single" w:sz="6" w:space="0" w:color="000000"/>
              <w:bottom w:val="single" w:sz="6" w:space="0" w:color="000000"/>
            </w:tcBorders>
            <w:shd w:val="clear" w:color="auto" w:fill="auto"/>
          </w:tcPr>
          <w:p w14:paraId="0B56B160"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182" w:type="dxa"/>
            <w:tcBorders>
              <w:top w:val="single" w:sz="6" w:space="0" w:color="000000"/>
              <w:left w:val="single" w:sz="6" w:space="0" w:color="000000"/>
              <w:bottom w:val="single" w:sz="6" w:space="0" w:color="000000"/>
            </w:tcBorders>
            <w:shd w:val="clear" w:color="auto" w:fill="auto"/>
          </w:tcPr>
          <w:p w14:paraId="17DF739D"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1373" w:type="dxa"/>
            <w:tcBorders>
              <w:top w:val="single" w:sz="6" w:space="0" w:color="000000"/>
              <w:left w:val="single" w:sz="6" w:space="0" w:color="000000"/>
              <w:bottom w:val="single" w:sz="6" w:space="0" w:color="000000"/>
            </w:tcBorders>
            <w:shd w:val="clear" w:color="auto" w:fill="auto"/>
          </w:tcPr>
          <w:p w14:paraId="7263094D"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849" w:type="dxa"/>
            <w:tcBorders>
              <w:top w:val="single" w:sz="6" w:space="0" w:color="000000"/>
              <w:left w:val="single" w:sz="6" w:space="0" w:color="000000"/>
              <w:bottom w:val="single" w:sz="6" w:space="0" w:color="000000"/>
            </w:tcBorders>
            <w:shd w:val="clear" w:color="auto" w:fill="auto"/>
          </w:tcPr>
          <w:p w14:paraId="5C68C2CF"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nr</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A067882" w14:textId="77777777" w:rsidR="00452E09" w:rsidRPr="00452E09" w:rsidRDefault="00452E09" w:rsidP="00452E09">
            <w:pPr>
              <w:snapToGrid w:val="0"/>
              <w:spacing w:line="260" w:lineRule="atLeast"/>
              <w:rPr>
                <w:rFonts w:eastAsia="Calibri"/>
                <w:lang w:eastAsia="en-US"/>
              </w:rPr>
            </w:pPr>
            <w:r w:rsidRPr="00452E09">
              <w:rPr>
                <w:rFonts w:eastAsia="Calibri"/>
                <w:lang w:eastAsia="en-US"/>
              </w:rPr>
              <w:t>Yes</w:t>
            </w:r>
          </w:p>
        </w:tc>
      </w:tr>
    </w:tbl>
    <w:p w14:paraId="208891CE" w14:textId="77777777" w:rsidR="00452E09" w:rsidRPr="00452E09" w:rsidRDefault="00452E09" w:rsidP="00AB1CDB">
      <w:pPr>
        <w:jc w:val="both"/>
        <w:rPr>
          <w:rFonts w:eastAsia="Calibri"/>
          <w:lang w:eastAsia="en-US"/>
        </w:rPr>
      </w:pPr>
      <w:r w:rsidRPr="00452E09">
        <w:rPr>
          <w:rFonts w:eastAsia="Calibri"/>
          <w:lang w:eastAsia="en-US"/>
        </w:rPr>
        <w:t xml:space="preserve">*Inhalation exposure of vapour of iodine from this type of product (teat disinfectant) was a point of discussion at the WGIV-2017, and it was concluded that inhalation exposure to vapours could be considered as negligible for this type of formulation since </w:t>
      </w:r>
      <w:r w:rsidRPr="00452E09">
        <w:t>iodine is captured within a polymeric matrix (PVP) and/or micelles</w:t>
      </w:r>
      <w:r w:rsidRPr="00452E09">
        <w:rPr>
          <w:rFonts w:eastAsia="Calibri"/>
          <w:lang w:eastAsia="en-US"/>
        </w:rPr>
        <w:t xml:space="preserve">. Therefore, inhalation exposure to vapours does not need to be assessed. </w:t>
      </w:r>
    </w:p>
    <w:p w14:paraId="324E5DF5" w14:textId="77777777" w:rsidR="00452E09" w:rsidRPr="00452E09" w:rsidRDefault="00452E09" w:rsidP="00AB1CDB">
      <w:pPr>
        <w:spacing w:line="260" w:lineRule="atLeast"/>
        <w:jc w:val="both"/>
        <w:rPr>
          <w:rFonts w:ascii="Times New Roman" w:eastAsia="Calibri" w:hAnsi="Times New Roman" w:cs="Times New Roman"/>
          <w:iCs/>
          <w:lang w:eastAsia="en-US"/>
        </w:rPr>
      </w:pPr>
    </w:p>
    <w:p w14:paraId="03775CD8" w14:textId="77777777" w:rsidR="00452E09" w:rsidRPr="00452E09" w:rsidRDefault="00452E09" w:rsidP="00452E09">
      <w:pPr>
        <w:spacing w:line="260" w:lineRule="atLeast"/>
        <w:rPr>
          <w:rFonts w:eastAsia="Calibri"/>
          <w:lang w:eastAsia="en-US"/>
        </w:rPr>
      </w:pPr>
      <w:r w:rsidRPr="00452E09">
        <w:rPr>
          <w:rFonts w:eastAsia="Calibri"/>
          <w:lang w:eastAsia="en-US"/>
        </w:rPr>
        <w:t>nr: not relevant</w:t>
      </w:r>
    </w:p>
    <w:p w14:paraId="27071B19" w14:textId="77777777" w:rsidR="00452E09" w:rsidRPr="00452E09" w:rsidRDefault="00452E09" w:rsidP="00452E09">
      <w:pPr>
        <w:pageBreakBefore/>
        <w:rPr>
          <w:rFonts w:ascii="Times New Roman" w:eastAsia="Calibri" w:hAnsi="Times New Roman" w:cs="Times New Roman"/>
          <w:i/>
          <w:szCs w:val="22"/>
          <w:lang w:eastAsia="en-US"/>
        </w:rPr>
      </w:pPr>
      <w:r w:rsidRPr="00452E09">
        <w:rPr>
          <w:rFonts w:eastAsia="Calibri"/>
          <w:b/>
          <w:i/>
          <w:sz w:val="22"/>
          <w:szCs w:val="22"/>
          <w:lang w:eastAsia="en-US"/>
        </w:rPr>
        <w:lastRenderedPageBreak/>
        <w:t>List of scenarios</w:t>
      </w:r>
    </w:p>
    <w:p w14:paraId="56A744EE" w14:textId="77777777" w:rsidR="00452E09" w:rsidRPr="00452E09" w:rsidRDefault="00452E09" w:rsidP="00452E09">
      <w:pPr>
        <w:tabs>
          <w:tab w:val="center" w:pos="3123"/>
        </w:tabs>
        <w:spacing w:after="12" w:line="250" w:lineRule="auto"/>
        <w:ind w:left="-15"/>
        <w:rPr>
          <w:rFonts w:eastAsia="Verdana"/>
          <w:b/>
        </w:rPr>
      </w:pPr>
    </w:p>
    <w:p w14:paraId="6A0C36CD" w14:textId="77777777" w:rsidR="00452E09" w:rsidRPr="00452E09" w:rsidRDefault="00452E09" w:rsidP="00452E09">
      <w:pPr>
        <w:tabs>
          <w:tab w:val="center" w:pos="3123"/>
        </w:tabs>
        <w:spacing w:after="12" w:line="250" w:lineRule="auto"/>
        <w:ind w:left="-15"/>
      </w:pPr>
      <w:r w:rsidRPr="00452E09">
        <w:rPr>
          <w:rFonts w:eastAsia="Verdana"/>
          <w:b/>
        </w:rPr>
        <w:t xml:space="preserve">Table Summary table: exposure scenarios </w:t>
      </w:r>
    </w:p>
    <w:tbl>
      <w:tblPr>
        <w:tblStyle w:val="TableGrid0"/>
        <w:tblW w:w="10206" w:type="dxa"/>
        <w:tblInd w:w="-8" w:type="dxa"/>
        <w:tblCellMar>
          <w:top w:w="48" w:type="dxa"/>
          <w:left w:w="68" w:type="dxa"/>
          <w:right w:w="82" w:type="dxa"/>
        </w:tblCellMar>
        <w:tblLook w:val="04A0" w:firstRow="1" w:lastRow="0" w:firstColumn="1" w:lastColumn="0" w:noHBand="0" w:noVBand="1"/>
      </w:tblPr>
      <w:tblGrid>
        <w:gridCol w:w="1954"/>
        <w:gridCol w:w="5984"/>
        <w:gridCol w:w="2268"/>
      </w:tblGrid>
      <w:tr w:rsidR="00452E09" w:rsidRPr="00452E09" w14:paraId="03F05486" w14:textId="77777777" w:rsidTr="00F72462">
        <w:trPr>
          <w:trHeight w:val="253"/>
        </w:trPr>
        <w:tc>
          <w:tcPr>
            <w:tcW w:w="10206" w:type="dxa"/>
            <w:gridSpan w:val="3"/>
            <w:tcBorders>
              <w:top w:val="single" w:sz="6" w:space="0" w:color="000000"/>
              <w:left w:val="single" w:sz="6" w:space="0" w:color="000000"/>
              <w:bottom w:val="single" w:sz="6" w:space="0" w:color="000000"/>
              <w:right w:val="single" w:sz="6" w:space="0" w:color="000000"/>
            </w:tcBorders>
            <w:shd w:val="clear" w:color="auto" w:fill="FFFFCC"/>
          </w:tcPr>
          <w:p w14:paraId="719F363A" w14:textId="77777777" w:rsidR="00452E09" w:rsidRPr="00452E09" w:rsidRDefault="00452E09" w:rsidP="00452E09">
            <w:pPr>
              <w:ind w:left="20"/>
              <w:jc w:val="center"/>
            </w:pPr>
            <w:r w:rsidRPr="00452E09">
              <w:rPr>
                <w:b/>
                <w:sz w:val="18"/>
              </w:rPr>
              <w:t xml:space="preserve">Summary table: exposure scenarios </w:t>
            </w:r>
          </w:p>
        </w:tc>
      </w:tr>
      <w:tr w:rsidR="00452E09" w:rsidRPr="00452E09" w14:paraId="7737FAA1" w14:textId="77777777" w:rsidTr="00F72462">
        <w:trPr>
          <w:trHeight w:val="1837"/>
        </w:trPr>
        <w:tc>
          <w:tcPr>
            <w:tcW w:w="1954"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35E73920" w14:textId="77777777" w:rsidR="00452E09" w:rsidRPr="00452E09" w:rsidRDefault="00452E09" w:rsidP="00452E09">
            <w:r w:rsidRPr="00452E09">
              <w:rPr>
                <w:b/>
                <w:sz w:val="18"/>
              </w:rPr>
              <w:t xml:space="preserve">Scenario and task number </w:t>
            </w:r>
          </w:p>
        </w:tc>
        <w:tc>
          <w:tcPr>
            <w:tcW w:w="5984"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02874D0E" w14:textId="77777777" w:rsidR="00452E09" w:rsidRPr="00452E09" w:rsidRDefault="00452E09" w:rsidP="00452E09">
            <w:pPr>
              <w:ind w:left="2"/>
              <w:rPr>
                <w:lang w:val="en-US"/>
              </w:rPr>
            </w:pPr>
            <w:r w:rsidRPr="00452E09">
              <w:rPr>
                <w:b/>
                <w:sz w:val="18"/>
                <w:lang w:val="en-US"/>
              </w:rPr>
              <w:t xml:space="preserve">Description of scenario and tasks </w:t>
            </w:r>
          </w:p>
        </w:tc>
        <w:tc>
          <w:tcPr>
            <w:tcW w:w="2268" w:type="dxa"/>
            <w:tcBorders>
              <w:top w:val="single" w:sz="6" w:space="0" w:color="000000"/>
              <w:left w:val="single" w:sz="6" w:space="0" w:color="000000"/>
              <w:bottom w:val="single" w:sz="6" w:space="0" w:color="000000"/>
              <w:right w:val="single" w:sz="6" w:space="0" w:color="000000"/>
            </w:tcBorders>
            <w:shd w:val="clear" w:color="auto" w:fill="FFFFCC"/>
          </w:tcPr>
          <w:p w14:paraId="1BA3D00E" w14:textId="77777777" w:rsidR="00452E09" w:rsidRPr="00452E09" w:rsidRDefault="00452E09" w:rsidP="00452E09">
            <w:pPr>
              <w:ind w:left="2"/>
            </w:pPr>
            <w:r w:rsidRPr="00452E09">
              <w:rPr>
                <w:b/>
                <w:sz w:val="18"/>
              </w:rPr>
              <w:t xml:space="preserve">Exposed group </w:t>
            </w:r>
          </w:p>
          <w:p w14:paraId="767164E1" w14:textId="77777777" w:rsidR="00452E09" w:rsidRPr="00452E09" w:rsidRDefault="00452E09" w:rsidP="00452E09">
            <w:pPr>
              <w:ind w:left="2"/>
            </w:pPr>
            <w:r w:rsidRPr="00452E09">
              <w:rPr>
                <w:sz w:val="18"/>
              </w:rPr>
              <w:t xml:space="preserve">(e.g. professionals, non-professionals, professional bystanders, nonprofessional bystanders/general public) </w:t>
            </w:r>
          </w:p>
        </w:tc>
      </w:tr>
      <w:tr w:rsidR="00452E09" w:rsidRPr="00452E09" w14:paraId="6DEC4D6D" w14:textId="77777777" w:rsidTr="00F72462">
        <w:trPr>
          <w:trHeight w:val="370"/>
        </w:trPr>
        <w:tc>
          <w:tcPr>
            <w:tcW w:w="10206" w:type="dxa"/>
            <w:gridSpan w:val="3"/>
            <w:tcBorders>
              <w:top w:val="single" w:sz="6" w:space="0" w:color="000000"/>
              <w:left w:val="single" w:sz="6" w:space="0" w:color="000000"/>
              <w:bottom w:val="single" w:sz="6" w:space="0" w:color="000000"/>
              <w:right w:val="single" w:sz="6" w:space="0" w:color="000000"/>
            </w:tcBorders>
            <w:shd w:val="clear" w:color="auto" w:fill="D9D9D9"/>
          </w:tcPr>
          <w:p w14:paraId="3996EC19" w14:textId="77777777" w:rsidR="00452E09" w:rsidRPr="00452E09" w:rsidRDefault="00452E09" w:rsidP="00452E09">
            <w:r w:rsidRPr="00452E09">
              <w:rPr>
                <w:b/>
                <w:sz w:val="18"/>
              </w:rPr>
              <w:t xml:space="preserve">Primary exposure </w:t>
            </w:r>
          </w:p>
        </w:tc>
      </w:tr>
      <w:tr w:rsidR="00452E09" w:rsidRPr="00452E09" w14:paraId="62DDAFAC" w14:textId="77777777" w:rsidTr="00F72462">
        <w:trPr>
          <w:trHeight w:val="325"/>
        </w:trPr>
        <w:tc>
          <w:tcPr>
            <w:tcW w:w="1954" w:type="dxa"/>
            <w:tcBorders>
              <w:top w:val="single" w:sz="6" w:space="0" w:color="000000"/>
              <w:left w:val="single" w:sz="6" w:space="0" w:color="000000"/>
              <w:bottom w:val="single" w:sz="6" w:space="0" w:color="000000"/>
              <w:right w:val="single" w:sz="6" w:space="0" w:color="000000"/>
            </w:tcBorders>
            <w:shd w:val="clear" w:color="auto" w:fill="D9D9D9"/>
          </w:tcPr>
          <w:p w14:paraId="1D634057" w14:textId="77777777" w:rsidR="00452E09" w:rsidRPr="00452E09" w:rsidRDefault="00452E09" w:rsidP="00452E09">
            <w:r w:rsidRPr="00452E09">
              <w:rPr>
                <w:b/>
                <w:sz w:val="18"/>
              </w:rPr>
              <w:t xml:space="preserve">[Scenario 1] </w:t>
            </w:r>
          </w:p>
        </w:tc>
        <w:tc>
          <w:tcPr>
            <w:tcW w:w="8252" w:type="dxa"/>
            <w:gridSpan w:val="2"/>
            <w:tcBorders>
              <w:top w:val="single" w:sz="6" w:space="0" w:color="000000"/>
              <w:left w:val="single" w:sz="6" w:space="0" w:color="000000"/>
              <w:bottom w:val="single" w:sz="6" w:space="0" w:color="000000"/>
              <w:right w:val="single" w:sz="6" w:space="0" w:color="000000"/>
            </w:tcBorders>
            <w:shd w:val="clear" w:color="auto" w:fill="D9D9D9"/>
          </w:tcPr>
          <w:p w14:paraId="03A81942" w14:textId="77777777" w:rsidR="00452E09" w:rsidRPr="00452E09" w:rsidRDefault="00452E09" w:rsidP="00452E09">
            <w:pPr>
              <w:ind w:left="2"/>
              <w:rPr>
                <w:lang w:val="en-US"/>
              </w:rPr>
            </w:pPr>
            <w:r w:rsidRPr="00452E09">
              <w:rPr>
                <w:b/>
                <w:i/>
                <w:sz w:val="18"/>
                <w:lang w:val="en-US"/>
              </w:rPr>
              <w:t>Application on teats by manual dipping</w:t>
            </w:r>
          </w:p>
        </w:tc>
      </w:tr>
      <w:tr w:rsidR="00452E09" w:rsidRPr="00452E09" w14:paraId="4D34F244" w14:textId="77777777" w:rsidTr="00F72462">
        <w:trPr>
          <w:trHeight w:val="371"/>
        </w:trPr>
        <w:tc>
          <w:tcPr>
            <w:tcW w:w="1954" w:type="dxa"/>
            <w:tcBorders>
              <w:top w:val="single" w:sz="6" w:space="0" w:color="000000"/>
              <w:left w:val="single" w:sz="6" w:space="0" w:color="000000"/>
              <w:bottom w:val="single" w:sz="6" w:space="0" w:color="000000"/>
              <w:right w:val="single" w:sz="6" w:space="0" w:color="000000"/>
            </w:tcBorders>
          </w:tcPr>
          <w:p w14:paraId="6DA94A40" w14:textId="77777777" w:rsidR="00452E09" w:rsidRPr="00452E09" w:rsidRDefault="00452E09" w:rsidP="00452E09">
            <w:r w:rsidRPr="00452E09">
              <w:rPr>
                <w:sz w:val="18"/>
              </w:rPr>
              <w:t>Task 1</w:t>
            </w:r>
          </w:p>
        </w:tc>
        <w:tc>
          <w:tcPr>
            <w:tcW w:w="5984" w:type="dxa"/>
            <w:tcBorders>
              <w:top w:val="single" w:sz="6" w:space="0" w:color="000000"/>
              <w:left w:val="single" w:sz="6" w:space="0" w:color="000000"/>
              <w:bottom w:val="single" w:sz="6" w:space="0" w:color="000000"/>
              <w:right w:val="single" w:sz="6" w:space="0" w:color="000000"/>
            </w:tcBorders>
          </w:tcPr>
          <w:p w14:paraId="12926141" w14:textId="77777777" w:rsidR="00452E09" w:rsidRPr="00452E09" w:rsidRDefault="00452E09" w:rsidP="00452E09">
            <w:pPr>
              <w:rPr>
                <w:lang w:val="en-US"/>
              </w:rPr>
            </w:pPr>
            <w:r w:rsidRPr="00452E09">
              <w:rPr>
                <w:i/>
                <w:sz w:val="18"/>
                <w:lang w:val="en-US"/>
              </w:rPr>
              <w:t>Mixing and loading of RTU</w:t>
            </w:r>
          </w:p>
        </w:tc>
        <w:tc>
          <w:tcPr>
            <w:tcW w:w="2268" w:type="dxa"/>
            <w:tcBorders>
              <w:top w:val="single" w:sz="6" w:space="0" w:color="000000"/>
              <w:left w:val="single" w:sz="6" w:space="0" w:color="000000"/>
              <w:bottom w:val="single" w:sz="6" w:space="0" w:color="000000"/>
              <w:right w:val="single" w:sz="6" w:space="0" w:color="000000"/>
            </w:tcBorders>
          </w:tcPr>
          <w:p w14:paraId="14A9B296" w14:textId="161C32D2" w:rsidR="00452E09" w:rsidRPr="00452E09" w:rsidRDefault="001E5F9A" w:rsidP="00452E09">
            <w:pPr>
              <w:ind w:left="2"/>
              <w:rPr>
                <w:lang w:val="en-US"/>
              </w:rPr>
            </w:pPr>
            <w:r w:rsidRPr="00452E09">
              <w:rPr>
                <w:sz w:val="18"/>
              </w:rPr>
              <w:t>professionals</w:t>
            </w:r>
          </w:p>
        </w:tc>
      </w:tr>
      <w:tr w:rsidR="00452E09" w:rsidRPr="00452E09" w14:paraId="3CE4C9B0" w14:textId="77777777" w:rsidTr="00F72462">
        <w:trPr>
          <w:trHeight w:val="371"/>
        </w:trPr>
        <w:tc>
          <w:tcPr>
            <w:tcW w:w="1954" w:type="dxa"/>
            <w:tcBorders>
              <w:top w:val="single" w:sz="6" w:space="0" w:color="000000"/>
              <w:left w:val="single" w:sz="6" w:space="0" w:color="000000"/>
              <w:bottom w:val="single" w:sz="6" w:space="0" w:color="000000"/>
              <w:right w:val="single" w:sz="6" w:space="0" w:color="000000"/>
            </w:tcBorders>
          </w:tcPr>
          <w:p w14:paraId="033F0960" w14:textId="77777777" w:rsidR="00452E09" w:rsidRPr="00452E09" w:rsidRDefault="00452E09" w:rsidP="00452E09">
            <w:r w:rsidRPr="00452E09">
              <w:rPr>
                <w:sz w:val="18"/>
              </w:rPr>
              <w:t>Task 2</w:t>
            </w:r>
          </w:p>
        </w:tc>
        <w:tc>
          <w:tcPr>
            <w:tcW w:w="5984" w:type="dxa"/>
            <w:tcBorders>
              <w:top w:val="single" w:sz="6" w:space="0" w:color="000000"/>
              <w:left w:val="single" w:sz="6" w:space="0" w:color="000000"/>
              <w:bottom w:val="single" w:sz="6" w:space="0" w:color="000000"/>
              <w:right w:val="single" w:sz="6" w:space="0" w:color="000000"/>
            </w:tcBorders>
          </w:tcPr>
          <w:p w14:paraId="24576638" w14:textId="77777777" w:rsidR="00452E09" w:rsidRPr="00452E09" w:rsidRDefault="00452E09" w:rsidP="00452E09">
            <w:pPr>
              <w:ind w:left="2"/>
              <w:rPr>
                <w:lang w:val="en-US"/>
              </w:rPr>
            </w:pPr>
            <w:r w:rsidRPr="00452E09">
              <w:rPr>
                <w:i/>
                <w:sz w:val="18"/>
                <w:lang w:val="en-US"/>
              </w:rPr>
              <w:t>Application by dipping</w:t>
            </w:r>
          </w:p>
        </w:tc>
        <w:tc>
          <w:tcPr>
            <w:tcW w:w="2268" w:type="dxa"/>
            <w:tcBorders>
              <w:top w:val="single" w:sz="6" w:space="0" w:color="000000"/>
              <w:left w:val="single" w:sz="6" w:space="0" w:color="000000"/>
              <w:bottom w:val="single" w:sz="6" w:space="0" w:color="000000"/>
              <w:right w:val="single" w:sz="6" w:space="0" w:color="000000"/>
            </w:tcBorders>
          </w:tcPr>
          <w:p w14:paraId="47F92A9E" w14:textId="50D8AE17" w:rsidR="00452E09" w:rsidRPr="00452E09" w:rsidRDefault="001E5F9A" w:rsidP="00452E09">
            <w:pPr>
              <w:ind w:left="2"/>
              <w:rPr>
                <w:lang w:val="en-US"/>
              </w:rPr>
            </w:pPr>
            <w:r w:rsidRPr="00452E09">
              <w:rPr>
                <w:sz w:val="18"/>
              </w:rPr>
              <w:t>professionals</w:t>
            </w:r>
          </w:p>
        </w:tc>
      </w:tr>
      <w:tr w:rsidR="00452E09" w:rsidRPr="00452E09" w14:paraId="09F930DE" w14:textId="77777777" w:rsidTr="00F72462">
        <w:trPr>
          <w:trHeight w:val="371"/>
        </w:trPr>
        <w:tc>
          <w:tcPr>
            <w:tcW w:w="1954" w:type="dxa"/>
            <w:tcBorders>
              <w:top w:val="single" w:sz="6" w:space="0" w:color="000000"/>
              <w:left w:val="single" w:sz="6" w:space="0" w:color="000000"/>
              <w:bottom w:val="single" w:sz="6" w:space="0" w:color="000000"/>
              <w:right w:val="single" w:sz="6" w:space="0" w:color="000000"/>
            </w:tcBorders>
          </w:tcPr>
          <w:p w14:paraId="301A3A0F" w14:textId="77777777" w:rsidR="00452E09" w:rsidRPr="00452E09" w:rsidRDefault="00452E09" w:rsidP="00452E09">
            <w:pPr>
              <w:rPr>
                <w:sz w:val="18"/>
              </w:rPr>
            </w:pPr>
            <w:r w:rsidRPr="00452E09">
              <w:rPr>
                <w:sz w:val="18"/>
              </w:rPr>
              <w:t>Task 3</w:t>
            </w:r>
          </w:p>
        </w:tc>
        <w:tc>
          <w:tcPr>
            <w:tcW w:w="5984" w:type="dxa"/>
            <w:tcBorders>
              <w:top w:val="single" w:sz="6" w:space="0" w:color="000000"/>
              <w:left w:val="single" w:sz="6" w:space="0" w:color="000000"/>
              <w:bottom w:val="single" w:sz="6" w:space="0" w:color="000000"/>
              <w:right w:val="single" w:sz="6" w:space="0" w:color="000000"/>
            </w:tcBorders>
          </w:tcPr>
          <w:p w14:paraId="7932121C" w14:textId="77777777" w:rsidR="00452E09" w:rsidRPr="00452E09" w:rsidRDefault="00452E09" w:rsidP="00452E09">
            <w:pPr>
              <w:ind w:left="2"/>
              <w:rPr>
                <w:i/>
                <w:sz w:val="18"/>
                <w:lang w:val="en-US"/>
              </w:rPr>
            </w:pPr>
            <w:r w:rsidRPr="00452E09">
              <w:rPr>
                <w:i/>
                <w:sz w:val="18"/>
                <w:lang w:val="en-US"/>
              </w:rPr>
              <w:t>Wipping of potential remaining product before the next milking</w:t>
            </w:r>
          </w:p>
        </w:tc>
        <w:tc>
          <w:tcPr>
            <w:tcW w:w="2268" w:type="dxa"/>
            <w:tcBorders>
              <w:top w:val="single" w:sz="6" w:space="0" w:color="000000"/>
              <w:left w:val="single" w:sz="6" w:space="0" w:color="000000"/>
              <w:bottom w:val="single" w:sz="6" w:space="0" w:color="000000"/>
              <w:right w:val="single" w:sz="6" w:space="0" w:color="000000"/>
            </w:tcBorders>
          </w:tcPr>
          <w:p w14:paraId="10EDB303" w14:textId="7FBF6D59" w:rsidR="00452E09" w:rsidRPr="00452E09" w:rsidRDefault="001E5F9A" w:rsidP="00452E09">
            <w:pPr>
              <w:ind w:left="2"/>
              <w:rPr>
                <w:sz w:val="18"/>
                <w:lang w:val="en-US"/>
              </w:rPr>
            </w:pPr>
            <w:r w:rsidRPr="00452E09">
              <w:rPr>
                <w:sz w:val="18"/>
              </w:rPr>
              <w:t>professionals</w:t>
            </w:r>
          </w:p>
        </w:tc>
      </w:tr>
      <w:tr w:rsidR="00452E09" w:rsidRPr="00452E09" w14:paraId="1F45305B" w14:textId="77777777" w:rsidTr="00F72462">
        <w:trPr>
          <w:trHeight w:val="301"/>
        </w:trPr>
        <w:tc>
          <w:tcPr>
            <w:tcW w:w="1954" w:type="dxa"/>
            <w:tcBorders>
              <w:top w:val="single" w:sz="6" w:space="0" w:color="000000"/>
              <w:left w:val="single" w:sz="6" w:space="0" w:color="000000"/>
              <w:bottom w:val="single" w:sz="6" w:space="0" w:color="000000"/>
              <w:right w:val="single" w:sz="6" w:space="0" w:color="000000"/>
            </w:tcBorders>
            <w:shd w:val="clear" w:color="auto" w:fill="D9D9D9"/>
          </w:tcPr>
          <w:p w14:paraId="37D45FA8" w14:textId="77777777" w:rsidR="00452E09" w:rsidRPr="00452E09" w:rsidRDefault="00452E09" w:rsidP="00452E09">
            <w:r w:rsidRPr="00452E09">
              <w:rPr>
                <w:b/>
                <w:sz w:val="18"/>
              </w:rPr>
              <w:t xml:space="preserve">[Scenario 2] </w:t>
            </w:r>
          </w:p>
        </w:tc>
        <w:tc>
          <w:tcPr>
            <w:tcW w:w="8252"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6693E9" w14:textId="77777777" w:rsidR="00452E09" w:rsidRPr="00452E09" w:rsidRDefault="00452E09" w:rsidP="00452E09">
            <w:pPr>
              <w:ind w:left="2"/>
              <w:rPr>
                <w:lang w:val="en-US"/>
              </w:rPr>
            </w:pPr>
            <w:r w:rsidRPr="00452E09">
              <w:rPr>
                <w:b/>
                <w:i/>
                <w:sz w:val="18"/>
                <w:lang w:val="en-US"/>
              </w:rPr>
              <w:t>Application on teats by automatic dipping</w:t>
            </w:r>
          </w:p>
        </w:tc>
      </w:tr>
      <w:tr w:rsidR="00452E09" w:rsidRPr="00452E09" w14:paraId="7A145233" w14:textId="77777777" w:rsidTr="00F72462">
        <w:trPr>
          <w:trHeight w:val="301"/>
        </w:trPr>
        <w:tc>
          <w:tcPr>
            <w:tcW w:w="1954" w:type="dxa"/>
            <w:tcBorders>
              <w:top w:val="single" w:sz="6" w:space="0" w:color="000000"/>
              <w:left w:val="single" w:sz="6" w:space="0" w:color="000000"/>
              <w:bottom w:val="single" w:sz="6" w:space="0" w:color="000000"/>
              <w:right w:val="single" w:sz="6" w:space="0" w:color="000000"/>
            </w:tcBorders>
            <w:shd w:val="clear" w:color="auto" w:fill="D9D9D9"/>
          </w:tcPr>
          <w:p w14:paraId="3C5CDD50" w14:textId="77777777" w:rsidR="00452E09" w:rsidRPr="00452E09" w:rsidRDefault="00452E09" w:rsidP="00452E09">
            <w:pPr>
              <w:rPr>
                <w:b/>
                <w:sz w:val="18"/>
              </w:rPr>
            </w:pPr>
            <w:r w:rsidRPr="00452E09">
              <w:rPr>
                <w:b/>
                <w:sz w:val="18"/>
              </w:rPr>
              <w:t xml:space="preserve">[Scenario 3] </w:t>
            </w:r>
          </w:p>
        </w:tc>
        <w:tc>
          <w:tcPr>
            <w:tcW w:w="8252" w:type="dxa"/>
            <w:gridSpan w:val="2"/>
            <w:tcBorders>
              <w:top w:val="single" w:sz="6" w:space="0" w:color="000000"/>
              <w:left w:val="single" w:sz="6" w:space="0" w:color="000000"/>
              <w:bottom w:val="single" w:sz="6" w:space="0" w:color="000000"/>
              <w:right w:val="single" w:sz="6" w:space="0" w:color="000000"/>
            </w:tcBorders>
            <w:shd w:val="clear" w:color="auto" w:fill="D9D9D9"/>
          </w:tcPr>
          <w:p w14:paraId="51A32020" w14:textId="77777777" w:rsidR="00452E09" w:rsidRPr="00452E09" w:rsidRDefault="00452E09" w:rsidP="00452E09">
            <w:pPr>
              <w:ind w:left="2"/>
              <w:rPr>
                <w:b/>
                <w:i/>
                <w:sz w:val="18"/>
                <w:lang w:val="en-US"/>
              </w:rPr>
            </w:pPr>
            <w:r w:rsidRPr="00452E09">
              <w:rPr>
                <w:b/>
                <w:i/>
                <w:sz w:val="18"/>
                <w:lang w:val="en-US"/>
              </w:rPr>
              <w:t>Cleaning of equipment</w:t>
            </w:r>
          </w:p>
        </w:tc>
      </w:tr>
      <w:tr w:rsidR="00452E09" w:rsidRPr="00452E09" w14:paraId="6C05CA73" w14:textId="77777777" w:rsidTr="00F72462">
        <w:trPr>
          <w:trHeight w:val="371"/>
        </w:trPr>
        <w:tc>
          <w:tcPr>
            <w:tcW w:w="1954" w:type="dxa"/>
            <w:tcBorders>
              <w:top w:val="single" w:sz="6" w:space="0" w:color="000000"/>
              <w:left w:val="single" w:sz="6" w:space="0" w:color="000000"/>
              <w:bottom w:val="single" w:sz="6" w:space="0" w:color="000000"/>
              <w:right w:val="single" w:sz="6" w:space="0" w:color="000000"/>
            </w:tcBorders>
          </w:tcPr>
          <w:p w14:paraId="78A261EA" w14:textId="77777777" w:rsidR="00452E09" w:rsidRPr="00452E09" w:rsidRDefault="00452E09" w:rsidP="00452E09">
            <w:r w:rsidRPr="00452E09">
              <w:rPr>
                <w:sz w:val="18"/>
              </w:rPr>
              <w:t>Task 1</w:t>
            </w:r>
          </w:p>
        </w:tc>
        <w:tc>
          <w:tcPr>
            <w:tcW w:w="5984" w:type="dxa"/>
            <w:tcBorders>
              <w:top w:val="single" w:sz="6" w:space="0" w:color="000000"/>
              <w:left w:val="single" w:sz="6" w:space="0" w:color="000000"/>
              <w:bottom w:val="single" w:sz="6" w:space="0" w:color="000000"/>
              <w:right w:val="single" w:sz="6" w:space="0" w:color="000000"/>
            </w:tcBorders>
          </w:tcPr>
          <w:p w14:paraId="089343B9" w14:textId="77777777" w:rsidR="00452E09" w:rsidRPr="00452E09" w:rsidRDefault="00452E09" w:rsidP="00452E09">
            <w:pPr>
              <w:ind w:left="2"/>
              <w:rPr>
                <w:lang w:val="en-US"/>
              </w:rPr>
            </w:pPr>
            <w:r w:rsidRPr="00452E09">
              <w:rPr>
                <w:i/>
                <w:sz w:val="18"/>
                <w:lang w:val="en-US"/>
              </w:rPr>
              <w:t xml:space="preserve">Cleaning of equipment </w:t>
            </w:r>
          </w:p>
        </w:tc>
        <w:tc>
          <w:tcPr>
            <w:tcW w:w="2268" w:type="dxa"/>
            <w:tcBorders>
              <w:top w:val="single" w:sz="6" w:space="0" w:color="000000"/>
              <w:left w:val="single" w:sz="6" w:space="0" w:color="000000"/>
              <w:bottom w:val="single" w:sz="6" w:space="0" w:color="000000"/>
              <w:right w:val="single" w:sz="6" w:space="0" w:color="000000"/>
            </w:tcBorders>
          </w:tcPr>
          <w:p w14:paraId="1499D179" w14:textId="2F193F26" w:rsidR="00452E09" w:rsidRPr="00452E09" w:rsidRDefault="00452E09" w:rsidP="00452E09">
            <w:pPr>
              <w:ind w:left="2"/>
              <w:rPr>
                <w:lang w:val="en-US"/>
              </w:rPr>
            </w:pPr>
            <w:r w:rsidRPr="00452E09">
              <w:rPr>
                <w:sz w:val="18"/>
                <w:lang w:val="en-US"/>
              </w:rPr>
              <w:t xml:space="preserve"> </w:t>
            </w:r>
            <w:r w:rsidR="001E5F9A" w:rsidRPr="00452E09">
              <w:rPr>
                <w:sz w:val="18"/>
              </w:rPr>
              <w:t>professionals</w:t>
            </w:r>
          </w:p>
        </w:tc>
      </w:tr>
      <w:tr w:rsidR="00452E09" w:rsidRPr="00452E09" w14:paraId="3A256B67" w14:textId="77777777" w:rsidTr="00F72462">
        <w:trPr>
          <w:trHeight w:val="371"/>
        </w:trPr>
        <w:tc>
          <w:tcPr>
            <w:tcW w:w="10206" w:type="dxa"/>
            <w:gridSpan w:val="3"/>
            <w:tcBorders>
              <w:top w:val="single" w:sz="6" w:space="0" w:color="000000"/>
              <w:left w:val="single" w:sz="6" w:space="0" w:color="000000"/>
              <w:bottom w:val="single" w:sz="6" w:space="0" w:color="000000"/>
              <w:right w:val="single" w:sz="6" w:space="0" w:color="000000"/>
            </w:tcBorders>
            <w:shd w:val="clear" w:color="auto" w:fill="D9D9D9"/>
          </w:tcPr>
          <w:p w14:paraId="35348029" w14:textId="77777777" w:rsidR="00452E09" w:rsidRPr="00452E09" w:rsidRDefault="00452E09" w:rsidP="00452E09">
            <w:pPr>
              <w:ind w:left="2"/>
              <w:rPr>
                <w:sz w:val="18"/>
                <w:lang w:val="en-US"/>
              </w:rPr>
            </w:pPr>
            <w:r w:rsidRPr="00452E09">
              <w:rPr>
                <w:b/>
                <w:sz w:val="18"/>
              </w:rPr>
              <w:t xml:space="preserve">Combined primary exposure </w:t>
            </w:r>
          </w:p>
        </w:tc>
      </w:tr>
      <w:tr w:rsidR="00452E09" w:rsidRPr="00452E09" w14:paraId="35F6C0F6" w14:textId="77777777" w:rsidTr="00E84F90">
        <w:trPr>
          <w:trHeight w:val="438"/>
        </w:trPr>
        <w:tc>
          <w:tcPr>
            <w:tcW w:w="1954" w:type="dxa"/>
            <w:tcBorders>
              <w:top w:val="single" w:sz="6" w:space="0" w:color="000000"/>
              <w:left w:val="single" w:sz="6" w:space="0" w:color="000000"/>
              <w:bottom w:val="single" w:sz="6" w:space="0" w:color="000000"/>
              <w:right w:val="single" w:sz="6" w:space="0" w:color="000000"/>
            </w:tcBorders>
            <w:shd w:val="clear" w:color="auto" w:fill="D9D9D9"/>
          </w:tcPr>
          <w:p w14:paraId="48962556" w14:textId="77777777" w:rsidR="00452E09" w:rsidRPr="00452E09" w:rsidRDefault="00452E09" w:rsidP="00452E09">
            <w:pPr>
              <w:rPr>
                <w:sz w:val="18"/>
              </w:rPr>
            </w:pPr>
            <w:r w:rsidRPr="00452E09">
              <w:rPr>
                <w:b/>
                <w:sz w:val="18"/>
              </w:rPr>
              <w:t xml:space="preserve">[1+3] </w:t>
            </w:r>
          </w:p>
        </w:tc>
        <w:tc>
          <w:tcPr>
            <w:tcW w:w="8252" w:type="dxa"/>
            <w:gridSpan w:val="2"/>
            <w:tcBorders>
              <w:top w:val="single" w:sz="6" w:space="0" w:color="000000"/>
              <w:left w:val="single" w:sz="6" w:space="0" w:color="000000"/>
              <w:bottom w:val="single" w:sz="6" w:space="0" w:color="000000"/>
              <w:right w:val="single" w:sz="6" w:space="0" w:color="000000"/>
            </w:tcBorders>
            <w:shd w:val="clear" w:color="auto" w:fill="D9D9D9"/>
          </w:tcPr>
          <w:p w14:paraId="432322B1" w14:textId="77777777" w:rsidR="00452E09" w:rsidRPr="00452E09" w:rsidRDefault="00452E09" w:rsidP="00452E09">
            <w:pPr>
              <w:ind w:left="2"/>
              <w:rPr>
                <w:sz w:val="18"/>
                <w:lang w:val="en-US"/>
              </w:rPr>
            </w:pPr>
            <w:r w:rsidRPr="00452E09">
              <w:rPr>
                <w:b/>
                <w:i/>
                <w:sz w:val="18"/>
                <w:lang w:val="en-US"/>
              </w:rPr>
              <w:t>Application by manual dipping AND cleaning of equipment</w:t>
            </w:r>
            <w:r w:rsidRPr="00452E09">
              <w:rPr>
                <w:b/>
                <w:sz w:val="18"/>
                <w:lang w:val="en-US"/>
              </w:rPr>
              <w:t xml:space="preserve"> </w:t>
            </w:r>
          </w:p>
        </w:tc>
      </w:tr>
      <w:tr w:rsidR="00452E09" w:rsidRPr="00452E09" w14:paraId="6D3780C1" w14:textId="77777777" w:rsidTr="00F72462">
        <w:trPr>
          <w:trHeight w:val="371"/>
        </w:trPr>
        <w:tc>
          <w:tcPr>
            <w:tcW w:w="1954" w:type="dxa"/>
            <w:tcBorders>
              <w:top w:val="single" w:sz="6" w:space="0" w:color="000000"/>
              <w:left w:val="single" w:sz="6" w:space="0" w:color="000000"/>
              <w:bottom w:val="single" w:sz="6" w:space="0" w:color="000000"/>
              <w:right w:val="single" w:sz="6" w:space="0" w:color="000000"/>
            </w:tcBorders>
            <w:shd w:val="clear" w:color="auto" w:fill="D9D9D9"/>
          </w:tcPr>
          <w:p w14:paraId="56555CFB" w14:textId="77777777" w:rsidR="00452E09" w:rsidRPr="00452E09" w:rsidRDefault="00452E09" w:rsidP="00452E09">
            <w:pPr>
              <w:rPr>
                <w:sz w:val="18"/>
              </w:rPr>
            </w:pPr>
            <w:r w:rsidRPr="00452E09">
              <w:rPr>
                <w:b/>
                <w:sz w:val="18"/>
              </w:rPr>
              <w:t xml:space="preserve">[2+3] </w:t>
            </w:r>
          </w:p>
        </w:tc>
        <w:tc>
          <w:tcPr>
            <w:tcW w:w="8252" w:type="dxa"/>
            <w:gridSpan w:val="2"/>
            <w:tcBorders>
              <w:top w:val="single" w:sz="6" w:space="0" w:color="000000"/>
              <w:left w:val="single" w:sz="6" w:space="0" w:color="000000"/>
              <w:bottom w:val="single" w:sz="6" w:space="0" w:color="000000"/>
              <w:right w:val="single" w:sz="6" w:space="0" w:color="000000"/>
            </w:tcBorders>
            <w:shd w:val="clear" w:color="auto" w:fill="D9D9D9"/>
          </w:tcPr>
          <w:p w14:paraId="23DCEB31" w14:textId="77777777" w:rsidR="00452E09" w:rsidRPr="00452E09" w:rsidRDefault="00452E09" w:rsidP="00452E09">
            <w:pPr>
              <w:ind w:left="2"/>
              <w:rPr>
                <w:sz w:val="18"/>
                <w:lang w:val="en-US"/>
              </w:rPr>
            </w:pPr>
            <w:r w:rsidRPr="00452E09">
              <w:rPr>
                <w:b/>
                <w:i/>
                <w:sz w:val="18"/>
                <w:lang w:val="en-US"/>
              </w:rPr>
              <w:t>Application by automatic dipping AND cleaning of equipment</w:t>
            </w:r>
          </w:p>
        </w:tc>
      </w:tr>
    </w:tbl>
    <w:p w14:paraId="055350AC" w14:textId="77777777" w:rsidR="00452E09" w:rsidRPr="00452E09" w:rsidRDefault="00452E09" w:rsidP="00452E09">
      <w:pPr>
        <w:rPr>
          <w:rFonts w:ascii="Times New Roman" w:eastAsia="Calibri" w:hAnsi="Times New Roman" w:cs="Times New Roman"/>
          <w:i/>
          <w:szCs w:val="22"/>
          <w:lang w:eastAsia="en-US"/>
        </w:rPr>
      </w:pPr>
    </w:p>
    <w:p w14:paraId="684A80F7" w14:textId="77777777" w:rsidR="00452E09" w:rsidRPr="00452E09" w:rsidRDefault="00452E09" w:rsidP="00452E09">
      <w:pPr>
        <w:rPr>
          <w:rFonts w:ascii="Times New Roman" w:eastAsia="Calibri" w:hAnsi="Times New Roman" w:cs="Times New Roman"/>
          <w:i/>
          <w:szCs w:val="22"/>
          <w:lang w:eastAsia="en-US"/>
        </w:rPr>
      </w:pPr>
    </w:p>
    <w:p w14:paraId="0D428390" w14:textId="77777777" w:rsidR="00452E09" w:rsidRPr="00452E09" w:rsidRDefault="00452E09" w:rsidP="00452E09">
      <w:pPr>
        <w:spacing w:after="229" w:line="250" w:lineRule="auto"/>
        <w:ind w:left="-5" w:hanging="10"/>
        <w:rPr>
          <w:u w:val="single"/>
          <w:lang w:val="en-US"/>
        </w:rPr>
      </w:pPr>
      <w:r w:rsidRPr="00452E09">
        <w:rPr>
          <w:rFonts w:eastAsia="Verdana"/>
          <w:b/>
          <w:u w:val="single"/>
          <w:lang w:val="en-US"/>
        </w:rPr>
        <w:t xml:space="preserve">Reference values to be used in risk characterisation </w:t>
      </w:r>
    </w:p>
    <w:p w14:paraId="4BBDDA24" w14:textId="7904DCBC" w:rsidR="00452E09" w:rsidRPr="00AB1CDB" w:rsidRDefault="00452E09" w:rsidP="00452E09">
      <w:pPr>
        <w:spacing w:line="260" w:lineRule="atLeast"/>
        <w:jc w:val="both"/>
        <w:rPr>
          <w:rFonts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21"/>
        <w:gridCol w:w="1512"/>
        <w:gridCol w:w="725"/>
        <w:gridCol w:w="1937"/>
        <w:gridCol w:w="1837"/>
      </w:tblGrid>
      <w:tr w:rsidR="00452E09" w:rsidRPr="001E5F9A" w14:paraId="2E59D2E9" w14:textId="77777777" w:rsidTr="00E84F90">
        <w:tc>
          <w:tcPr>
            <w:tcW w:w="1671" w:type="dxa"/>
            <w:shd w:val="clear" w:color="auto" w:fill="FFFFCC"/>
          </w:tcPr>
          <w:p w14:paraId="4D668513" w14:textId="77777777" w:rsidR="00452E09" w:rsidRPr="00AB1CDB" w:rsidRDefault="00452E09" w:rsidP="00452E09">
            <w:pPr>
              <w:suppressAutoHyphens w:val="0"/>
              <w:spacing w:line="260" w:lineRule="atLeast"/>
              <w:jc w:val="both"/>
              <w:rPr>
                <w:rFonts w:eastAsia="Calibri" w:cs="Arial"/>
                <w:b/>
                <w:lang w:eastAsia="en-US"/>
              </w:rPr>
            </w:pPr>
            <w:r w:rsidRPr="00AB1CDB">
              <w:rPr>
                <w:rFonts w:eastAsia="Calibri" w:cs="Arial"/>
                <w:b/>
                <w:lang w:eastAsia="en-US"/>
              </w:rPr>
              <w:t xml:space="preserve">Reference </w:t>
            </w:r>
          </w:p>
        </w:tc>
        <w:tc>
          <w:tcPr>
            <w:tcW w:w="1521" w:type="dxa"/>
            <w:shd w:val="clear" w:color="auto" w:fill="FFFFCC"/>
          </w:tcPr>
          <w:p w14:paraId="710BF640" w14:textId="77777777" w:rsidR="00452E09" w:rsidRPr="00AB1CDB" w:rsidRDefault="00452E09" w:rsidP="00452E09">
            <w:pPr>
              <w:suppressAutoHyphens w:val="0"/>
              <w:spacing w:line="260" w:lineRule="atLeast"/>
              <w:jc w:val="both"/>
              <w:rPr>
                <w:rFonts w:eastAsia="Calibri" w:cs="Arial"/>
                <w:b/>
                <w:lang w:eastAsia="en-US"/>
              </w:rPr>
            </w:pPr>
            <w:r w:rsidRPr="00AB1CDB">
              <w:rPr>
                <w:rFonts w:eastAsia="Calibri" w:cs="Arial"/>
                <w:b/>
                <w:lang w:eastAsia="en-US"/>
              </w:rPr>
              <w:t>Study</w:t>
            </w:r>
          </w:p>
        </w:tc>
        <w:tc>
          <w:tcPr>
            <w:tcW w:w="1512" w:type="dxa"/>
            <w:shd w:val="clear" w:color="auto" w:fill="FFFFCC"/>
          </w:tcPr>
          <w:p w14:paraId="72F2F8F9" w14:textId="77777777" w:rsidR="00452E09" w:rsidRPr="00AB1CDB" w:rsidRDefault="00452E09" w:rsidP="00452E09">
            <w:pPr>
              <w:suppressAutoHyphens w:val="0"/>
              <w:spacing w:line="260" w:lineRule="atLeast"/>
              <w:jc w:val="both"/>
              <w:rPr>
                <w:rFonts w:eastAsia="Calibri" w:cs="Arial"/>
                <w:b/>
                <w:lang w:eastAsia="en-US"/>
              </w:rPr>
            </w:pPr>
            <w:r w:rsidRPr="00AB1CDB">
              <w:rPr>
                <w:rFonts w:eastAsia="Calibri" w:cs="Arial"/>
                <w:b/>
                <w:lang w:eastAsia="en-US"/>
              </w:rPr>
              <w:t>NOAEL (LOAEL)</w:t>
            </w:r>
          </w:p>
        </w:tc>
        <w:tc>
          <w:tcPr>
            <w:tcW w:w="725" w:type="dxa"/>
            <w:shd w:val="clear" w:color="auto" w:fill="FFFFCC"/>
          </w:tcPr>
          <w:p w14:paraId="6E464EE2" w14:textId="77777777" w:rsidR="00452E09" w:rsidRPr="00AB1CDB" w:rsidRDefault="00452E09" w:rsidP="00452E09">
            <w:pPr>
              <w:suppressAutoHyphens w:val="0"/>
              <w:spacing w:line="260" w:lineRule="atLeast"/>
              <w:jc w:val="both"/>
              <w:rPr>
                <w:rFonts w:eastAsia="Calibri" w:cs="Arial"/>
                <w:b/>
                <w:vertAlign w:val="superscript"/>
                <w:lang w:eastAsia="en-US"/>
              </w:rPr>
            </w:pPr>
            <w:r w:rsidRPr="00AB1CDB">
              <w:rPr>
                <w:rFonts w:eastAsia="Calibri" w:cs="Arial"/>
                <w:b/>
                <w:lang w:eastAsia="en-US"/>
              </w:rPr>
              <w:t>AF</w:t>
            </w:r>
            <w:r w:rsidRPr="00AB1CDB">
              <w:rPr>
                <w:rFonts w:eastAsia="Calibri" w:cs="Arial"/>
                <w:b/>
                <w:vertAlign w:val="superscript"/>
                <w:lang w:eastAsia="en-US"/>
              </w:rPr>
              <w:t>1</w:t>
            </w:r>
          </w:p>
        </w:tc>
        <w:tc>
          <w:tcPr>
            <w:tcW w:w="1937" w:type="dxa"/>
            <w:shd w:val="clear" w:color="auto" w:fill="FFFFCC"/>
          </w:tcPr>
          <w:p w14:paraId="1A4D19A2" w14:textId="77777777" w:rsidR="00452E09" w:rsidRPr="00AB1CDB" w:rsidRDefault="00452E09" w:rsidP="00452E09">
            <w:pPr>
              <w:suppressAutoHyphens w:val="0"/>
              <w:spacing w:line="260" w:lineRule="atLeast"/>
              <w:jc w:val="both"/>
              <w:rPr>
                <w:rFonts w:eastAsia="Calibri" w:cs="Arial"/>
                <w:b/>
                <w:lang w:eastAsia="en-US"/>
              </w:rPr>
            </w:pPr>
            <w:r w:rsidRPr="00AB1CDB">
              <w:rPr>
                <w:rFonts w:eastAsia="Calibri" w:cs="Arial"/>
                <w:b/>
                <w:lang w:eastAsia="en-US"/>
              </w:rPr>
              <w:t>Correction for oral absorption</w:t>
            </w:r>
          </w:p>
        </w:tc>
        <w:tc>
          <w:tcPr>
            <w:tcW w:w="1837" w:type="dxa"/>
            <w:shd w:val="clear" w:color="auto" w:fill="FFFFCC"/>
          </w:tcPr>
          <w:p w14:paraId="1ADD1420" w14:textId="77777777" w:rsidR="00452E09" w:rsidRPr="00AB1CDB" w:rsidRDefault="00452E09" w:rsidP="00452E09">
            <w:pPr>
              <w:suppressAutoHyphens w:val="0"/>
              <w:spacing w:line="260" w:lineRule="atLeast"/>
              <w:jc w:val="both"/>
              <w:rPr>
                <w:rFonts w:eastAsia="Calibri" w:cs="Arial"/>
                <w:b/>
                <w:lang w:eastAsia="en-US"/>
              </w:rPr>
            </w:pPr>
            <w:r w:rsidRPr="00AB1CDB">
              <w:rPr>
                <w:rFonts w:eastAsia="Calibri" w:cs="Arial"/>
                <w:b/>
                <w:lang w:eastAsia="en-US"/>
              </w:rPr>
              <w:t>Value</w:t>
            </w:r>
          </w:p>
        </w:tc>
      </w:tr>
      <w:tr w:rsidR="00452E09" w:rsidRPr="001E5F9A" w14:paraId="42E57A45" w14:textId="77777777" w:rsidTr="00E84F90">
        <w:tc>
          <w:tcPr>
            <w:tcW w:w="1671" w:type="dxa"/>
            <w:shd w:val="clear" w:color="auto" w:fill="auto"/>
          </w:tcPr>
          <w:p w14:paraId="46FD12D4"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AELshort-term</w:t>
            </w:r>
          </w:p>
        </w:tc>
        <w:tc>
          <w:tcPr>
            <w:tcW w:w="1521" w:type="dxa"/>
            <w:vMerge w:val="restart"/>
            <w:vAlign w:val="center"/>
          </w:tcPr>
          <w:p w14:paraId="75C83537"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Upper intake level deduced by Scientific committee on food</w:t>
            </w:r>
          </w:p>
        </w:tc>
        <w:tc>
          <w:tcPr>
            <w:tcW w:w="1512" w:type="dxa"/>
            <w:vMerge w:val="restart"/>
            <w:vAlign w:val="center"/>
          </w:tcPr>
          <w:p w14:paraId="1CAE75E5"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600 µg/d</w:t>
            </w:r>
          </w:p>
        </w:tc>
        <w:tc>
          <w:tcPr>
            <w:tcW w:w="725" w:type="dxa"/>
            <w:vMerge w:val="restart"/>
            <w:vAlign w:val="center"/>
          </w:tcPr>
          <w:p w14:paraId="6BED8FDB"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1937" w:type="dxa"/>
            <w:vMerge w:val="restart"/>
            <w:vAlign w:val="center"/>
          </w:tcPr>
          <w:p w14:paraId="13B4B135"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1837" w:type="dxa"/>
            <w:vMerge w:val="restart"/>
            <w:shd w:val="clear" w:color="auto" w:fill="auto"/>
            <w:vAlign w:val="center"/>
          </w:tcPr>
          <w:p w14:paraId="15FF006B"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0.01 mg/kg bw/d</w:t>
            </w:r>
          </w:p>
          <w:p w14:paraId="72BFCB41" w14:textId="77777777" w:rsidR="00452E09" w:rsidRPr="00AB1CDB" w:rsidRDefault="00452E09" w:rsidP="00452E09">
            <w:pPr>
              <w:suppressAutoHyphens w:val="0"/>
              <w:spacing w:line="260" w:lineRule="atLeast"/>
              <w:jc w:val="both"/>
              <w:rPr>
                <w:rFonts w:eastAsia="Calibri" w:cs="Arial"/>
                <w:lang w:eastAsia="en-US"/>
              </w:rPr>
            </w:pPr>
          </w:p>
        </w:tc>
      </w:tr>
      <w:tr w:rsidR="00452E09" w:rsidRPr="001E5F9A" w14:paraId="0CC7B253" w14:textId="77777777" w:rsidTr="00E84F90">
        <w:tc>
          <w:tcPr>
            <w:tcW w:w="1671" w:type="dxa"/>
            <w:shd w:val="clear" w:color="auto" w:fill="auto"/>
          </w:tcPr>
          <w:p w14:paraId="78907411"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AELmedium-term</w:t>
            </w:r>
          </w:p>
        </w:tc>
        <w:tc>
          <w:tcPr>
            <w:tcW w:w="1521" w:type="dxa"/>
            <w:vMerge/>
          </w:tcPr>
          <w:p w14:paraId="58C1A98F" w14:textId="77777777" w:rsidR="00452E09" w:rsidRPr="00AB1CDB" w:rsidRDefault="00452E09" w:rsidP="00452E09">
            <w:pPr>
              <w:suppressAutoHyphens w:val="0"/>
              <w:spacing w:line="260" w:lineRule="atLeast"/>
              <w:jc w:val="both"/>
              <w:rPr>
                <w:rFonts w:eastAsia="Calibri" w:cs="Arial"/>
                <w:lang w:eastAsia="en-US"/>
              </w:rPr>
            </w:pPr>
          </w:p>
        </w:tc>
        <w:tc>
          <w:tcPr>
            <w:tcW w:w="1512" w:type="dxa"/>
            <w:vMerge/>
          </w:tcPr>
          <w:p w14:paraId="1892B6AE" w14:textId="77777777" w:rsidR="00452E09" w:rsidRPr="00AB1CDB" w:rsidRDefault="00452E09" w:rsidP="00452E09">
            <w:pPr>
              <w:suppressAutoHyphens w:val="0"/>
              <w:spacing w:line="260" w:lineRule="atLeast"/>
              <w:jc w:val="both"/>
              <w:rPr>
                <w:rFonts w:eastAsia="Calibri" w:cs="Arial"/>
                <w:lang w:eastAsia="en-US"/>
              </w:rPr>
            </w:pPr>
          </w:p>
        </w:tc>
        <w:tc>
          <w:tcPr>
            <w:tcW w:w="725" w:type="dxa"/>
            <w:vMerge/>
          </w:tcPr>
          <w:p w14:paraId="4F7701FC" w14:textId="77777777" w:rsidR="00452E09" w:rsidRPr="00AB1CDB" w:rsidRDefault="00452E09" w:rsidP="00452E09">
            <w:pPr>
              <w:suppressAutoHyphens w:val="0"/>
              <w:spacing w:line="260" w:lineRule="atLeast"/>
              <w:jc w:val="both"/>
              <w:rPr>
                <w:rFonts w:eastAsia="Calibri" w:cs="Arial"/>
                <w:lang w:eastAsia="en-US"/>
              </w:rPr>
            </w:pPr>
          </w:p>
        </w:tc>
        <w:tc>
          <w:tcPr>
            <w:tcW w:w="1937" w:type="dxa"/>
            <w:vMerge/>
          </w:tcPr>
          <w:p w14:paraId="2393F30C" w14:textId="77777777" w:rsidR="00452E09" w:rsidRPr="00AB1CDB" w:rsidRDefault="00452E09" w:rsidP="00452E09">
            <w:pPr>
              <w:suppressAutoHyphens w:val="0"/>
              <w:spacing w:line="260" w:lineRule="atLeast"/>
              <w:jc w:val="both"/>
              <w:rPr>
                <w:rFonts w:eastAsia="Calibri" w:cs="Arial"/>
                <w:lang w:eastAsia="en-US"/>
              </w:rPr>
            </w:pPr>
          </w:p>
        </w:tc>
        <w:tc>
          <w:tcPr>
            <w:tcW w:w="1837" w:type="dxa"/>
            <w:vMerge/>
            <w:shd w:val="clear" w:color="auto" w:fill="auto"/>
          </w:tcPr>
          <w:p w14:paraId="7DDFC64F" w14:textId="77777777" w:rsidR="00452E09" w:rsidRPr="00AB1CDB" w:rsidRDefault="00452E09" w:rsidP="00452E09">
            <w:pPr>
              <w:suppressAutoHyphens w:val="0"/>
              <w:spacing w:line="260" w:lineRule="atLeast"/>
              <w:jc w:val="both"/>
              <w:rPr>
                <w:rFonts w:eastAsia="Calibri" w:cs="Arial"/>
                <w:lang w:eastAsia="en-US"/>
              </w:rPr>
            </w:pPr>
          </w:p>
        </w:tc>
      </w:tr>
      <w:tr w:rsidR="00452E09" w:rsidRPr="001E5F9A" w14:paraId="493AA114" w14:textId="77777777" w:rsidTr="00E84F90">
        <w:tc>
          <w:tcPr>
            <w:tcW w:w="1671" w:type="dxa"/>
            <w:shd w:val="clear" w:color="auto" w:fill="auto"/>
          </w:tcPr>
          <w:p w14:paraId="6410C3BC"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AELlong-term</w:t>
            </w:r>
          </w:p>
        </w:tc>
        <w:tc>
          <w:tcPr>
            <w:tcW w:w="1521" w:type="dxa"/>
            <w:vMerge/>
          </w:tcPr>
          <w:p w14:paraId="7231FC3A" w14:textId="77777777" w:rsidR="00452E09" w:rsidRPr="00AB1CDB" w:rsidRDefault="00452E09" w:rsidP="00452E09">
            <w:pPr>
              <w:suppressAutoHyphens w:val="0"/>
              <w:spacing w:line="260" w:lineRule="atLeast"/>
              <w:jc w:val="both"/>
              <w:rPr>
                <w:rFonts w:eastAsia="Calibri" w:cs="Arial"/>
                <w:lang w:eastAsia="en-US"/>
              </w:rPr>
            </w:pPr>
          </w:p>
        </w:tc>
        <w:tc>
          <w:tcPr>
            <w:tcW w:w="1512" w:type="dxa"/>
            <w:vMerge/>
          </w:tcPr>
          <w:p w14:paraId="02A643B8" w14:textId="77777777" w:rsidR="00452E09" w:rsidRPr="00AB1CDB" w:rsidRDefault="00452E09" w:rsidP="00452E09">
            <w:pPr>
              <w:suppressAutoHyphens w:val="0"/>
              <w:spacing w:line="260" w:lineRule="atLeast"/>
              <w:jc w:val="both"/>
              <w:rPr>
                <w:rFonts w:eastAsia="Calibri" w:cs="Arial"/>
                <w:lang w:eastAsia="en-US"/>
              </w:rPr>
            </w:pPr>
          </w:p>
        </w:tc>
        <w:tc>
          <w:tcPr>
            <w:tcW w:w="725" w:type="dxa"/>
            <w:vMerge/>
          </w:tcPr>
          <w:p w14:paraId="3F80AD0E" w14:textId="77777777" w:rsidR="00452E09" w:rsidRPr="00AB1CDB" w:rsidRDefault="00452E09" w:rsidP="00452E09">
            <w:pPr>
              <w:suppressAutoHyphens w:val="0"/>
              <w:spacing w:line="260" w:lineRule="atLeast"/>
              <w:jc w:val="both"/>
              <w:rPr>
                <w:rFonts w:eastAsia="Calibri" w:cs="Arial"/>
                <w:lang w:eastAsia="en-US"/>
              </w:rPr>
            </w:pPr>
          </w:p>
        </w:tc>
        <w:tc>
          <w:tcPr>
            <w:tcW w:w="1937" w:type="dxa"/>
            <w:vMerge/>
          </w:tcPr>
          <w:p w14:paraId="467BC94E" w14:textId="77777777" w:rsidR="00452E09" w:rsidRPr="00AB1CDB" w:rsidRDefault="00452E09" w:rsidP="00452E09">
            <w:pPr>
              <w:suppressAutoHyphens w:val="0"/>
              <w:spacing w:line="260" w:lineRule="atLeast"/>
              <w:jc w:val="both"/>
              <w:rPr>
                <w:rFonts w:eastAsia="Calibri" w:cs="Arial"/>
                <w:lang w:eastAsia="en-US"/>
              </w:rPr>
            </w:pPr>
          </w:p>
        </w:tc>
        <w:tc>
          <w:tcPr>
            <w:tcW w:w="1837" w:type="dxa"/>
            <w:vMerge/>
            <w:shd w:val="clear" w:color="auto" w:fill="auto"/>
          </w:tcPr>
          <w:p w14:paraId="15E6904D" w14:textId="77777777" w:rsidR="00452E09" w:rsidRPr="00AB1CDB" w:rsidRDefault="00452E09" w:rsidP="00452E09">
            <w:pPr>
              <w:suppressAutoHyphens w:val="0"/>
              <w:spacing w:line="260" w:lineRule="atLeast"/>
              <w:jc w:val="both"/>
              <w:rPr>
                <w:rFonts w:eastAsia="Calibri" w:cs="Arial"/>
                <w:lang w:eastAsia="en-US"/>
              </w:rPr>
            </w:pPr>
          </w:p>
        </w:tc>
      </w:tr>
      <w:tr w:rsidR="00452E09" w:rsidRPr="001E5F9A" w14:paraId="63EF3EB1" w14:textId="77777777" w:rsidTr="00E84F90">
        <w:tc>
          <w:tcPr>
            <w:tcW w:w="1671" w:type="dxa"/>
            <w:shd w:val="clear" w:color="auto" w:fill="auto"/>
          </w:tcPr>
          <w:p w14:paraId="69426490"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AEC</w:t>
            </w:r>
          </w:p>
        </w:tc>
        <w:tc>
          <w:tcPr>
            <w:tcW w:w="1521" w:type="dxa"/>
          </w:tcPr>
          <w:p w14:paraId="3318E286" w14:textId="77777777" w:rsidR="00452E09" w:rsidRPr="00AB1CDB" w:rsidRDefault="00452E09" w:rsidP="00452E09">
            <w:pPr>
              <w:suppressAutoHyphens w:val="0"/>
              <w:spacing w:line="260" w:lineRule="atLeast"/>
              <w:jc w:val="both"/>
              <w:rPr>
                <w:rFonts w:eastAsia="Calibri" w:cs="Arial"/>
                <w:lang w:eastAsia="en-US"/>
              </w:rPr>
            </w:pPr>
          </w:p>
        </w:tc>
        <w:tc>
          <w:tcPr>
            <w:tcW w:w="1512" w:type="dxa"/>
          </w:tcPr>
          <w:p w14:paraId="5CB6EBF8" w14:textId="77777777" w:rsidR="00452E09" w:rsidRPr="00AB1CDB" w:rsidRDefault="00452E09" w:rsidP="00452E09">
            <w:pPr>
              <w:suppressAutoHyphens w:val="0"/>
              <w:spacing w:line="260" w:lineRule="atLeast"/>
              <w:jc w:val="both"/>
              <w:rPr>
                <w:rFonts w:eastAsia="Calibri" w:cs="Arial"/>
                <w:lang w:eastAsia="en-US"/>
              </w:rPr>
            </w:pPr>
          </w:p>
        </w:tc>
        <w:tc>
          <w:tcPr>
            <w:tcW w:w="725" w:type="dxa"/>
          </w:tcPr>
          <w:p w14:paraId="70877942"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1937" w:type="dxa"/>
          </w:tcPr>
          <w:p w14:paraId="1843D5F6"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1837" w:type="dxa"/>
            <w:shd w:val="clear" w:color="auto" w:fill="auto"/>
          </w:tcPr>
          <w:p w14:paraId="7D73F0F1" w14:textId="77777777" w:rsidR="00452E09" w:rsidRPr="00AB1CDB" w:rsidRDefault="00452E09" w:rsidP="00452E09">
            <w:pPr>
              <w:suppressAutoHyphens w:val="0"/>
              <w:spacing w:line="260" w:lineRule="atLeast"/>
              <w:jc w:val="both"/>
              <w:rPr>
                <w:rFonts w:eastAsia="Calibri" w:cs="Arial"/>
                <w:lang w:eastAsia="en-US"/>
              </w:rPr>
            </w:pPr>
            <w:r w:rsidRPr="00AB1CDB">
              <w:rPr>
                <w:rFonts w:cs="Arial"/>
                <w:iCs/>
                <w:lang w:eastAsia="en-US"/>
              </w:rPr>
              <w:t>1 mg/m</w:t>
            </w:r>
            <w:r w:rsidRPr="00AB1CDB">
              <w:rPr>
                <w:rFonts w:cs="Arial"/>
                <w:iCs/>
                <w:vertAlign w:val="superscript"/>
                <w:lang w:eastAsia="en-US"/>
              </w:rPr>
              <w:t>3</w:t>
            </w:r>
            <w:r w:rsidRPr="00AB1CDB">
              <w:rPr>
                <w:rFonts w:cs="Arial"/>
                <w:iCs/>
                <w:lang w:eastAsia="en-US"/>
              </w:rPr>
              <w:t xml:space="preserve"> (0.1 ppm)</w:t>
            </w:r>
          </w:p>
        </w:tc>
      </w:tr>
      <w:tr w:rsidR="00452E09" w:rsidRPr="001E5F9A" w14:paraId="432C9DBC" w14:textId="77777777" w:rsidTr="00E84F90">
        <w:tc>
          <w:tcPr>
            <w:tcW w:w="1671" w:type="dxa"/>
            <w:shd w:val="clear" w:color="auto" w:fill="auto"/>
          </w:tcPr>
          <w:p w14:paraId="6C44F0ED"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ARfD</w:t>
            </w:r>
          </w:p>
        </w:tc>
        <w:tc>
          <w:tcPr>
            <w:tcW w:w="1521" w:type="dxa"/>
          </w:tcPr>
          <w:p w14:paraId="2BDBB221"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n.a.</w:t>
            </w:r>
          </w:p>
        </w:tc>
        <w:tc>
          <w:tcPr>
            <w:tcW w:w="1512" w:type="dxa"/>
          </w:tcPr>
          <w:p w14:paraId="264D638C"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725" w:type="dxa"/>
          </w:tcPr>
          <w:p w14:paraId="01F0B73F"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1937" w:type="dxa"/>
          </w:tcPr>
          <w:p w14:paraId="0AB2A702"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1837" w:type="dxa"/>
            <w:shd w:val="clear" w:color="auto" w:fill="auto"/>
          </w:tcPr>
          <w:p w14:paraId="02BDB746"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r>
      <w:tr w:rsidR="00452E09" w:rsidRPr="001E5F9A" w14:paraId="596143FF" w14:textId="77777777" w:rsidTr="00E84F90">
        <w:tc>
          <w:tcPr>
            <w:tcW w:w="1671" w:type="dxa"/>
            <w:shd w:val="clear" w:color="auto" w:fill="auto"/>
          </w:tcPr>
          <w:p w14:paraId="21AC116B"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ADI</w:t>
            </w:r>
          </w:p>
        </w:tc>
        <w:tc>
          <w:tcPr>
            <w:tcW w:w="1521" w:type="dxa"/>
          </w:tcPr>
          <w:p w14:paraId="6124EA78"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n.a.</w:t>
            </w:r>
          </w:p>
        </w:tc>
        <w:tc>
          <w:tcPr>
            <w:tcW w:w="1512" w:type="dxa"/>
          </w:tcPr>
          <w:p w14:paraId="6043EB10"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725" w:type="dxa"/>
          </w:tcPr>
          <w:p w14:paraId="289DAD1D"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1937" w:type="dxa"/>
          </w:tcPr>
          <w:p w14:paraId="44070561"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c>
          <w:tcPr>
            <w:tcW w:w="1837" w:type="dxa"/>
            <w:shd w:val="clear" w:color="auto" w:fill="auto"/>
          </w:tcPr>
          <w:p w14:paraId="5C663DE4" w14:textId="77777777" w:rsidR="00452E09" w:rsidRPr="00AB1CDB" w:rsidRDefault="00452E09" w:rsidP="00452E09">
            <w:pPr>
              <w:suppressAutoHyphens w:val="0"/>
              <w:spacing w:line="260" w:lineRule="atLeast"/>
              <w:jc w:val="both"/>
              <w:rPr>
                <w:rFonts w:eastAsia="Calibri" w:cs="Arial"/>
                <w:lang w:eastAsia="en-US"/>
              </w:rPr>
            </w:pPr>
            <w:r w:rsidRPr="00AB1CDB">
              <w:rPr>
                <w:rFonts w:eastAsia="Calibri" w:cs="Arial"/>
                <w:lang w:eastAsia="en-US"/>
              </w:rPr>
              <w:t>-</w:t>
            </w:r>
          </w:p>
        </w:tc>
      </w:tr>
    </w:tbl>
    <w:p w14:paraId="037A6442" w14:textId="77777777" w:rsidR="00452E09" w:rsidRPr="00452E09" w:rsidRDefault="00452E09" w:rsidP="00452E09">
      <w:pPr>
        <w:spacing w:line="260" w:lineRule="atLeast"/>
        <w:jc w:val="both"/>
        <w:rPr>
          <w:rFonts w:ascii="Arial" w:eastAsia="Calibri" w:hAnsi="Arial" w:cs="Arial"/>
          <w:b/>
          <w:lang w:eastAsia="en-US"/>
        </w:rPr>
      </w:pPr>
    </w:p>
    <w:p w14:paraId="0964EA8F" w14:textId="77777777" w:rsidR="00452E09" w:rsidRPr="00452E09" w:rsidRDefault="00452E09" w:rsidP="00452E09">
      <w:pPr>
        <w:suppressAutoHyphens w:val="0"/>
        <w:spacing w:after="120" w:line="260" w:lineRule="atLeast"/>
        <w:jc w:val="both"/>
        <w:rPr>
          <w:rFonts w:eastAsia="Calibri"/>
          <w:lang w:eastAsia="en-US"/>
        </w:rPr>
      </w:pPr>
      <w:r w:rsidRPr="00452E09">
        <w:rPr>
          <w:rFonts w:eastAsia="Calibri"/>
          <w:lang w:eastAsia="en-US"/>
        </w:rPr>
        <w:t xml:space="preserve">The Scientific Committee on Food (SCF) based the iodine tolerable upper intake (UL) on studies of short term duration and in a small number of subjects (n=10-32). For iodine intakes about 1700-1800 μg/day, the studies showed an increased serum thyroid-stimulating hormone (TSH) and thyrotropin-releasing hormone (TRH), but these changes were considered marginal and not associated with any clinical adverse effects. The results were supported by a five years study where, </w:t>
      </w:r>
      <w:r w:rsidRPr="00452E09">
        <w:rPr>
          <w:rFonts w:eastAsia="Calibri"/>
          <w:lang w:eastAsia="en-US"/>
        </w:rPr>
        <w:lastRenderedPageBreak/>
        <w:t>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children. The SCF adopted the value of 600 μg/day as a UL for adults including pregnant and lactating women (2002)</w:t>
      </w:r>
      <w:r w:rsidRPr="00E84F90">
        <w:rPr>
          <w:rFonts w:eastAsia="Calibri"/>
          <w:vertAlign w:val="superscript"/>
          <w:lang w:eastAsia="en-US"/>
        </w:rPr>
        <w:footnoteReference w:id="4"/>
      </w:r>
      <w:r w:rsidRPr="00452E09">
        <w:rPr>
          <w:rFonts w:eastAsia="Calibri"/>
          <w:lang w:eastAsia="en-US"/>
        </w:rPr>
        <w:t>. The UL for toddlers was set at 200 µg/day.</w:t>
      </w:r>
    </w:p>
    <w:p w14:paraId="7F87145C" w14:textId="77777777" w:rsidR="00452E09" w:rsidRPr="00452E09" w:rsidRDefault="00452E09" w:rsidP="00452E09">
      <w:pPr>
        <w:suppressAutoHyphens w:val="0"/>
        <w:spacing w:after="120" w:line="260" w:lineRule="atLeast"/>
        <w:jc w:val="both"/>
        <w:rPr>
          <w:rFonts w:eastAsia="Calibri"/>
          <w:lang w:eastAsia="en-US"/>
        </w:rPr>
      </w:pPr>
      <w:r w:rsidRPr="00452E09">
        <w:rPr>
          <w:rFonts w:eastAsia="Calibri"/>
          <w:lang w:eastAsia="en-US"/>
        </w:rPr>
        <w:t>Nevertheless, in the iodine CAR, it is reported that a healthy adult can tolerate iodine intake of more than 1000 µg/day without any adverse effects.</w:t>
      </w:r>
    </w:p>
    <w:p w14:paraId="7C251843" w14:textId="77777777" w:rsidR="00452E09" w:rsidRPr="00452E09" w:rsidRDefault="00452E09" w:rsidP="00452E09">
      <w:pPr>
        <w:jc w:val="both"/>
        <w:rPr>
          <w:rFonts w:eastAsia="Calibri"/>
          <w:lang w:eastAsia="en-US"/>
        </w:rPr>
      </w:pPr>
      <w:r w:rsidRPr="00452E09">
        <w:rPr>
          <w:rFonts w:eastAsia="Calibri"/>
          <w:lang w:eastAsia="en-US"/>
        </w:rPr>
        <w:t>As indicated by the SCF, the tolerable upper intake levels ULs are not a safety threshold. Indeed, the SCF indicated that the UL “may be exceeded for short periods without appreciable risk to the health of the individuals concerned”.</w:t>
      </w:r>
    </w:p>
    <w:p w14:paraId="3620B282" w14:textId="77777777" w:rsidR="00452E09" w:rsidRPr="00452E09" w:rsidRDefault="00452E09" w:rsidP="00452E09">
      <w:pPr>
        <w:jc w:val="both"/>
        <w:rPr>
          <w:rFonts w:eastAsia="Calibri"/>
          <w:lang w:eastAsia="en-US"/>
        </w:rPr>
      </w:pPr>
    </w:p>
    <w:p w14:paraId="1F6CFBEC" w14:textId="77777777" w:rsidR="00452E09" w:rsidRPr="00452E09" w:rsidRDefault="00452E09" w:rsidP="00452E09">
      <w:pPr>
        <w:spacing w:line="260" w:lineRule="atLeast"/>
        <w:jc w:val="both"/>
        <w:rPr>
          <w:rFonts w:eastAsia="Calibri"/>
          <w:lang w:eastAsia="en-US"/>
        </w:rPr>
      </w:pPr>
      <w:r w:rsidRPr="00452E09">
        <w:rPr>
          <w:rFonts w:eastAsia="Calibri"/>
          <w:lang w:eastAsia="en-US"/>
        </w:rPr>
        <w:t xml:space="preserve">Furthermore, besides the exposure due to the treatment the user is also exposed by dietary exposure. </w:t>
      </w:r>
    </w:p>
    <w:p w14:paraId="33094648" w14:textId="77777777" w:rsidR="00452E09" w:rsidRPr="00452E09" w:rsidRDefault="00452E09" w:rsidP="00452E09">
      <w:pPr>
        <w:spacing w:line="260" w:lineRule="atLeast"/>
        <w:jc w:val="both"/>
        <w:rPr>
          <w:rFonts w:eastAsia="Calibri"/>
          <w:lang w:eastAsia="en-US"/>
        </w:rPr>
      </w:pPr>
      <w:r w:rsidRPr="00452E09">
        <w:rPr>
          <w:rFonts w:eastAsia="Calibri"/>
          <w:lang w:eastAsia="en-US"/>
        </w:rPr>
        <w:t xml:space="preserve">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for iodine union authorisations at the European level. </w:t>
      </w:r>
    </w:p>
    <w:p w14:paraId="05D9FED1" w14:textId="77777777" w:rsidR="00452E09" w:rsidRPr="00452E09" w:rsidRDefault="00452E09" w:rsidP="00452E09">
      <w:pPr>
        <w:spacing w:line="260" w:lineRule="atLeast"/>
        <w:jc w:val="both"/>
        <w:rPr>
          <w:rFonts w:eastAsia="Calibri"/>
          <w:lang w:eastAsia="en-US"/>
        </w:rPr>
      </w:pPr>
    </w:p>
    <w:p w14:paraId="1711566B" w14:textId="2C869C60" w:rsidR="00452E09" w:rsidRPr="00452E09" w:rsidRDefault="00452E09" w:rsidP="00452E09">
      <w:pPr>
        <w:spacing w:line="276" w:lineRule="auto"/>
        <w:jc w:val="both"/>
        <w:rPr>
          <w:rFonts w:eastAsia="Calibri"/>
          <w:lang w:eastAsia="en-US"/>
        </w:rPr>
      </w:pPr>
      <w:r w:rsidRPr="00452E09">
        <w:rPr>
          <w:rFonts w:eastAsia="Calibri"/>
          <w:lang w:eastAsia="en-US"/>
        </w:rPr>
        <w:t xml:space="preserve">Both risk assessment have been performed in this report. </w:t>
      </w:r>
    </w:p>
    <w:p w14:paraId="0F2D0D15" w14:textId="77777777" w:rsidR="00452E09" w:rsidRPr="00452E09" w:rsidRDefault="00452E09" w:rsidP="00AB1CDB">
      <w:pPr>
        <w:spacing w:line="276" w:lineRule="auto"/>
        <w:jc w:val="both"/>
        <w:rPr>
          <w:rFonts w:ascii="Arial" w:eastAsia="Calibri" w:hAnsi="Arial" w:cs="Arial"/>
          <w:lang w:val="sv-SE" w:eastAsia="en-US"/>
        </w:rPr>
      </w:pPr>
    </w:p>
    <w:p w14:paraId="4E5B99AC" w14:textId="77777777" w:rsidR="00452E09" w:rsidRPr="00452E09" w:rsidRDefault="00452E09" w:rsidP="00452E09">
      <w:pPr>
        <w:rPr>
          <w:rFonts w:ascii="Times New Roman" w:eastAsia="Calibri" w:hAnsi="Times New Roman" w:cs="Times New Roman"/>
          <w:i/>
          <w:szCs w:val="22"/>
          <w:lang w:val="sv-SE" w:eastAsia="en-US"/>
        </w:rPr>
      </w:pPr>
    </w:p>
    <w:p w14:paraId="2B233A6C" w14:textId="77777777" w:rsidR="00452E09" w:rsidRPr="00452E09" w:rsidRDefault="00452E09" w:rsidP="00452E09">
      <w:pPr>
        <w:rPr>
          <w:rFonts w:ascii="Times New Roman" w:eastAsia="Calibri" w:hAnsi="Times New Roman" w:cs="Times New Roman"/>
          <w:i/>
          <w:szCs w:val="22"/>
          <w:lang w:eastAsia="en-US"/>
        </w:rPr>
      </w:pPr>
    </w:p>
    <w:p w14:paraId="0184FA09" w14:textId="77777777" w:rsidR="00452E09" w:rsidRPr="00D16495" w:rsidRDefault="00452E09" w:rsidP="00AB1CDB">
      <w:pPr>
        <w:pStyle w:val="Titre5"/>
        <w:rPr>
          <w:rFonts w:eastAsia="Calibri"/>
        </w:rPr>
      </w:pPr>
      <w:r w:rsidRPr="00D16495">
        <w:rPr>
          <w:rFonts w:eastAsia="Calibri"/>
        </w:rPr>
        <w:t>Industrial exposure</w:t>
      </w:r>
    </w:p>
    <w:p w14:paraId="67346C02" w14:textId="77777777" w:rsidR="00452E09" w:rsidRPr="00452E09" w:rsidRDefault="00452E09" w:rsidP="00452E09">
      <w:pPr>
        <w:keepNext/>
        <w:spacing w:before="240"/>
        <w:jc w:val="both"/>
        <w:rPr>
          <w:rFonts w:eastAsia="Calibri"/>
          <w:lang w:eastAsia="en-US"/>
        </w:rPr>
      </w:pPr>
      <w:r w:rsidRPr="00452E09">
        <w:rPr>
          <w:rFonts w:eastAsia="Calibri"/>
          <w:lang w:eastAsia="en-US"/>
        </w:rPr>
        <w:t>No industrial exposure is foreseen. Therefore the assessment of industrial exposure is not relevant.</w:t>
      </w:r>
    </w:p>
    <w:p w14:paraId="61207D03" w14:textId="77777777" w:rsidR="00452E09" w:rsidRPr="00AB1CDB" w:rsidRDefault="00452E09" w:rsidP="00AB1CDB">
      <w:pPr>
        <w:rPr>
          <w:rFonts w:eastAsia="Calibri"/>
        </w:rPr>
      </w:pPr>
    </w:p>
    <w:p w14:paraId="3668D8B2" w14:textId="77777777" w:rsidR="00452E09" w:rsidRPr="00AB1CDB" w:rsidRDefault="00452E09" w:rsidP="00AB1CDB">
      <w:pPr>
        <w:pStyle w:val="Titre5"/>
        <w:rPr>
          <w:rFonts w:eastAsia="Calibri"/>
        </w:rPr>
      </w:pPr>
      <w:r w:rsidRPr="00AB1CDB">
        <w:rPr>
          <w:rFonts w:eastAsia="Calibri"/>
        </w:rPr>
        <w:t xml:space="preserve">Professional exposure </w:t>
      </w:r>
    </w:p>
    <w:tbl>
      <w:tblPr>
        <w:tblStyle w:val="TableGrid0"/>
        <w:tblW w:w="9196" w:type="dxa"/>
        <w:tblInd w:w="9" w:type="dxa"/>
        <w:tblCellMar>
          <w:top w:w="84" w:type="dxa"/>
          <w:left w:w="68" w:type="dxa"/>
          <w:right w:w="8" w:type="dxa"/>
        </w:tblCellMar>
        <w:tblLook w:val="04A0" w:firstRow="1" w:lastRow="0" w:firstColumn="1" w:lastColumn="0" w:noHBand="0" w:noVBand="1"/>
      </w:tblPr>
      <w:tblGrid>
        <w:gridCol w:w="9196"/>
      </w:tblGrid>
      <w:tr w:rsidR="00452E09" w:rsidRPr="00D16495" w14:paraId="1E8E0803" w14:textId="77777777" w:rsidTr="00452E09">
        <w:trPr>
          <w:trHeight w:val="302"/>
        </w:trPr>
        <w:tc>
          <w:tcPr>
            <w:tcW w:w="9196" w:type="dxa"/>
            <w:tcBorders>
              <w:top w:val="single" w:sz="6" w:space="0" w:color="000000"/>
              <w:left w:val="single" w:sz="6" w:space="0" w:color="000000"/>
              <w:bottom w:val="single" w:sz="6" w:space="0" w:color="000000"/>
              <w:right w:val="single" w:sz="6" w:space="0" w:color="000000"/>
            </w:tcBorders>
            <w:shd w:val="clear" w:color="auto" w:fill="FFFFCC"/>
          </w:tcPr>
          <w:p w14:paraId="6F4E011F" w14:textId="007F40F3" w:rsidR="00452E09" w:rsidRPr="002A1DCA" w:rsidRDefault="00452E09" w:rsidP="00452E09">
            <w:r w:rsidRPr="00D16495">
              <w:rPr>
                <w:b/>
                <w:sz w:val="18"/>
              </w:rPr>
              <w:t xml:space="preserve">Description of Scenario [1] </w:t>
            </w:r>
            <w:r w:rsidRPr="00D16495">
              <w:rPr>
                <w:b/>
                <w:i/>
                <w:sz w:val="18"/>
                <w:lang w:val="en-US"/>
              </w:rPr>
              <w:t>Application on teats by manual dipping</w:t>
            </w:r>
          </w:p>
        </w:tc>
      </w:tr>
      <w:tr w:rsidR="00452E09" w:rsidRPr="00452E09" w14:paraId="4BA5BCC1" w14:textId="77777777" w:rsidTr="00452E09">
        <w:trPr>
          <w:trHeight w:val="1466"/>
        </w:trPr>
        <w:tc>
          <w:tcPr>
            <w:tcW w:w="9196" w:type="dxa"/>
            <w:tcBorders>
              <w:top w:val="single" w:sz="6" w:space="0" w:color="000000"/>
              <w:left w:val="single" w:sz="6" w:space="0" w:color="000000"/>
              <w:bottom w:val="single" w:sz="6" w:space="0" w:color="000000"/>
              <w:right w:val="single" w:sz="6" w:space="0" w:color="000000"/>
            </w:tcBorders>
          </w:tcPr>
          <w:p w14:paraId="49D61768" w14:textId="77777777" w:rsidR="00452E09" w:rsidRPr="00AB1CDB" w:rsidRDefault="00452E09" w:rsidP="00452E09">
            <w:pPr>
              <w:ind w:right="62"/>
              <w:jc w:val="both"/>
              <w:rPr>
                <w:rFonts w:eastAsia="Calibri"/>
                <w:sz w:val="20"/>
                <w:szCs w:val="20"/>
                <w:lang w:eastAsia="en-US"/>
              </w:rPr>
            </w:pPr>
            <w:r w:rsidRPr="00AB1CDB">
              <w:rPr>
                <w:rFonts w:eastAsia="Calibri"/>
                <w:lang w:eastAsia="en-US"/>
              </w:rPr>
              <w:t xml:space="preserve">ALGOFILM is used as ready-to-use product. Several tasks are necessary to applied the products on teats. They are described below. </w:t>
            </w:r>
          </w:p>
          <w:p w14:paraId="354CD317" w14:textId="77777777" w:rsidR="00452E09" w:rsidRPr="00AB1CDB" w:rsidRDefault="00452E09" w:rsidP="00452E09">
            <w:pPr>
              <w:ind w:right="62"/>
              <w:jc w:val="both"/>
              <w:rPr>
                <w:sz w:val="20"/>
                <w:szCs w:val="20"/>
                <w:lang w:eastAsia="en-US"/>
              </w:rPr>
            </w:pPr>
            <w:r w:rsidRPr="00380DC2">
              <w:rPr>
                <w:lang w:eastAsia="en-US"/>
              </w:rPr>
              <w:t xml:space="preserve"> </w:t>
            </w:r>
          </w:p>
          <w:p w14:paraId="5F4AD8D1" w14:textId="77777777" w:rsidR="00452E09" w:rsidRPr="00AB1CDB" w:rsidRDefault="00452E09" w:rsidP="00452E09">
            <w:pPr>
              <w:numPr>
                <w:ilvl w:val="0"/>
                <w:numId w:val="13"/>
              </w:numPr>
              <w:ind w:right="62"/>
              <w:jc w:val="both"/>
              <w:rPr>
                <w:rFonts w:eastAsia="Calibri"/>
                <w:b/>
                <w:sz w:val="20"/>
                <w:szCs w:val="20"/>
                <w:lang w:eastAsia="en-US"/>
              </w:rPr>
            </w:pPr>
            <w:r w:rsidRPr="00AB1CDB">
              <w:rPr>
                <w:rFonts w:eastAsia="Calibri"/>
                <w:b/>
                <w:lang w:eastAsia="en-US"/>
              </w:rPr>
              <w:t xml:space="preserve">Task 1.1: Mixing and loading of RTU </w:t>
            </w:r>
          </w:p>
          <w:p w14:paraId="556CC45C" w14:textId="77777777" w:rsidR="00452E09" w:rsidRPr="00AB1CDB" w:rsidRDefault="00452E09" w:rsidP="00452E09">
            <w:pPr>
              <w:ind w:left="786" w:right="62"/>
              <w:jc w:val="both"/>
              <w:rPr>
                <w:sz w:val="20"/>
                <w:szCs w:val="20"/>
                <w:lang w:eastAsia="en-US"/>
              </w:rPr>
            </w:pPr>
          </w:p>
          <w:p w14:paraId="48B5CF9E" w14:textId="3482C60B" w:rsidR="00452E09" w:rsidRPr="00AB1CDB" w:rsidRDefault="00452E09" w:rsidP="00452E09">
            <w:pPr>
              <w:ind w:right="62"/>
              <w:jc w:val="both"/>
              <w:rPr>
                <w:rFonts w:eastAsia="Calibri"/>
                <w:sz w:val="20"/>
                <w:szCs w:val="20"/>
                <w:lang w:eastAsia="en-US"/>
              </w:rPr>
            </w:pPr>
            <w:r w:rsidRPr="00AB1CDB">
              <w:rPr>
                <w:rFonts w:eastAsia="Calibri"/>
                <w:lang w:eastAsia="en-US"/>
              </w:rPr>
              <w:t>82 milk producing cows are milked per day. Each cow has 4 teats and are milked 2 ti</w:t>
            </w:r>
            <w:r w:rsidR="00E84F90" w:rsidRPr="00380DC2">
              <w:rPr>
                <w:rFonts w:eastAsia="Calibri"/>
                <w:lang w:eastAsia="en-US"/>
              </w:rPr>
              <w:t xml:space="preserve">mes a day. 2 mL product/teat </w:t>
            </w:r>
            <w:r w:rsidRPr="00AB1CDB">
              <w:rPr>
                <w:rFonts w:eastAsia="Calibri"/>
                <w:lang w:eastAsia="en-US"/>
              </w:rPr>
              <w:t>are applied (4 teats/animal equal to 8 mL of product).</w:t>
            </w:r>
          </w:p>
          <w:p w14:paraId="01EAC435" w14:textId="139FC6E1" w:rsidR="00452E09" w:rsidRPr="00AB1CDB" w:rsidRDefault="00452E09" w:rsidP="00452E09">
            <w:pPr>
              <w:ind w:right="62"/>
              <w:jc w:val="both"/>
              <w:rPr>
                <w:rFonts w:eastAsia="Calibri"/>
                <w:sz w:val="20"/>
                <w:szCs w:val="20"/>
                <w:lang w:eastAsia="en-US"/>
              </w:rPr>
            </w:pPr>
            <w:r w:rsidRPr="00AB1CDB">
              <w:rPr>
                <w:rFonts w:eastAsia="Calibri"/>
                <w:lang w:eastAsia="en-US"/>
              </w:rPr>
              <w:t xml:space="preserve">Therefore, 16 ml of product/day is needed for a cow. Considering 82 cows, 1312 ml of product/day is needed. This scenario covers the scenario for ewes and goats which have two teats. </w:t>
            </w:r>
          </w:p>
          <w:p w14:paraId="2675D6A2" w14:textId="77777777" w:rsidR="00452E09" w:rsidRPr="00AB1CDB" w:rsidRDefault="00452E09" w:rsidP="00AB1CDB">
            <w:pPr>
              <w:ind w:right="62"/>
              <w:jc w:val="both"/>
              <w:rPr>
                <w:rFonts w:eastAsia="Calibri"/>
                <w:sz w:val="20"/>
                <w:szCs w:val="20"/>
                <w:lang w:eastAsia="en-US"/>
              </w:rPr>
            </w:pPr>
            <w:r w:rsidRPr="00AB1CDB">
              <w:rPr>
                <w:rFonts w:eastAsia="Calibri"/>
                <w:lang w:eastAsia="en-US"/>
              </w:rPr>
              <w:t>The mixing and loading model 4 as proposed in HeadHoc recommendation 13 was chosen as a reasonable worst-case scenario.</w:t>
            </w:r>
          </w:p>
          <w:p w14:paraId="11B7D33B" w14:textId="77777777" w:rsidR="00452E09" w:rsidRPr="00AB1CDB" w:rsidRDefault="00452E09" w:rsidP="00452E09">
            <w:pPr>
              <w:suppressAutoHyphens w:val="0"/>
              <w:spacing w:line="260" w:lineRule="atLeast"/>
              <w:jc w:val="both"/>
              <w:rPr>
                <w:rFonts w:ascii="Arial" w:hAnsi="Arial" w:cs="Arial"/>
                <w:color w:val="000000"/>
                <w:sz w:val="20"/>
                <w:szCs w:val="20"/>
                <w:lang w:eastAsia="en-GB"/>
              </w:rPr>
            </w:pPr>
          </w:p>
          <w:p w14:paraId="542F48C3" w14:textId="77777777" w:rsidR="00452E09" w:rsidRPr="00AB1CDB" w:rsidRDefault="00452E09" w:rsidP="00452E09">
            <w:pPr>
              <w:numPr>
                <w:ilvl w:val="0"/>
                <w:numId w:val="13"/>
              </w:numPr>
              <w:ind w:right="62"/>
              <w:jc w:val="both"/>
              <w:rPr>
                <w:rFonts w:eastAsia="Calibri"/>
                <w:b/>
                <w:sz w:val="20"/>
                <w:szCs w:val="20"/>
                <w:lang w:eastAsia="en-US"/>
              </w:rPr>
            </w:pPr>
            <w:r w:rsidRPr="00AB1CDB">
              <w:rPr>
                <w:rFonts w:eastAsia="Calibri"/>
                <w:b/>
                <w:lang w:eastAsia="en-US"/>
              </w:rPr>
              <w:t>Task 1.2: Application by dipping</w:t>
            </w:r>
          </w:p>
          <w:p w14:paraId="350741DF" w14:textId="77777777" w:rsidR="00452E09" w:rsidRPr="00AB1CDB" w:rsidRDefault="00452E09" w:rsidP="00452E09">
            <w:pPr>
              <w:ind w:left="786" w:right="62"/>
              <w:jc w:val="both"/>
              <w:rPr>
                <w:sz w:val="20"/>
                <w:szCs w:val="20"/>
                <w:lang w:eastAsia="en-US"/>
              </w:rPr>
            </w:pPr>
          </w:p>
          <w:p w14:paraId="7276EA77" w14:textId="77777777" w:rsidR="00452E09" w:rsidRPr="00AB1CDB" w:rsidRDefault="00452E09" w:rsidP="00452E09">
            <w:pPr>
              <w:ind w:right="62"/>
              <w:jc w:val="both"/>
              <w:rPr>
                <w:rFonts w:eastAsia="Calibri"/>
                <w:sz w:val="20"/>
                <w:szCs w:val="20"/>
                <w:lang w:eastAsia="en-US"/>
              </w:rPr>
            </w:pPr>
            <w:r w:rsidRPr="00AB1CDB">
              <w:rPr>
                <w:rFonts w:eastAsia="Calibri"/>
                <w:lang w:eastAsia="en-US"/>
              </w:rPr>
              <w:lastRenderedPageBreak/>
              <w:t>The correct quantity of liquid to cover a teat is pushed in the top of the dip by pression on the flexible reserve flask containing ALGOFILM. The top of the dip contains approximately 8 mL of ALGOFILM and it is designed in order not to allow a flow back in the reserve to avoid contaminations between animals. The 8 mL of product are enough to treat the four teats of a cow. Once the teats are dipped, the operator slightly moves the teats to allow the formation of a droplet on the sphincter at the basis of the teat.</w:t>
            </w:r>
          </w:p>
          <w:p w14:paraId="570DCAFE" w14:textId="77777777" w:rsidR="00452E09" w:rsidRPr="00AB1CDB" w:rsidRDefault="00452E09" w:rsidP="00452E09">
            <w:pPr>
              <w:ind w:right="62"/>
              <w:jc w:val="both"/>
              <w:rPr>
                <w:rFonts w:eastAsia="Calibri"/>
                <w:sz w:val="20"/>
                <w:szCs w:val="20"/>
                <w:lang w:eastAsia="en-US"/>
              </w:rPr>
            </w:pPr>
            <w:r w:rsidRPr="00AB1CDB">
              <w:rPr>
                <w:rFonts w:eastAsia="Calibri"/>
                <w:lang w:eastAsia="en-US"/>
              </w:rPr>
              <w:t>Direct dermal contact is not foreseen even if the top of the dip is spilled. Exposure during the use of dipping cups is considered covered by the dermal exposure as calculated by the scenario of mixing and loading according to the HeadHoc recommendation 13.</w:t>
            </w:r>
          </w:p>
          <w:p w14:paraId="4731648A" w14:textId="77777777" w:rsidR="00452E09" w:rsidRPr="00AB1CDB" w:rsidRDefault="00452E09" w:rsidP="00452E09">
            <w:pPr>
              <w:ind w:right="62"/>
              <w:jc w:val="both"/>
              <w:rPr>
                <w:rFonts w:eastAsia="Calibri"/>
                <w:sz w:val="20"/>
                <w:szCs w:val="20"/>
                <w:lang w:eastAsia="en-US"/>
              </w:rPr>
            </w:pPr>
          </w:p>
          <w:p w14:paraId="4CEADC0C" w14:textId="77777777" w:rsidR="00452E09" w:rsidRPr="00AB1CDB" w:rsidRDefault="00452E09" w:rsidP="00452E09">
            <w:pPr>
              <w:ind w:right="62"/>
              <w:jc w:val="both"/>
              <w:rPr>
                <w:rFonts w:eastAsia="Calibri"/>
                <w:sz w:val="20"/>
                <w:szCs w:val="20"/>
                <w:lang w:eastAsia="en-US"/>
              </w:rPr>
            </w:pPr>
            <w:r w:rsidRPr="00AB1CDB">
              <w:rPr>
                <w:rFonts w:eastAsia="Calibri"/>
                <w:lang w:eastAsia="en-US"/>
              </w:rPr>
              <w:t>Then the cows are maintained walking during 30 minutes in order to let dry the product.</w:t>
            </w:r>
          </w:p>
          <w:p w14:paraId="690890FF" w14:textId="77777777" w:rsidR="00452E09" w:rsidRPr="00AB1CDB" w:rsidRDefault="00452E09" w:rsidP="00452E09">
            <w:pPr>
              <w:ind w:right="62"/>
              <w:jc w:val="both"/>
              <w:rPr>
                <w:sz w:val="20"/>
                <w:szCs w:val="20"/>
                <w:lang w:eastAsia="en-US"/>
              </w:rPr>
            </w:pPr>
          </w:p>
          <w:p w14:paraId="08AF8246" w14:textId="77777777" w:rsidR="00452E09" w:rsidRPr="00AB1CDB" w:rsidRDefault="00452E09" w:rsidP="00452E09">
            <w:pPr>
              <w:numPr>
                <w:ilvl w:val="0"/>
                <w:numId w:val="13"/>
              </w:numPr>
              <w:ind w:right="62"/>
              <w:jc w:val="both"/>
              <w:rPr>
                <w:rFonts w:eastAsia="Calibri"/>
                <w:b/>
                <w:sz w:val="20"/>
                <w:szCs w:val="20"/>
                <w:lang w:eastAsia="en-US"/>
              </w:rPr>
            </w:pPr>
            <w:r w:rsidRPr="00AB1CDB">
              <w:rPr>
                <w:rFonts w:eastAsia="Calibri"/>
                <w:b/>
                <w:lang w:eastAsia="en-US"/>
              </w:rPr>
              <w:t xml:space="preserve">Task 1.3: Before, the next milking the teats are wiped. </w:t>
            </w:r>
          </w:p>
          <w:p w14:paraId="50255FAA" w14:textId="77777777" w:rsidR="00452E09" w:rsidRPr="00AB1CDB" w:rsidRDefault="00452E09" w:rsidP="00452E09">
            <w:pPr>
              <w:ind w:right="62"/>
              <w:jc w:val="both"/>
              <w:rPr>
                <w:sz w:val="20"/>
                <w:szCs w:val="20"/>
                <w:lang w:eastAsia="en-US"/>
              </w:rPr>
            </w:pPr>
          </w:p>
          <w:p w14:paraId="30EE93B8" w14:textId="68B53F4D" w:rsidR="00452E09" w:rsidRPr="00452E09" w:rsidRDefault="00452E09" w:rsidP="00D16495">
            <w:pPr>
              <w:ind w:right="62"/>
              <w:jc w:val="both"/>
              <w:rPr>
                <w:lang w:val="en-US"/>
              </w:rPr>
            </w:pPr>
            <w:r w:rsidRPr="00AB1CDB">
              <w:rPr>
                <w:rFonts w:eastAsia="Calibri"/>
                <w:lang w:eastAsia="en-US"/>
              </w:rPr>
              <w:t xml:space="preserve">According to the HeadHoc recommendation 13, the exposure is considered limited and no exposure calculation is required. </w:t>
            </w:r>
          </w:p>
        </w:tc>
      </w:tr>
    </w:tbl>
    <w:p w14:paraId="304719D2" w14:textId="77777777" w:rsidR="00452E09" w:rsidRPr="00452E09" w:rsidRDefault="00452E09" w:rsidP="00452E09">
      <w:pPr>
        <w:spacing w:line="260" w:lineRule="atLeast"/>
        <w:rPr>
          <w:rFonts w:ascii="Times New Roman" w:eastAsia="Calibri" w:hAnsi="Times New Roman" w:cs="Times New Roman"/>
          <w:i/>
          <w:iCs/>
          <w:shd w:val="clear" w:color="auto" w:fill="00FFFF"/>
          <w:lang w:eastAsia="en-US"/>
        </w:rPr>
      </w:pPr>
    </w:p>
    <w:tbl>
      <w:tblPr>
        <w:tblStyle w:val="TableGrid0"/>
        <w:tblW w:w="9196" w:type="dxa"/>
        <w:tblInd w:w="-8" w:type="dxa"/>
        <w:tblCellMar>
          <w:top w:w="84" w:type="dxa"/>
          <w:left w:w="67" w:type="dxa"/>
          <w:right w:w="6" w:type="dxa"/>
        </w:tblCellMar>
        <w:tblLook w:val="04A0" w:firstRow="1" w:lastRow="0" w:firstColumn="1" w:lastColumn="0" w:noHBand="0" w:noVBand="1"/>
      </w:tblPr>
      <w:tblGrid>
        <w:gridCol w:w="2077"/>
        <w:gridCol w:w="2595"/>
        <w:gridCol w:w="1985"/>
        <w:gridCol w:w="2539"/>
      </w:tblGrid>
      <w:tr w:rsidR="00452E09" w:rsidRPr="00D16495" w14:paraId="19D037F9" w14:textId="77777777" w:rsidTr="00AB1CDB">
        <w:trPr>
          <w:trHeight w:val="325"/>
        </w:trPr>
        <w:tc>
          <w:tcPr>
            <w:tcW w:w="9196" w:type="dxa"/>
            <w:gridSpan w:val="4"/>
            <w:tcBorders>
              <w:top w:val="single" w:sz="6" w:space="0" w:color="000000"/>
              <w:left w:val="single" w:sz="6" w:space="0" w:color="000000"/>
              <w:bottom w:val="single" w:sz="23" w:space="0" w:color="D9D9D9"/>
              <w:right w:val="single" w:sz="6" w:space="0" w:color="000000"/>
            </w:tcBorders>
            <w:shd w:val="clear" w:color="auto" w:fill="FFFFCC"/>
          </w:tcPr>
          <w:p w14:paraId="32B661BC" w14:textId="77777777" w:rsidR="00452E09" w:rsidRPr="00AB1CDB" w:rsidRDefault="00452E09" w:rsidP="00452E09">
            <w:pPr>
              <w:ind w:left="1"/>
              <w:rPr>
                <w:sz w:val="20"/>
                <w:lang w:val="en-US"/>
              </w:rPr>
            </w:pPr>
            <w:r w:rsidRPr="00AB1CDB">
              <w:rPr>
                <w:b/>
                <w:sz w:val="20"/>
                <w:lang w:val="en-US"/>
              </w:rPr>
              <w:t xml:space="preserve">Input parameters for Scenario [1] </w:t>
            </w:r>
          </w:p>
        </w:tc>
      </w:tr>
      <w:tr w:rsidR="00452E09" w:rsidRPr="00D16495" w14:paraId="730B78A5" w14:textId="77777777" w:rsidTr="00AB1CDB">
        <w:trPr>
          <w:trHeight w:val="325"/>
        </w:trPr>
        <w:tc>
          <w:tcPr>
            <w:tcW w:w="9196" w:type="dxa"/>
            <w:gridSpan w:val="4"/>
            <w:tcBorders>
              <w:top w:val="single" w:sz="23" w:space="0" w:color="D9D9D9"/>
              <w:left w:val="single" w:sz="6" w:space="0" w:color="000000"/>
              <w:bottom w:val="single" w:sz="6" w:space="0" w:color="000000"/>
              <w:right w:val="single" w:sz="6" w:space="0" w:color="000000"/>
            </w:tcBorders>
            <w:shd w:val="clear" w:color="auto" w:fill="D9D9D9"/>
          </w:tcPr>
          <w:p w14:paraId="64001AA8" w14:textId="77777777" w:rsidR="00452E09" w:rsidRPr="00AB1CDB" w:rsidRDefault="00452E09" w:rsidP="00452E09">
            <w:pPr>
              <w:ind w:left="1"/>
              <w:jc w:val="both"/>
              <w:rPr>
                <w:sz w:val="20"/>
                <w:lang w:val="en-US"/>
              </w:rPr>
            </w:pPr>
            <w:r w:rsidRPr="00AB1CDB">
              <w:rPr>
                <w:i/>
                <w:sz w:val="20"/>
                <w:lang w:val="en-US"/>
              </w:rPr>
              <w:t>Task 1.1, dermal exposure</w:t>
            </w:r>
          </w:p>
        </w:tc>
      </w:tr>
      <w:tr w:rsidR="00452E09" w:rsidRPr="00D16495" w14:paraId="4F649CEE" w14:textId="77777777" w:rsidTr="00AB1CDB">
        <w:trPr>
          <w:trHeight w:val="590"/>
        </w:trPr>
        <w:tc>
          <w:tcPr>
            <w:tcW w:w="2077" w:type="dxa"/>
            <w:tcBorders>
              <w:top w:val="single" w:sz="6" w:space="0" w:color="000000"/>
              <w:left w:val="single" w:sz="6" w:space="0" w:color="000000"/>
              <w:bottom w:val="single" w:sz="6" w:space="0" w:color="000000"/>
              <w:right w:val="single" w:sz="6" w:space="0" w:color="000000"/>
            </w:tcBorders>
          </w:tcPr>
          <w:p w14:paraId="1A203513" w14:textId="77777777" w:rsidR="00452E09" w:rsidRPr="00AB1CDB" w:rsidRDefault="00452E09" w:rsidP="00452E09">
            <w:pPr>
              <w:ind w:left="1"/>
              <w:rPr>
                <w:sz w:val="20"/>
                <w:lang w:val="en-US"/>
              </w:rPr>
            </w:pPr>
            <w:r w:rsidRPr="00AB1CDB">
              <w:rPr>
                <w:sz w:val="20"/>
                <w:lang w:val="en-US"/>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60A0D95D" w14:textId="77777777" w:rsidR="00452E09" w:rsidRPr="00AB1CDB" w:rsidRDefault="00452E09" w:rsidP="00452E09">
            <w:pPr>
              <w:rPr>
                <w:sz w:val="20"/>
              </w:rPr>
            </w:pPr>
            <w:r w:rsidRPr="00AB1CDB">
              <w:rPr>
                <w:sz w:val="20"/>
              </w:rPr>
              <w:t>Parameters</w:t>
            </w:r>
            <w:r w:rsidRPr="00AB1CDB">
              <w:rPr>
                <w:sz w:val="20"/>
                <w:vertAlign w:val="superscript"/>
              </w:rPr>
              <w:t>1</w:t>
            </w:r>
            <w:r w:rsidRPr="00AB1CDB">
              <w:rPr>
                <w:sz w:val="20"/>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15BFBF39" w14:textId="77777777" w:rsidR="00452E09" w:rsidRPr="00AB1CDB" w:rsidRDefault="00452E09" w:rsidP="00452E09">
            <w:pPr>
              <w:rPr>
                <w:sz w:val="20"/>
              </w:rPr>
            </w:pPr>
            <w:r w:rsidRPr="00AB1CDB">
              <w:rPr>
                <w:sz w:val="20"/>
              </w:rPr>
              <w:t xml:space="preserve">Value </w:t>
            </w:r>
          </w:p>
        </w:tc>
        <w:tc>
          <w:tcPr>
            <w:tcW w:w="2539" w:type="dxa"/>
            <w:tcBorders>
              <w:top w:val="single" w:sz="6" w:space="0" w:color="000000"/>
              <w:left w:val="single" w:sz="6" w:space="0" w:color="000000"/>
              <w:bottom w:val="single" w:sz="6" w:space="0" w:color="000000"/>
              <w:right w:val="single" w:sz="6" w:space="0" w:color="000000"/>
            </w:tcBorders>
          </w:tcPr>
          <w:p w14:paraId="78179989" w14:textId="77777777" w:rsidR="00452E09" w:rsidRPr="00AB1CDB" w:rsidRDefault="00452E09" w:rsidP="00452E09">
            <w:pPr>
              <w:rPr>
                <w:sz w:val="20"/>
              </w:rPr>
            </w:pPr>
            <w:r w:rsidRPr="00AB1CDB">
              <w:rPr>
                <w:sz w:val="20"/>
              </w:rPr>
              <w:t xml:space="preserve">Reference and </w:t>
            </w:r>
          </w:p>
          <w:p w14:paraId="3C6A26F0" w14:textId="77777777" w:rsidR="00452E09" w:rsidRPr="00AB1CDB" w:rsidRDefault="00452E09" w:rsidP="00452E09">
            <w:pPr>
              <w:rPr>
                <w:sz w:val="20"/>
              </w:rPr>
            </w:pPr>
            <w:r w:rsidRPr="00AB1CDB">
              <w:rPr>
                <w:sz w:val="20"/>
              </w:rPr>
              <w:t>justification</w:t>
            </w:r>
            <w:r w:rsidRPr="00AB1CDB">
              <w:rPr>
                <w:sz w:val="20"/>
                <w:vertAlign w:val="superscript"/>
              </w:rPr>
              <w:t xml:space="preserve">3 </w:t>
            </w:r>
          </w:p>
        </w:tc>
      </w:tr>
    </w:tbl>
    <w:tbl>
      <w:tblPr>
        <w:tblW w:w="9196" w:type="dxa"/>
        <w:tblInd w:w="-8" w:type="dxa"/>
        <w:tblCellMar>
          <w:top w:w="84" w:type="dxa"/>
          <w:left w:w="67" w:type="dxa"/>
          <w:right w:w="6" w:type="dxa"/>
        </w:tblCellMar>
        <w:tblLook w:val="04A0" w:firstRow="1" w:lastRow="0" w:firstColumn="1" w:lastColumn="0" w:noHBand="0" w:noVBand="1"/>
      </w:tblPr>
      <w:tblGrid>
        <w:gridCol w:w="2077"/>
        <w:gridCol w:w="2595"/>
        <w:gridCol w:w="1985"/>
        <w:gridCol w:w="2539"/>
      </w:tblGrid>
      <w:tr w:rsidR="00452E09" w:rsidRPr="00D16495" w14:paraId="3AC68D7D" w14:textId="77777777" w:rsidTr="00AB1CDB">
        <w:trPr>
          <w:trHeight w:val="348"/>
        </w:trPr>
        <w:tc>
          <w:tcPr>
            <w:tcW w:w="2077" w:type="dxa"/>
            <w:vMerge w:val="restart"/>
            <w:tcBorders>
              <w:top w:val="single" w:sz="6" w:space="0" w:color="000000"/>
              <w:left w:val="single" w:sz="6" w:space="0" w:color="000000"/>
              <w:right w:val="single" w:sz="6" w:space="0" w:color="000000"/>
            </w:tcBorders>
          </w:tcPr>
          <w:p w14:paraId="61E524D6" w14:textId="77777777" w:rsidR="00452E09" w:rsidRPr="00D16495" w:rsidRDefault="00452E09" w:rsidP="00452E09">
            <w:pPr>
              <w:ind w:left="1"/>
            </w:pPr>
            <w:r w:rsidRPr="00AB1CDB">
              <w:t xml:space="preserve">Tier 1 (no PPE) </w:t>
            </w:r>
          </w:p>
        </w:tc>
        <w:tc>
          <w:tcPr>
            <w:tcW w:w="2595" w:type="dxa"/>
            <w:tcBorders>
              <w:top w:val="single" w:sz="6" w:space="0" w:color="000000"/>
              <w:left w:val="single" w:sz="6" w:space="0" w:color="000000"/>
              <w:bottom w:val="single" w:sz="4" w:space="0" w:color="auto"/>
              <w:right w:val="single" w:sz="6" w:space="0" w:color="000000"/>
            </w:tcBorders>
          </w:tcPr>
          <w:p w14:paraId="2EC2FF6F" w14:textId="77777777" w:rsidR="00452E09" w:rsidRPr="00D16495" w:rsidRDefault="00452E09" w:rsidP="00452E09">
            <w:r w:rsidRPr="00AB1CDB">
              <w:t xml:space="preserve"> Dermal expsoure</w:t>
            </w:r>
          </w:p>
        </w:tc>
        <w:tc>
          <w:tcPr>
            <w:tcW w:w="1985" w:type="dxa"/>
            <w:tcBorders>
              <w:top w:val="single" w:sz="6" w:space="0" w:color="000000"/>
              <w:left w:val="single" w:sz="6" w:space="0" w:color="000000"/>
              <w:bottom w:val="single" w:sz="4" w:space="0" w:color="auto"/>
              <w:right w:val="single" w:sz="6" w:space="0" w:color="000000"/>
            </w:tcBorders>
          </w:tcPr>
          <w:p w14:paraId="09CE0910" w14:textId="77777777" w:rsidR="00452E09" w:rsidRPr="00AB1CDB" w:rsidRDefault="00452E09" w:rsidP="00452E09">
            <w:r w:rsidRPr="00AB1CDB">
              <w:t xml:space="preserve"> 0.2 ml /day</w:t>
            </w:r>
          </w:p>
          <w:p w14:paraId="403E6615" w14:textId="77777777" w:rsidR="00452E09" w:rsidRPr="00AB1CDB" w:rsidRDefault="00452E09" w:rsidP="00452E09"/>
          <w:p w14:paraId="34DF011B" w14:textId="77777777" w:rsidR="00452E09" w:rsidRPr="00AB1CDB" w:rsidRDefault="00452E09" w:rsidP="00452E09"/>
        </w:tc>
        <w:tc>
          <w:tcPr>
            <w:tcW w:w="2539" w:type="dxa"/>
            <w:tcBorders>
              <w:top w:val="single" w:sz="6" w:space="0" w:color="000000"/>
              <w:left w:val="single" w:sz="6" w:space="0" w:color="000000"/>
              <w:bottom w:val="single" w:sz="4" w:space="0" w:color="auto"/>
              <w:right w:val="single" w:sz="6" w:space="0" w:color="000000"/>
            </w:tcBorders>
          </w:tcPr>
          <w:p w14:paraId="6A3A3B9A" w14:textId="77777777" w:rsidR="00452E09" w:rsidRPr="00AB1CDB" w:rsidRDefault="00452E09" w:rsidP="00452E09">
            <w:r w:rsidRPr="00AB1CDB">
              <w:t xml:space="preserve">Mixing and loading model 4 </w:t>
            </w:r>
          </w:p>
          <w:p w14:paraId="570D7822" w14:textId="77777777" w:rsidR="00452E09" w:rsidRPr="00AB1CDB" w:rsidRDefault="00452E09" w:rsidP="00452E09">
            <w:r w:rsidRPr="00AB1CDB">
              <w:t>1.312 l are handled per day. Therefore the value considering the handling of 5 L is used. The model covers all relevant mixing and loading tasks performed by a worker on an 8-h working day.</w:t>
            </w:r>
          </w:p>
        </w:tc>
      </w:tr>
      <w:tr w:rsidR="00452E09" w:rsidRPr="00D16495" w14:paraId="52CDCA24" w14:textId="77777777" w:rsidTr="00AB1CDB">
        <w:trPr>
          <w:trHeight w:val="348"/>
        </w:trPr>
        <w:tc>
          <w:tcPr>
            <w:tcW w:w="0" w:type="auto"/>
            <w:vMerge/>
            <w:tcBorders>
              <w:left w:val="single" w:sz="6" w:space="0" w:color="000000"/>
              <w:right w:val="single" w:sz="6" w:space="0" w:color="000000"/>
            </w:tcBorders>
          </w:tcPr>
          <w:p w14:paraId="6E2EC5C8" w14:textId="77777777" w:rsidR="00452E09" w:rsidRPr="00D16495" w:rsidRDefault="00452E09" w:rsidP="00452E09"/>
        </w:tc>
        <w:tc>
          <w:tcPr>
            <w:tcW w:w="2595" w:type="dxa"/>
            <w:tcBorders>
              <w:top w:val="single" w:sz="4" w:space="0" w:color="auto"/>
              <w:left w:val="single" w:sz="6" w:space="0" w:color="000000"/>
              <w:bottom w:val="single" w:sz="4" w:space="0" w:color="auto"/>
              <w:right w:val="single" w:sz="4" w:space="0" w:color="auto"/>
            </w:tcBorders>
            <w:shd w:val="clear" w:color="auto" w:fill="auto"/>
          </w:tcPr>
          <w:p w14:paraId="13666D8A" w14:textId="77777777" w:rsidR="00452E09" w:rsidRPr="00AB1CDB" w:rsidRDefault="00452E09" w:rsidP="00452E09">
            <w:r w:rsidRPr="00AB1CDB">
              <w:t>Weight fraction compound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84FF8D" w14:textId="77777777" w:rsidR="00452E09" w:rsidRPr="00AB1CDB" w:rsidRDefault="00452E09" w:rsidP="00452E09">
            <w:r w:rsidRPr="00AB1CDB">
              <w:t>0.222%</w:t>
            </w:r>
          </w:p>
        </w:tc>
        <w:tc>
          <w:tcPr>
            <w:tcW w:w="2539" w:type="dxa"/>
            <w:tcBorders>
              <w:top w:val="single" w:sz="4" w:space="0" w:color="auto"/>
              <w:left w:val="single" w:sz="4" w:space="0" w:color="auto"/>
              <w:bottom w:val="single" w:sz="4" w:space="0" w:color="auto"/>
              <w:right w:val="single" w:sz="4" w:space="0" w:color="auto"/>
            </w:tcBorders>
          </w:tcPr>
          <w:p w14:paraId="184CBBD0" w14:textId="77777777" w:rsidR="00452E09" w:rsidRPr="00AB1CDB" w:rsidRDefault="00452E09" w:rsidP="00452E09">
            <w:r w:rsidRPr="00AB1CDB">
              <w:t>Applicant data</w:t>
            </w:r>
          </w:p>
        </w:tc>
      </w:tr>
      <w:tr w:rsidR="00452E09" w:rsidRPr="00D16495" w14:paraId="09397522" w14:textId="77777777" w:rsidTr="00AB1CDB">
        <w:trPr>
          <w:trHeight w:val="348"/>
        </w:trPr>
        <w:tc>
          <w:tcPr>
            <w:tcW w:w="0" w:type="auto"/>
            <w:vMerge/>
            <w:tcBorders>
              <w:left w:val="single" w:sz="6" w:space="0" w:color="000000"/>
              <w:right w:val="single" w:sz="6" w:space="0" w:color="000000"/>
            </w:tcBorders>
          </w:tcPr>
          <w:p w14:paraId="3BD0AE08" w14:textId="77777777" w:rsidR="00452E09" w:rsidRPr="00D16495" w:rsidRDefault="00452E09" w:rsidP="00452E09"/>
        </w:tc>
        <w:tc>
          <w:tcPr>
            <w:tcW w:w="2595" w:type="dxa"/>
            <w:tcBorders>
              <w:top w:val="single" w:sz="4" w:space="0" w:color="auto"/>
              <w:left w:val="single" w:sz="6" w:space="0" w:color="000000"/>
              <w:bottom w:val="single" w:sz="4" w:space="0" w:color="auto"/>
              <w:right w:val="single" w:sz="6" w:space="0" w:color="000000"/>
            </w:tcBorders>
          </w:tcPr>
          <w:p w14:paraId="4FB13269" w14:textId="77777777" w:rsidR="00452E09" w:rsidRPr="00D16495" w:rsidRDefault="00452E09" w:rsidP="00452E09">
            <w:r w:rsidRPr="00AB1CDB">
              <w:t>Density of algofilm product</w:t>
            </w:r>
          </w:p>
        </w:tc>
        <w:tc>
          <w:tcPr>
            <w:tcW w:w="1985" w:type="dxa"/>
            <w:tcBorders>
              <w:top w:val="single" w:sz="4" w:space="0" w:color="auto"/>
              <w:left w:val="single" w:sz="6" w:space="0" w:color="000000"/>
              <w:bottom w:val="single" w:sz="4" w:space="0" w:color="auto"/>
              <w:right w:val="single" w:sz="6" w:space="0" w:color="000000"/>
            </w:tcBorders>
          </w:tcPr>
          <w:p w14:paraId="5BE7C740" w14:textId="77777777" w:rsidR="00452E09" w:rsidRPr="00D16495" w:rsidRDefault="00452E09" w:rsidP="00452E09">
            <w:r w:rsidRPr="00AB1CDB">
              <w:t xml:space="preserve"> 1.013 g/ml</w:t>
            </w:r>
          </w:p>
        </w:tc>
        <w:tc>
          <w:tcPr>
            <w:tcW w:w="2539" w:type="dxa"/>
            <w:tcBorders>
              <w:top w:val="single" w:sz="4" w:space="0" w:color="auto"/>
              <w:left w:val="single" w:sz="6" w:space="0" w:color="000000"/>
              <w:bottom w:val="single" w:sz="4" w:space="0" w:color="auto"/>
              <w:right w:val="single" w:sz="6" w:space="0" w:color="000000"/>
            </w:tcBorders>
          </w:tcPr>
          <w:p w14:paraId="65D3CBAC" w14:textId="77777777" w:rsidR="00452E09" w:rsidRPr="00D16495" w:rsidRDefault="00452E09" w:rsidP="00452E09">
            <w:r w:rsidRPr="00AB1CDB">
              <w:t xml:space="preserve"> Applicant data</w:t>
            </w:r>
          </w:p>
        </w:tc>
      </w:tr>
      <w:tr w:rsidR="00452E09" w:rsidRPr="00D16495" w14:paraId="3322369F" w14:textId="77777777" w:rsidTr="00AB1CDB">
        <w:trPr>
          <w:trHeight w:val="348"/>
        </w:trPr>
        <w:tc>
          <w:tcPr>
            <w:tcW w:w="0" w:type="auto"/>
            <w:vMerge/>
            <w:tcBorders>
              <w:left w:val="single" w:sz="6" w:space="0" w:color="000000"/>
              <w:right w:val="single" w:sz="6" w:space="0" w:color="000000"/>
            </w:tcBorders>
          </w:tcPr>
          <w:p w14:paraId="7C4F3F30" w14:textId="77777777" w:rsidR="00452E09" w:rsidRPr="00D16495" w:rsidRDefault="00452E09" w:rsidP="00452E09"/>
        </w:tc>
        <w:tc>
          <w:tcPr>
            <w:tcW w:w="2595" w:type="dxa"/>
            <w:tcBorders>
              <w:top w:val="single" w:sz="4" w:space="0" w:color="auto"/>
              <w:left w:val="single" w:sz="6" w:space="0" w:color="000000"/>
              <w:bottom w:val="single" w:sz="4" w:space="0" w:color="auto"/>
              <w:right w:val="single" w:sz="4" w:space="0" w:color="auto"/>
            </w:tcBorders>
            <w:shd w:val="clear" w:color="auto" w:fill="auto"/>
          </w:tcPr>
          <w:p w14:paraId="07380A3B" w14:textId="77777777" w:rsidR="00452E09" w:rsidRPr="00AB1CDB" w:rsidRDefault="00452E09" w:rsidP="00452E09">
            <w:r w:rsidRPr="00AB1CDB">
              <w:t>Body weight (kg)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ED1B3B" w14:textId="77777777" w:rsidR="00452E09" w:rsidRPr="00AB1CDB" w:rsidRDefault="00452E09" w:rsidP="00452E09">
            <w:r w:rsidRPr="00AB1CDB">
              <w:t>60</w:t>
            </w:r>
          </w:p>
        </w:tc>
        <w:tc>
          <w:tcPr>
            <w:tcW w:w="2539" w:type="dxa"/>
            <w:tcBorders>
              <w:top w:val="single" w:sz="4" w:space="0" w:color="auto"/>
              <w:left w:val="single" w:sz="4" w:space="0" w:color="auto"/>
              <w:bottom w:val="single" w:sz="4" w:space="0" w:color="auto"/>
              <w:right w:val="single" w:sz="4" w:space="0" w:color="auto"/>
            </w:tcBorders>
          </w:tcPr>
          <w:p w14:paraId="223A56D7" w14:textId="77777777" w:rsidR="00452E09" w:rsidRPr="00AB1CDB" w:rsidRDefault="00452E09" w:rsidP="00452E09">
            <w:r w:rsidRPr="00AB1CDB">
              <w:t>Ad hoc recommendation 14</w:t>
            </w:r>
          </w:p>
        </w:tc>
      </w:tr>
      <w:tr w:rsidR="00452E09" w:rsidRPr="00D16495" w14:paraId="184D59AB" w14:textId="77777777" w:rsidTr="00AB1CDB">
        <w:trPr>
          <w:trHeight w:val="348"/>
        </w:trPr>
        <w:tc>
          <w:tcPr>
            <w:tcW w:w="0" w:type="auto"/>
            <w:vMerge/>
            <w:tcBorders>
              <w:left w:val="single" w:sz="6" w:space="0" w:color="000000"/>
              <w:right w:val="single" w:sz="6" w:space="0" w:color="000000"/>
            </w:tcBorders>
          </w:tcPr>
          <w:p w14:paraId="4296344C" w14:textId="77777777" w:rsidR="00452E09" w:rsidRPr="00D16495" w:rsidRDefault="00452E09" w:rsidP="00452E09"/>
        </w:tc>
        <w:tc>
          <w:tcPr>
            <w:tcW w:w="2595" w:type="dxa"/>
            <w:tcBorders>
              <w:top w:val="single" w:sz="4" w:space="0" w:color="auto"/>
              <w:left w:val="single" w:sz="6" w:space="0" w:color="000000"/>
              <w:bottom w:val="single" w:sz="4" w:space="0" w:color="auto"/>
              <w:right w:val="single" w:sz="4" w:space="0" w:color="auto"/>
            </w:tcBorders>
            <w:shd w:val="clear" w:color="auto" w:fill="auto"/>
          </w:tcPr>
          <w:p w14:paraId="17612CD7" w14:textId="77777777" w:rsidR="00452E09" w:rsidRPr="00AB1CDB" w:rsidRDefault="00452E09" w:rsidP="00452E09">
            <w:r w:rsidRPr="00AB1CDB">
              <w:t>Dermal absorption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01F6CC" w14:textId="77777777" w:rsidR="00452E09" w:rsidRPr="00AB1CDB" w:rsidRDefault="00452E09" w:rsidP="00452E09">
            <w:r w:rsidRPr="00AB1CDB">
              <w:t>50%</w:t>
            </w:r>
          </w:p>
        </w:tc>
        <w:tc>
          <w:tcPr>
            <w:tcW w:w="2539" w:type="dxa"/>
            <w:tcBorders>
              <w:top w:val="single" w:sz="4" w:space="0" w:color="auto"/>
              <w:left w:val="single" w:sz="4" w:space="0" w:color="auto"/>
              <w:bottom w:val="single" w:sz="4" w:space="0" w:color="auto"/>
              <w:right w:val="single" w:sz="4" w:space="0" w:color="auto"/>
            </w:tcBorders>
          </w:tcPr>
          <w:p w14:paraId="1465968D" w14:textId="77777777" w:rsidR="00452E09" w:rsidRPr="00AB1CDB" w:rsidRDefault="00452E09" w:rsidP="00452E09">
            <w:r w:rsidRPr="00AB1CDB">
              <w:t>Default value</w:t>
            </w:r>
          </w:p>
        </w:tc>
      </w:tr>
      <w:tr w:rsidR="00452E09" w:rsidRPr="00D16495" w14:paraId="1B7D4705" w14:textId="77777777" w:rsidTr="00AB1CDB">
        <w:trPr>
          <w:trHeight w:val="348"/>
        </w:trPr>
        <w:tc>
          <w:tcPr>
            <w:tcW w:w="0" w:type="auto"/>
            <w:vMerge/>
            <w:tcBorders>
              <w:left w:val="single" w:sz="6" w:space="0" w:color="000000"/>
              <w:bottom w:val="single" w:sz="6" w:space="0" w:color="000000"/>
              <w:right w:val="single" w:sz="6" w:space="0" w:color="000000"/>
            </w:tcBorders>
          </w:tcPr>
          <w:p w14:paraId="6A75C2AB" w14:textId="77777777" w:rsidR="00452E09" w:rsidRPr="00D16495" w:rsidRDefault="00452E09" w:rsidP="00452E09"/>
        </w:tc>
        <w:tc>
          <w:tcPr>
            <w:tcW w:w="2595" w:type="dxa"/>
            <w:tcBorders>
              <w:top w:val="single" w:sz="4" w:space="0" w:color="auto"/>
              <w:left w:val="single" w:sz="6" w:space="0" w:color="000000"/>
              <w:bottom w:val="single" w:sz="6" w:space="0" w:color="000000"/>
              <w:right w:val="single" w:sz="6" w:space="0" w:color="000000"/>
            </w:tcBorders>
          </w:tcPr>
          <w:p w14:paraId="42BA1A40" w14:textId="77777777" w:rsidR="00452E09" w:rsidRPr="00AB1CDB" w:rsidRDefault="00452E09" w:rsidP="00452E09">
            <w:r w:rsidRPr="00AB1CDB">
              <w:t>Penetration factor PPE</w:t>
            </w:r>
          </w:p>
        </w:tc>
        <w:tc>
          <w:tcPr>
            <w:tcW w:w="1985" w:type="dxa"/>
            <w:tcBorders>
              <w:top w:val="single" w:sz="4" w:space="0" w:color="auto"/>
              <w:left w:val="single" w:sz="6" w:space="0" w:color="000000"/>
              <w:bottom w:val="single" w:sz="6" w:space="0" w:color="000000"/>
              <w:right w:val="single" w:sz="6" w:space="0" w:color="000000"/>
            </w:tcBorders>
          </w:tcPr>
          <w:p w14:paraId="788DD3F3" w14:textId="77777777" w:rsidR="00452E09" w:rsidRPr="00AB1CDB" w:rsidRDefault="00452E09" w:rsidP="00452E09">
            <w:r w:rsidRPr="00AB1CDB">
              <w:t>100%</w:t>
            </w:r>
          </w:p>
        </w:tc>
        <w:tc>
          <w:tcPr>
            <w:tcW w:w="2539" w:type="dxa"/>
            <w:tcBorders>
              <w:top w:val="single" w:sz="4" w:space="0" w:color="auto"/>
              <w:left w:val="single" w:sz="6" w:space="0" w:color="000000"/>
              <w:bottom w:val="single" w:sz="6" w:space="0" w:color="000000"/>
              <w:right w:val="single" w:sz="6" w:space="0" w:color="000000"/>
            </w:tcBorders>
          </w:tcPr>
          <w:p w14:paraId="74091526" w14:textId="77777777" w:rsidR="00452E09" w:rsidRPr="00AB1CDB" w:rsidRDefault="00452E09" w:rsidP="00452E09">
            <w:r w:rsidRPr="00AB1CDB">
              <w:t>No PPE</w:t>
            </w:r>
          </w:p>
        </w:tc>
      </w:tr>
    </w:tbl>
    <w:tbl>
      <w:tblPr>
        <w:tblStyle w:val="TableGrid0"/>
        <w:tblW w:w="9196" w:type="dxa"/>
        <w:tblInd w:w="-8" w:type="dxa"/>
        <w:tblCellMar>
          <w:top w:w="84" w:type="dxa"/>
          <w:left w:w="67" w:type="dxa"/>
          <w:right w:w="6" w:type="dxa"/>
        </w:tblCellMar>
        <w:tblLook w:val="04A0" w:firstRow="1" w:lastRow="0" w:firstColumn="1" w:lastColumn="0" w:noHBand="0" w:noVBand="1"/>
      </w:tblPr>
      <w:tblGrid>
        <w:gridCol w:w="9196"/>
      </w:tblGrid>
      <w:tr w:rsidR="00452E09" w:rsidRPr="00D16495" w14:paraId="7E01E4CE" w14:textId="77777777" w:rsidTr="00AB1CDB">
        <w:trPr>
          <w:trHeight w:val="301"/>
        </w:trPr>
        <w:tc>
          <w:tcPr>
            <w:tcW w:w="9196" w:type="dxa"/>
            <w:tcBorders>
              <w:top w:val="single" w:sz="4" w:space="0" w:color="auto"/>
              <w:left w:val="single" w:sz="4" w:space="0" w:color="auto"/>
              <w:bottom w:val="single" w:sz="4" w:space="0" w:color="auto"/>
              <w:right w:val="single" w:sz="4" w:space="0" w:color="auto"/>
            </w:tcBorders>
            <w:shd w:val="clear" w:color="auto" w:fill="D9D9D9"/>
          </w:tcPr>
          <w:p w14:paraId="301A5A2B" w14:textId="63A706F6" w:rsidR="00452E09" w:rsidRPr="00AB1CDB" w:rsidRDefault="00452E09" w:rsidP="00E84F90">
            <w:pPr>
              <w:ind w:left="1"/>
              <w:jc w:val="both"/>
              <w:rPr>
                <w:sz w:val="20"/>
                <w:lang w:val="en-US"/>
              </w:rPr>
            </w:pPr>
            <w:r w:rsidRPr="00AB1CDB">
              <w:rPr>
                <w:i/>
                <w:sz w:val="20"/>
                <w:lang w:val="en-US"/>
              </w:rPr>
              <w:t>Task 1.2, no direct dermal contact and inhalation are foreseen. Exposure of task 1 covers task 2</w:t>
            </w:r>
          </w:p>
        </w:tc>
      </w:tr>
      <w:tr w:rsidR="00452E09" w:rsidRPr="00D16495" w14:paraId="6E109691" w14:textId="77777777" w:rsidTr="00AB1CDB">
        <w:trPr>
          <w:trHeight w:val="301"/>
        </w:trPr>
        <w:tc>
          <w:tcPr>
            <w:tcW w:w="9196" w:type="dxa"/>
            <w:tcBorders>
              <w:top w:val="single" w:sz="4" w:space="0" w:color="auto"/>
              <w:left w:val="single" w:sz="4" w:space="0" w:color="auto"/>
              <w:bottom w:val="single" w:sz="4" w:space="0" w:color="auto"/>
              <w:right w:val="single" w:sz="4" w:space="0" w:color="auto"/>
            </w:tcBorders>
            <w:shd w:val="clear" w:color="auto" w:fill="D9D9D9"/>
          </w:tcPr>
          <w:p w14:paraId="29B3B417" w14:textId="77777777" w:rsidR="00452E09" w:rsidRPr="00AB1CDB" w:rsidRDefault="00452E09" w:rsidP="00452E09">
            <w:pPr>
              <w:ind w:left="1"/>
              <w:jc w:val="both"/>
              <w:rPr>
                <w:i/>
                <w:sz w:val="20"/>
                <w:lang w:val="en-US"/>
              </w:rPr>
            </w:pPr>
            <w:r w:rsidRPr="00AB1CDB">
              <w:rPr>
                <w:i/>
                <w:sz w:val="20"/>
                <w:lang w:val="en-US"/>
              </w:rPr>
              <w:t>Task 1.3, exposure is considered limited</w:t>
            </w:r>
          </w:p>
        </w:tc>
      </w:tr>
    </w:tbl>
    <w:p w14:paraId="0D6D2C12" w14:textId="77777777" w:rsidR="00452E09" w:rsidRPr="00452E09" w:rsidRDefault="00452E09" w:rsidP="00452E09">
      <w:pPr>
        <w:rPr>
          <w:rFonts w:eastAsia="Calibri"/>
          <w:lang w:eastAsia="en-US"/>
        </w:rPr>
      </w:pPr>
    </w:p>
    <w:p w14:paraId="30405787" w14:textId="77777777" w:rsidR="00452E09" w:rsidRPr="002A1DCA" w:rsidRDefault="00452E09" w:rsidP="002A1DCA">
      <w:pPr>
        <w:rPr>
          <w:rFonts w:eastAsia="Calibri"/>
          <w:b/>
          <w:u w:val="single"/>
          <w:lang w:eastAsia="en-US"/>
        </w:rPr>
      </w:pPr>
      <w:r w:rsidRPr="002A1DCA">
        <w:rPr>
          <w:rFonts w:eastAsia="Calibri"/>
          <w:b/>
          <w:u w:val="single"/>
          <w:lang w:eastAsia="en-US"/>
        </w:rPr>
        <w:lastRenderedPageBreak/>
        <w:t xml:space="preserve">Outcome of systemic exposure and risk characterisation </w:t>
      </w:r>
    </w:p>
    <w:p w14:paraId="2F6A973B" w14:textId="77777777" w:rsidR="00452E09" w:rsidRPr="00452E09" w:rsidRDefault="00452E09" w:rsidP="00452E09">
      <w:pPr>
        <w:rPr>
          <w:lang w:val="en-US"/>
        </w:rPr>
      </w:pPr>
      <w:r w:rsidRPr="00452E09">
        <w:rPr>
          <w:rFonts w:eastAsia="Verdana"/>
          <w:lang w:val="en-US"/>
        </w:rPr>
        <w:t xml:space="preserve"> </w:t>
      </w:r>
    </w:p>
    <w:p w14:paraId="27388D53" w14:textId="77777777" w:rsidR="00452E09" w:rsidRPr="00452E09" w:rsidRDefault="00452E09" w:rsidP="00452E09">
      <w:pPr>
        <w:spacing w:after="12" w:line="250" w:lineRule="auto"/>
        <w:ind w:left="-5" w:hanging="10"/>
        <w:rPr>
          <w:lang w:val="en-US"/>
        </w:rPr>
      </w:pPr>
      <w:r w:rsidRPr="00452E09">
        <w:rPr>
          <w:rFonts w:eastAsia="Verdana"/>
          <w:b/>
          <w:lang w:val="en-US"/>
        </w:rPr>
        <w:t xml:space="preserve">Summary table: estimated systemic exposure and risk characterisation for professional users </w:t>
      </w:r>
    </w:p>
    <w:tbl>
      <w:tblPr>
        <w:tblStyle w:val="TableGrid0"/>
        <w:tblW w:w="10189" w:type="dxa"/>
        <w:tblInd w:w="9" w:type="dxa"/>
        <w:tblCellMar>
          <w:top w:w="49" w:type="dxa"/>
          <w:left w:w="68" w:type="dxa"/>
          <w:right w:w="15" w:type="dxa"/>
        </w:tblCellMar>
        <w:tblLook w:val="04A0" w:firstRow="1" w:lastRow="0" w:firstColumn="1" w:lastColumn="0" w:noHBand="0" w:noVBand="1"/>
      </w:tblPr>
      <w:tblGrid>
        <w:gridCol w:w="1259"/>
        <w:gridCol w:w="1134"/>
        <w:gridCol w:w="1276"/>
        <w:gridCol w:w="1276"/>
        <w:gridCol w:w="1417"/>
        <w:gridCol w:w="1418"/>
        <w:gridCol w:w="1134"/>
        <w:gridCol w:w="1275"/>
      </w:tblGrid>
      <w:tr w:rsidR="00452E09" w:rsidRPr="00452E09" w14:paraId="6EDE284D" w14:textId="77777777" w:rsidTr="00AB1CDB">
        <w:trPr>
          <w:trHeight w:val="230"/>
        </w:trPr>
        <w:tc>
          <w:tcPr>
            <w:tcW w:w="10189" w:type="dxa"/>
            <w:gridSpan w:val="8"/>
            <w:tcBorders>
              <w:top w:val="single" w:sz="6" w:space="0" w:color="000000"/>
              <w:left w:val="single" w:sz="6" w:space="0" w:color="000000"/>
              <w:bottom w:val="single" w:sz="6" w:space="0" w:color="000000"/>
              <w:right w:val="single" w:sz="6" w:space="0" w:color="000000"/>
            </w:tcBorders>
            <w:shd w:val="clear" w:color="auto" w:fill="FFFFCC"/>
          </w:tcPr>
          <w:p w14:paraId="3F92694B" w14:textId="77777777" w:rsidR="00452E09" w:rsidRPr="00452E09" w:rsidRDefault="00452E09" w:rsidP="00452E09">
            <w:pPr>
              <w:ind w:right="53"/>
              <w:jc w:val="center"/>
              <w:rPr>
                <w:lang w:val="en-US"/>
              </w:rPr>
            </w:pPr>
            <w:r w:rsidRPr="00452E09">
              <w:rPr>
                <w:b/>
                <w:sz w:val="18"/>
                <w:lang w:val="en-US"/>
              </w:rPr>
              <w:t xml:space="preserve">Summary table: estimated systemic exposure and risk characterisation for professional users </w:t>
            </w:r>
          </w:p>
        </w:tc>
      </w:tr>
      <w:tr w:rsidR="00D16495" w:rsidRPr="00452E09" w14:paraId="794CCBB6" w14:textId="77777777" w:rsidTr="00AB1CDB">
        <w:trPr>
          <w:trHeight w:val="1663"/>
        </w:trPr>
        <w:tc>
          <w:tcPr>
            <w:tcW w:w="1259" w:type="dxa"/>
            <w:tcBorders>
              <w:top w:val="single" w:sz="6" w:space="0" w:color="000000"/>
              <w:left w:val="single" w:sz="6" w:space="0" w:color="000000"/>
              <w:bottom w:val="single" w:sz="6" w:space="0" w:color="000000"/>
              <w:right w:val="single" w:sz="6" w:space="0" w:color="000000"/>
            </w:tcBorders>
          </w:tcPr>
          <w:p w14:paraId="5BBD0BCE" w14:textId="77777777" w:rsidR="00452E09" w:rsidRPr="00452E09" w:rsidRDefault="00452E09" w:rsidP="00452E09">
            <w:r w:rsidRPr="00452E09">
              <w:rPr>
                <w:b/>
                <w:sz w:val="18"/>
              </w:rPr>
              <w:t xml:space="preserve">Exposure scenario </w:t>
            </w:r>
          </w:p>
        </w:tc>
        <w:tc>
          <w:tcPr>
            <w:tcW w:w="1134" w:type="dxa"/>
            <w:tcBorders>
              <w:top w:val="single" w:sz="6" w:space="0" w:color="000000"/>
              <w:left w:val="single" w:sz="6" w:space="0" w:color="000000"/>
              <w:bottom w:val="single" w:sz="6" w:space="0" w:color="000000"/>
              <w:right w:val="single" w:sz="6" w:space="0" w:color="000000"/>
            </w:tcBorders>
          </w:tcPr>
          <w:p w14:paraId="7E7AC529" w14:textId="77777777" w:rsidR="00452E09" w:rsidRPr="00452E09" w:rsidRDefault="00452E09" w:rsidP="00452E09">
            <w:pPr>
              <w:ind w:left="2"/>
            </w:pPr>
            <w:r w:rsidRPr="00452E09">
              <w:rPr>
                <w:b/>
                <w:sz w:val="18"/>
              </w:rPr>
              <w:t xml:space="preserve">Tier/PPE </w:t>
            </w:r>
          </w:p>
        </w:tc>
        <w:tc>
          <w:tcPr>
            <w:tcW w:w="1276" w:type="dxa"/>
            <w:tcBorders>
              <w:top w:val="single" w:sz="6" w:space="0" w:color="000000"/>
              <w:left w:val="single" w:sz="6" w:space="0" w:color="000000"/>
              <w:bottom w:val="single" w:sz="6" w:space="0" w:color="000000"/>
              <w:right w:val="single" w:sz="6" w:space="0" w:color="000000"/>
            </w:tcBorders>
          </w:tcPr>
          <w:p w14:paraId="46EAA23E" w14:textId="77777777" w:rsidR="00452E09" w:rsidRPr="00452E09" w:rsidRDefault="00452E09" w:rsidP="00452E09">
            <w:pPr>
              <w:ind w:left="2" w:right="26"/>
              <w:rPr>
                <w:lang w:val="en-US"/>
              </w:rPr>
            </w:pPr>
            <w:r w:rsidRPr="00452E09">
              <w:rPr>
                <w:b/>
                <w:sz w:val="18"/>
                <w:lang w:val="en-US"/>
              </w:rPr>
              <w:t xml:space="preserve">Estimated oral uptake [mg/kg bw/day] </w:t>
            </w:r>
          </w:p>
        </w:tc>
        <w:tc>
          <w:tcPr>
            <w:tcW w:w="1276" w:type="dxa"/>
            <w:tcBorders>
              <w:top w:val="single" w:sz="6" w:space="0" w:color="000000"/>
              <w:left w:val="single" w:sz="6" w:space="0" w:color="000000"/>
              <w:bottom w:val="single" w:sz="6" w:space="0" w:color="000000"/>
              <w:right w:val="single" w:sz="6" w:space="0" w:color="000000"/>
            </w:tcBorders>
          </w:tcPr>
          <w:p w14:paraId="325EF12D" w14:textId="77777777" w:rsidR="00452E09" w:rsidRPr="00452E09" w:rsidRDefault="00452E09" w:rsidP="00452E09">
            <w:pPr>
              <w:ind w:left="2"/>
              <w:rPr>
                <w:lang w:val="en-US"/>
              </w:rPr>
            </w:pPr>
            <w:r w:rsidRPr="00452E09">
              <w:rPr>
                <w:b/>
                <w:sz w:val="18"/>
                <w:lang w:val="en-US"/>
              </w:rPr>
              <w:t xml:space="preserve">Estimated dermal uptake [mg/kg bw/day] </w:t>
            </w:r>
          </w:p>
        </w:tc>
        <w:tc>
          <w:tcPr>
            <w:tcW w:w="1417" w:type="dxa"/>
            <w:tcBorders>
              <w:top w:val="single" w:sz="6" w:space="0" w:color="000000"/>
              <w:left w:val="single" w:sz="6" w:space="0" w:color="000000"/>
              <w:bottom w:val="single" w:sz="6" w:space="0" w:color="000000"/>
              <w:right w:val="single" w:sz="6" w:space="0" w:color="000000"/>
            </w:tcBorders>
          </w:tcPr>
          <w:p w14:paraId="7F571E37" w14:textId="77777777" w:rsidR="00452E09" w:rsidRPr="00452E09" w:rsidRDefault="00452E09" w:rsidP="00452E09">
            <w:pPr>
              <w:ind w:left="2" w:right="28"/>
              <w:rPr>
                <w:lang w:val="en-US"/>
              </w:rPr>
            </w:pPr>
            <w:r w:rsidRPr="00452E09">
              <w:rPr>
                <w:b/>
                <w:sz w:val="18"/>
                <w:lang w:val="en-US"/>
              </w:rPr>
              <w:t xml:space="preserve">Estimated inhalation uptake [mg/kg bw/day] </w:t>
            </w:r>
          </w:p>
        </w:tc>
        <w:tc>
          <w:tcPr>
            <w:tcW w:w="1418" w:type="dxa"/>
            <w:tcBorders>
              <w:top w:val="single" w:sz="6" w:space="0" w:color="000000"/>
              <w:left w:val="single" w:sz="6" w:space="0" w:color="000000"/>
              <w:bottom w:val="single" w:sz="6" w:space="0" w:color="000000"/>
              <w:right w:val="single" w:sz="6" w:space="0" w:color="000000"/>
            </w:tcBorders>
          </w:tcPr>
          <w:p w14:paraId="4C2F2023" w14:textId="77777777" w:rsidR="00452E09" w:rsidRPr="00452E09" w:rsidRDefault="00452E09" w:rsidP="00452E09">
            <w:pPr>
              <w:ind w:left="2" w:right="25"/>
              <w:rPr>
                <w:lang w:val="en-US"/>
              </w:rPr>
            </w:pPr>
            <w:r w:rsidRPr="00452E09">
              <w:rPr>
                <w:b/>
                <w:sz w:val="18"/>
                <w:lang w:val="en-US"/>
              </w:rPr>
              <w:t xml:space="preserve">Estimated total uptake [mg/kg bw/day] </w:t>
            </w:r>
          </w:p>
        </w:tc>
        <w:tc>
          <w:tcPr>
            <w:tcW w:w="1134" w:type="dxa"/>
            <w:tcBorders>
              <w:top w:val="single" w:sz="6" w:space="0" w:color="000000"/>
              <w:left w:val="single" w:sz="6" w:space="0" w:color="000000"/>
              <w:bottom w:val="single" w:sz="6" w:space="0" w:color="000000"/>
              <w:right w:val="single" w:sz="6" w:space="0" w:color="000000"/>
            </w:tcBorders>
          </w:tcPr>
          <w:p w14:paraId="46F0B7CE" w14:textId="77777777" w:rsidR="00452E09" w:rsidRPr="00452E09" w:rsidRDefault="00452E09" w:rsidP="00452E09">
            <w:pPr>
              <w:spacing w:line="239" w:lineRule="auto"/>
              <w:ind w:left="2"/>
              <w:rPr>
                <w:lang w:val="en-US"/>
              </w:rPr>
            </w:pPr>
            <w:r w:rsidRPr="00452E09">
              <w:rPr>
                <w:b/>
                <w:sz w:val="18"/>
                <w:lang w:val="en-US"/>
              </w:rPr>
              <w:t xml:space="preserve">Estimated uptake/ AEL  </w:t>
            </w:r>
          </w:p>
          <w:p w14:paraId="1BC8328E" w14:textId="77777777" w:rsidR="00452E09" w:rsidRPr="00452E09" w:rsidRDefault="00452E09" w:rsidP="00452E09">
            <w:pPr>
              <w:ind w:left="2"/>
              <w:rPr>
                <w:lang w:val="en-US"/>
              </w:rPr>
            </w:pPr>
            <w:r w:rsidRPr="00452E09">
              <w:rPr>
                <w:b/>
                <w:sz w:val="18"/>
                <w:lang w:val="en-US"/>
              </w:rPr>
              <w:t xml:space="preserve">(%) </w:t>
            </w:r>
          </w:p>
          <w:p w14:paraId="6A482775" w14:textId="77777777" w:rsidR="00452E09" w:rsidRPr="00452E09" w:rsidRDefault="00452E09" w:rsidP="00452E09">
            <w:pPr>
              <w:ind w:left="2"/>
              <w:rPr>
                <w:lang w:val="en-US"/>
              </w:rPr>
            </w:pPr>
            <w:r w:rsidRPr="00452E09">
              <w:rPr>
                <w:sz w:val="18"/>
                <w:lang w:val="en-US"/>
              </w:rPr>
              <w:t xml:space="preserve"> </w:t>
            </w:r>
          </w:p>
          <w:p w14:paraId="6D1EA458" w14:textId="77777777" w:rsidR="00452E09" w:rsidRPr="00452E09" w:rsidRDefault="00452E09" w:rsidP="00452E09">
            <w:pPr>
              <w:ind w:left="2"/>
              <w:rPr>
                <w:lang w:val="en-US"/>
              </w:rPr>
            </w:pPr>
            <w:r w:rsidRPr="00452E09">
              <w:rPr>
                <w:sz w:val="18"/>
                <w:lang w:val="en-US"/>
              </w:rPr>
              <w:t xml:space="preserve">UL = 0.01 </w:t>
            </w:r>
          </w:p>
          <w:p w14:paraId="4B93B2F0" w14:textId="77777777" w:rsidR="00452E09" w:rsidRPr="00452E09" w:rsidRDefault="00452E09" w:rsidP="00452E09">
            <w:pPr>
              <w:ind w:left="2"/>
              <w:rPr>
                <w:lang w:val="en-US"/>
              </w:rPr>
            </w:pPr>
            <w:r w:rsidRPr="00452E09">
              <w:rPr>
                <w:sz w:val="18"/>
                <w:lang w:val="en-US"/>
              </w:rPr>
              <w:t xml:space="preserve">mg/kg bw/d </w:t>
            </w:r>
          </w:p>
          <w:p w14:paraId="7C447B79" w14:textId="77777777" w:rsidR="00452E09" w:rsidRPr="00452E09" w:rsidRDefault="00452E09" w:rsidP="00452E09">
            <w:pPr>
              <w:ind w:left="2"/>
              <w:rPr>
                <w:lang w:val="en-US"/>
              </w:rPr>
            </w:pPr>
            <w:r w:rsidRPr="00452E09">
              <w:rPr>
                <w:b/>
                <w:sz w:val="18"/>
                <w:lang w:val="en-US"/>
              </w:rP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6A41CC70" w14:textId="77777777" w:rsidR="00452E09" w:rsidRPr="00452E09" w:rsidRDefault="00452E09" w:rsidP="00452E09">
            <w:pPr>
              <w:ind w:left="2"/>
            </w:pPr>
            <w:r w:rsidRPr="00452E09">
              <w:rPr>
                <w:b/>
                <w:sz w:val="18"/>
              </w:rPr>
              <w:t xml:space="preserve">Exposure &lt; UL (Yes/No) </w:t>
            </w:r>
          </w:p>
        </w:tc>
      </w:tr>
      <w:tr w:rsidR="00D16495" w:rsidRPr="00452E09" w14:paraId="3D7D6D17" w14:textId="77777777" w:rsidTr="00AB1CDB">
        <w:trPr>
          <w:trHeight w:val="346"/>
        </w:trPr>
        <w:tc>
          <w:tcPr>
            <w:tcW w:w="1259" w:type="dxa"/>
            <w:tcBorders>
              <w:top w:val="single" w:sz="6" w:space="0" w:color="000000"/>
              <w:left w:val="single" w:sz="6" w:space="0" w:color="000000"/>
              <w:bottom w:val="single" w:sz="6" w:space="0" w:color="000000"/>
              <w:right w:val="single" w:sz="6" w:space="0" w:color="000000"/>
            </w:tcBorders>
          </w:tcPr>
          <w:p w14:paraId="122FFBF5" w14:textId="77777777" w:rsidR="00452E09" w:rsidRPr="00452E09" w:rsidRDefault="00452E09" w:rsidP="00452E09">
            <w:r w:rsidRPr="00452E09">
              <w:rPr>
                <w:sz w:val="18"/>
              </w:rPr>
              <w:t xml:space="preserve">Scenario [1] </w:t>
            </w:r>
          </w:p>
          <w:p w14:paraId="55E19CC7" w14:textId="77777777" w:rsidR="00452E09" w:rsidRPr="00452E09" w:rsidRDefault="00452E09" w:rsidP="00452E09">
            <w:r w:rsidRPr="00452E09">
              <w:rPr>
                <w:sz w:val="18"/>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4B484FAA" w14:textId="77777777" w:rsidR="00452E09" w:rsidRPr="00452E09" w:rsidRDefault="00452E09" w:rsidP="00452E09">
            <w:pPr>
              <w:ind w:left="2"/>
            </w:pPr>
            <w:r w:rsidRPr="00452E09">
              <w:rPr>
                <w:sz w:val="18"/>
              </w:rPr>
              <w:t xml:space="preserve">1/no PPE </w:t>
            </w:r>
          </w:p>
        </w:tc>
        <w:tc>
          <w:tcPr>
            <w:tcW w:w="1276" w:type="dxa"/>
            <w:tcBorders>
              <w:top w:val="single" w:sz="6" w:space="0" w:color="000000"/>
              <w:left w:val="single" w:sz="6" w:space="0" w:color="000000"/>
              <w:bottom w:val="single" w:sz="6" w:space="0" w:color="000000"/>
              <w:right w:val="single" w:sz="6" w:space="0" w:color="000000"/>
            </w:tcBorders>
          </w:tcPr>
          <w:p w14:paraId="302510A3" w14:textId="77777777" w:rsidR="00452E09" w:rsidRPr="00452E09" w:rsidRDefault="00452E09" w:rsidP="00452E09">
            <w:pPr>
              <w:rPr>
                <w:sz w:val="18"/>
              </w:rPr>
            </w:pPr>
            <w:r w:rsidRPr="00452E09">
              <w:rPr>
                <w:sz w:val="18"/>
              </w:rPr>
              <w:t xml:space="preserve"> nr</w:t>
            </w:r>
          </w:p>
        </w:tc>
        <w:tc>
          <w:tcPr>
            <w:tcW w:w="1276" w:type="dxa"/>
            <w:tcBorders>
              <w:top w:val="single" w:sz="6" w:space="0" w:color="000000"/>
              <w:left w:val="single" w:sz="6" w:space="0" w:color="000000"/>
              <w:bottom w:val="single" w:sz="6" w:space="0" w:color="000000"/>
              <w:right w:val="single" w:sz="6" w:space="0" w:color="000000"/>
            </w:tcBorders>
          </w:tcPr>
          <w:p w14:paraId="18FC1BED" w14:textId="77777777" w:rsidR="00452E09" w:rsidRPr="00452E09" w:rsidRDefault="00452E09" w:rsidP="00452E09">
            <w:pPr>
              <w:rPr>
                <w:sz w:val="18"/>
              </w:rPr>
            </w:pPr>
            <w:r w:rsidRPr="00452E09">
              <w:rPr>
                <w:sz w:val="18"/>
              </w:rPr>
              <w:t xml:space="preserve"> 3,75E-03</w:t>
            </w:r>
          </w:p>
          <w:p w14:paraId="1AC81D5B" w14:textId="77777777" w:rsidR="00452E09" w:rsidRPr="00452E09" w:rsidRDefault="00452E09" w:rsidP="00452E09">
            <w:pPr>
              <w:rPr>
                <w:sz w:val="18"/>
              </w:rPr>
            </w:pPr>
          </w:p>
        </w:tc>
        <w:tc>
          <w:tcPr>
            <w:tcW w:w="1417" w:type="dxa"/>
            <w:tcBorders>
              <w:top w:val="single" w:sz="6" w:space="0" w:color="000000"/>
              <w:left w:val="single" w:sz="6" w:space="0" w:color="000000"/>
              <w:bottom w:val="single" w:sz="6" w:space="0" w:color="000000"/>
              <w:right w:val="single" w:sz="6" w:space="0" w:color="000000"/>
            </w:tcBorders>
          </w:tcPr>
          <w:p w14:paraId="0A1ADFC3" w14:textId="77777777" w:rsidR="00452E09" w:rsidRPr="00452E09" w:rsidRDefault="00452E09" w:rsidP="00452E09">
            <w:pPr>
              <w:rPr>
                <w:sz w:val="18"/>
              </w:rPr>
            </w:pPr>
            <w:r w:rsidRPr="00452E09">
              <w:rPr>
                <w:sz w:val="18"/>
              </w:rPr>
              <w:t xml:space="preserve"> nr</w:t>
            </w:r>
          </w:p>
        </w:tc>
        <w:tc>
          <w:tcPr>
            <w:tcW w:w="1418" w:type="dxa"/>
            <w:tcBorders>
              <w:top w:val="single" w:sz="6" w:space="0" w:color="000000"/>
              <w:left w:val="single" w:sz="6" w:space="0" w:color="000000"/>
              <w:bottom w:val="single" w:sz="6" w:space="0" w:color="000000"/>
              <w:right w:val="single" w:sz="6" w:space="0" w:color="000000"/>
            </w:tcBorders>
          </w:tcPr>
          <w:p w14:paraId="4406FC0E" w14:textId="77777777" w:rsidR="00452E09" w:rsidRPr="00452E09" w:rsidRDefault="00452E09" w:rsidP="00452E09">
            <w:pPr>
              <w:rPr>
                <w:sz w:val="18"/>
              </w:rPr>
            </w:pPr>
            <w:r w:rsidRPr="00452E09">
              <w:rPr>
                <w:sz w:val="18"/>
              </w:rPr>
              <w:t xml:space="preserve"> 3,75E-03</w:t>
            </w:r>
          </w:p>
          <w:p w14:paraId="5B00721C" w14:textId="77777777" w:rsidR="00452E09" w:rsidRPr="00452E09" w:rsidRDefault="00452E09" w:rsidP="00452E09">
            <w:pPr>
              <w:rPr>
                <w:sz w:val="18"/>
              </w:rPr>
            </w:pPr>
          </w:p>
        </w:tc>
        <w:tc>
          <w:tcPr>
            <w:tcW w:w="1134" w:type="dxa"/>
            <w:tcBorders>
              <w:top w:val="single" w:sz="6" w:space="0" w:color="000000"/>
              <w:left w:val="single" w:sz="6" w:space="0" w:color="000000"/>
              <w:bottom w:val="single" w:sz="6" w:space="0" w:color="000000"/>
              <w:right w:val="single" w:sz="6" w:space="0" w:color="000000"/>
            </w:tcBorders>
          </w:tcPr>
          <w:p w14:paraId="3B2691E3" w14:textId="77777777" w:rsidR="00452E09" w:rsidRPr="00452E09" w:rsidRDefault="00452E09" w:rsidP="00452E09">
            <w:pPr>
              <w:rPr>
                <w:sz w:val="18"/>
              </w:rPr>
            </w:pPr>
            <w:r w:rsidRPr="00452E09">
              <w:rPr>
                <w:sz w:val="18"/>
              </w:rPr>
              <w:t xml:space="preserve"> 37%</w:t>
            </w:r>
          </w:p>
          <w:p w14:paraId="51B772A7" w14:textId="77777777" w:rsidR="00452E09" w:rsidRPr="00452E09" w:rsidRDefault="00452E09" w:rsidP="00452E09">
            <w:pPr>
              <w:rPr>
                <w:sz w:val="18"/>
              </w:rPr>
            </w:pPr>
          </w:p>
        </w:tc>
        <w:tc>
          <w:tcPr>
            <w:tcW w:w="1275" w:type="dxa"/>
            <w:tcBorders>
              <w:top w:val="single" w:sz="6" w:space="0" w:color="000000"/>
              <w:left w:val="single" w:sz="6" w:space="0" w:color="000000"/>
              <w:bottom w:val="single" w:sz="6" w:space="0" w:color="000000"/>
              <w:right w:val="single" w:sz="6" w:space="0" w:color="000000"/>
            </w:tcBorders>
          </w:tcPr>
          <w:p w14:paraId="05B64B8F" w14:textId="77777777" w:rsidR="00452E09" w:rsidRPr="00452E09" w:rsidRDefault="00452E09" w:rsidP="00452E09">
            <w:pPr>
              <w:rPr>
                <w:sz w:val="18"/>
              </w:rPr>
            </w:pPr>
            <w:r w:rsidRPr="00452E09">
              <w:rPr>
                <w:sz w:val="18"/>
              </w:rPr>
              <w:t xml:space="preserve"> Yes</w:t>
            </w:r>
          </w:p>
        </w:tc>
      </w:tr>
    </w:tbl>
    <w:p w14:paraId="0FCED16B" w14:textId="77777777" w:rsidR="00452E09" w:rsidRPr="00452E09" w:rsidRDefault="00452E09" w:rsidP="00452E09">
      <w:pPr>
        <w:spacing w:after="229" w:line="250" w:lineRule="auto"/>
        <w:ind w:left="-5" w:hanging="10"/>
        <w:rPr>
          <w:rFonts w:eastAsia="Verdana"/>
          <w:i/>
          <w:lang w:val="en-US"/>
        </w:rPr>
      </w:pPr>
    </w:p>
    <w:tbl>
      <w:tblPr>
        <w:tblStyle w:val="TableGrid0"/>
        <w:tblW w:w="9196" w:type="dxa"/>
        <w:tblInd w:w="9" w:type="dxa"/>
        <w:tblCellMar>
          <w:top w:w="84" w:type="dxa"/>
          <w:left w:w="68" w:type="dxa"/>
          <w:right w:w="8" w:type="dxa"/>
        </w:tblCellMar>
        <w:tblLook w:val="04A0" w:firstRow="1" w:lastRow="0" w:firstColumn="1" w:lastColumn="0" w:noHBand="0" w:noVBand="1"/>
      </w:tblPr>
      <w:tblGrid>
        <w:gridCol w:w="9196"/>
      </w:tblGrid>
      <w:tr w:rsidR="00452E09" w:rsidRPr="00452E09" w14:paraId="402D37FF" w14:textId="77777777" w:rsidTr="00452E09">
        <w:trPr>
          <w:trHeight w:val="302"/>
        </w:trPr>
        <w:tc>
          <w:tcPr>
            <w:tcW w:w="9196" w:type="dxa"/>
            <w:tcBorders>
              <w:top w:val="single" w:sz="6" w:space="0" w:color="000000"/>
              <w:left w:val="single" w:sz="6" w:space="0" w:color="000000"/>
              <w:bottom w:val="single" w:sz="6" w:space="0" w:color="000000"/>
              <w:right w:val="single" w:sz="6" w:space="0" w:color="000000"/>
            </w:tcBorders>
            <w:shd w:val="clear" w:color="auto" w:fill="FFFFCC"/>
          </w:tcPr>
          <w:p w14:paraId="0C44A2FB" w14:textId="77777777" w:rsidR="00452E09" w:rsidRPr="00452E09" w:rsidRDefault="00452E09" w:rsidP="00452E09">
            <w:r w:rsidRPr="00452E09">
              <w:rPr>
                <w:b/>
                <w:sz w:val="18"/>
              </w:rPr>
              <w:t xml:space="preserve">Description of Scenario [2] </w:t>
            </w:r>
            <w:r w:rsidRPr="00452E09">
              <w:rPr>
                <w:b/>
                <w:i/>
                <w:sz w:val="18"/>
                <w:lang w:val="en-US"/>
              </w:rPr>
              <w:t>Application on teats by automatic dipping</w:t>
            </w:r>
          </w:p>
        </w:tc>
      </w:tr>
      <w:tr w:rsidR="00452E09" w:rsidRPr="00452E09" w14:paraId="0D201E3F" w14:textId="77777777" w:rsidTr="00452E09">
        <w:trPr>
          <w:trHeight w:val="1466"/>
        </w:trPr>
        <w:tc>
          <w:tcPr>
            <w:tcW w:w="9196" w:type="dxa"/>
            <w:tcBorders>
              <w:top w:val="single" w:sz="6" w:space="0" w:color="000000"/>
              <w:left w:val="single" w:sz="6" w:space="0" w:color="000000"/>
              <w:bottom w:val="single" w:sz="6" w:space="0" w:color="000000"/>
              <w:right w:val="single" w:sz="6" w:space="0" w:color="000000"/>
            </w:tcBorders>
          </w:tcPr>
          <w:p w14:paraId="21CA100C" w14:textId="77777777" w:rsidR="00452E09" w:rsidRPr="00AB1CDB" w:rsidRDefault="00452E09" w:rsidP="00452E09">
            <w:pPr>
              <w:ind w:right="62"/>
              <w:jc w:val="both"/>
              <w:rPr>
                <w:rFonts w:eastAsia="Calibri"/>
                <w:sz w:val="16"/>
                <w:szCs w:val="20"/>
                <w:lang w:eastAsia="en-US"/>
              </w:rPr>
            </w:pPr>
            <w:r w:rsidRPr="00AB1CDB">
              <w:rPr>
                <w:rFonts w:eastAsia="Calibri"/>
                <w:lang w:eastAsia="en-US"/>
              </w:rPr>
              <w:t>Farms can be equiped of automatic system. Loading can be manual or automatic and application is carried out with automatic dipcups which reduce significantly exposure of user.</w:t>
            </w:r>
          </w:p>
          <w:p w14:paraId="5FD6711A" w14:textId="77777777" w:rsidR="00452E09" w:rsidRPr="00AB1CDB" w:rsidRDefault="00452E09" w:rsidP="00452E09">
            <w:pPr>
              <w:ind w:right="62"/>
              <w:jc w:val="both"/>
              <w:rPr>
                <w:rFonts w:eastAsia="Calibri"/>
                <w:sz w:val="18"/>
                <w:szCs w:val="20"/>
                <w:lang w:eastAsia="en-US"/>
              </w:rPr>
            </w:pPr>
            <w:r w:rsidRPr="00AB1CDB">
              <w:rPr>
                <w:rFonts w:eastAsia="Calibri"/>
                <w:lang w:eastAsia="en-US"/>
              </w:rPr>
              <w:t>No exposure calculation is provided here as manual use exposure is considered as worst case.</w:t>
            </w:r>
          </w:p>
          <w:p w14:paraId="40BDDCFE" w14:textId="77777777" w:rsidR="00452E09" w:rsidRPr="00452E09" w:rsidRDefault="00452E09" w:rsidP="00452E09">
            <w:pPr>
              <w:ind w:right="62"/>
              <w:jc w:val="both"/>
              <w:rPr>
                <w:lang w:eastAsia="en-US"/>
              </w:rPr>
            </w:pPr>
          </w:p>
          <w:p w14:paraId="4ED3E15A" w14:textId="77777777" w:rsidR="00452E09" w:rsidRPr="00452E09" w:rsidRDefault="00452E09" w:rsidP="00452E09">
            <w:pPr>
              <w:ind w:right="62"/>
              <w:jc w:val="both"/>
              <w:rPr>
                <w:lang w:eastAsia="en-US"/>
              </w:rPr>
            </w:pPr>
            <w:r w:rsidRPr="00452E09">
              <w:rPr>
                <w:noProof/>
                <w:lang w:val="fr-FR" w:eastAsia="fr-FR"/>
              </w:rPr>
              <w:drawing>
                <wp:inline distT="0" distB="0" distL="0" distR="0" wp14:anchorId="4AB68FF0" wp14:editId="58BCC560">
                  <wp:extent cx="4495800" cy="3489833"/>
                  <wp:effectExtent l="0" t="0" r="0" b="0"/>
                  <wp:docPr id="1333174393" name="Picture 1333174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495800" cy="3489833"/>
                          </a:xfrm>
                          <a:prstGeom prst="rect">
                            <a:avLst/>
                          </a:prstGeom>
                        </pic:spPr>
                      </pic:pic>
                    </a:graphicData>
                  </a:graphic>
                </wp:inline>
              </w:drawing>
            </w:r>
          </w:p>
          <w:p w14:paraId="317914CF" w14:textId="77777777" w:rsidR="00452E09" w:rsidRPr="00452E09" w:rsidRDefault="00452E09" w:rsidP="00452E09">
            <w:pPr>
              <w:ind w:right="62"/>
              <w:jc w:val="both"/>
            </w:pPr>
          </w:p>
        </w:tc>
      </w:tr>
    </w:tbl>
    <w:p w14:paraId="24351095" w14:textId="77777777" w:rsidR="00452E09" w:rsidRPr="00452E09" w:rsidRDefault="00452E09" w:rsidP="00452E09">
      <w:pPr>
        <w:spacing w:after="229" w:line="250" w:lineRule="auto"/>
        <w:ind w:left="-5" w:hanging="10"/>
        <w:rPr>
          <w:rFonts w:eastAsia="Verdana"/>
          <w:i/>
          <w:lang w:val="en-US"/>
        </w:rPr>
      </w:pPr>
    </w:p>
    <w:tbl>
      <w:tblPr>
        <w:tblStyle w:val="TableGrid0"/>
        <w:tblW w:w="9196" w:type="dxa"/>
        <w:tblInd w:w="9" w:type="dxa"/>
        <w:tblCellMar>
          <w:top w:w="84" w:type="dxa"/>
          <w:left w:w="68" w:type="dxa"/>
          <w:right w:w="8" w:type="dxa"/>
        </w:tblCellMar>
        <w:tblLook w:val="04A0" w:firstRow="1" w:lastRow="0" w:firstColumn="1" w:lastColumn="0" w:noHBand="0" w:noVBand="1"/>
      </w:tblPr>
      <w:tblGrid>
        <w:gridCol w:w="9196"/>
      </w:tblGrid>
      <w:tr w:rsidR="00452E09" w:rsidRPr="00452E09" w14:paraId="3957ADD2" w14:textId="77777777" w:rsidTr="00452E09">
        <w:trPr>
          <w:trHeight w:val="302"/>
        </w:trPr>
        <w:tc>
          <w:tcPr>
            <w:tcW w:w="9196" w:type="dxa"/>
            <w:tcBorders>
              <w:top w:val="single" w:sz="6" w:space="0" w:color="000000"/>
              <w:left w:val="single" w:sz="6" w:space="0" w:color="000000"/>
              <w:bottom w:val="single" w:sz="6" w:space="0" w:color="000000"/>
              <w:right w:val="single" w:sz="6" w:space="0" w:color="000000"/>
            </w:tcBorders>
            <w:shd w:val="clear" w:color="auto" w:fill="FFFFCC"/>
          </w:tcPr>
          <w:p w14:paraId="22C9F8BA" w14:textId="77777777" w:rsidR="00452E09" w:rsidRPr="00452E09" w:rsidRDefault="00452E09" w:rsidP="00452E09">
            <w:r w:rsidRPr="00452E09">
              <w:rPr>
                <w:b/>
                <w:sz w:val="18"/>
              </w:rPr>
              <w:t xml:space="preserve">Description of Scenario [3] </w:t>
            </w:r>
            <w:r w:rsidRPr="00452E09">
              <w:rPr>
                <w:b/>
                <w:i/>
                <w:sz w:val="18"/>
                <w:lang w:val="en-US"/>
              </w:rPr>
              <w:t>Cleaning of equipment</w:t>
            </w:r>
          </w:p>
        </w:tc>
      </w:tr>
      <w:tr w:rsidR="00452E09" w:rsidRPr="00452E09" w14:paraId="77708A7C" w14:textId="77777777" w:rsidTr="00452E09">
        <w:trPr>
          <w:trHeight w:val="610"/>
        </w:trPr>
        <w:tc>
          <w:tcPr>
            <w:tcW w:w="9196" w:type="dxa"/>
            <w:tcBorders>
              <w:top w:val="single" w:sz="6" w:space="0" w:color="000000"/>
              <w:left w:val="single" w:sz="6" w:space="0" w:color="000000"/>
              <w:bottom w:val="single" w:sz="6" w:space="0" w:color="000000"/>
              <w:right w:val="single" w:sz="6" w:space="0" w:color="000000"/>
            </w:tcBorders>
          </w:tcPr>
          <w:p w14:paraId="73B4183E" w14:textId="77777777" w:rsidR="00452E09" w:rsidRPr="00AB1CDB" w:rsidRDefault="00452E09" w:rsidP="00452E09">
            <w:pPr>
              <w:ind w:right="62"/>
              <w:jc w:val="both"/>
              <w:rPr>
                <w:rFonts w:eastAsia="Calibri"/>
                <w:sz w:val="16"/>
                <w:szCs w:val="20"/>
                <w:lang w:eastAsia="en-US"/>
              </w:rPr>
            </w:pPr>
            <w:r w:rsidRPr="00AB1CDB">
              <w:rPr>
                <w:rFonts w:eastAsia="Calibri"/>
                <w:lang w:eastAsia="en-US"/>
              </w:rPr>
              <w:lastRenderedPageBreak/>
              <w:t>According to HeadHoc recommendation 13, exposure during cleaning of equipment is modelised with the RISKOFDERM “Loading liquid, automated or semi-automated” model.</w:t>
            </w:r>
          </w:p>
          <w:p w14:paraId="5F130340" w14:textId="77777777" w:rsidR="00452E09" w:rsidRPr="00452E09" w:rsidRDefault="00452E09" w:rsidP="00452E09">
            <w:pPr>
              <w:ind w:right="62"/>
              <w:jc w:val="both"/>
            </w:pPr>
          </w:p>
        </w:tc>
      </w:tr>
    </w:tbl>
    <w:p w14:paraId="337DA7E4" w14:textId="77777777" w:rsidR="00452E09" w:rsidRPr="00452E09" w:rsidRDefault="00452E09" w:rsidP="00452E09">
      <w:pPr>
        <w:spacing w:after="229" w:line="250" w:lineRule="auto"/>
        <w:ind w:left="-5" w:hanging="10"/>
        <w:rPr>
          <w:rFonts w:eastAsia="Verdana"/>
          <w:i/>
          <w:lang w:val="en-US"/>
        </w:rPr>
      </w:pPr>
    </w:p>
    <w:tbl>
      <w:tblPr>
        <w:tblStyle w:val="TableGrid0"/>
        <w:tblW w:w="9196" w:type="dxa"/>
        <w:tblInd w:w="-8" w:type="dxa"/>
        <w:tblCellMar>
          <w:top w:w="84" w:type="dxa"/>
          <w:left w:w="67" w:type="dxa"/>
          <w:right w:w="6" w:type="dxa"/>
        </w:tblCellMar>
        <w:tblLook w:val="04A0" w:firstRow="1" w:lastRow="0" w:firstColumn="1" w:lastColumn="0" w:noHBand="0" w:noVBand="1"/>
      </w:tblPr>
      <w:tblGrid>
        <w:gridCol w:w="2077"/>
        <w:gridCol w:w="2595"/>
        <w:gridCol w:w="1985"/>
        <w:gridCol w:w="2539"/>
      </w:tblGrid>
      <w:tr w:rsidR="00452E09" w:rsidRPr="002A1DCA" w14:paraId="3E36A248" w14:textId="77777777" w:rsidTr="00AB1CDB">
        <w:trPr>
          <w:trHeight w:val="325"/>
        </w:trPr>
        <w:tc>
          <w:tcPr>
            <w:tcW w:w="9196" w:type="dxa"/>
            <w:gridSpan w:val="4"/>
            <w:tcBorders>
              <w:top w:val="single" w:sz="6" w:space="0" w:color="000000"/>
              <w:left w:val="single" w:sz="6" w:space="0" w:color="000000"/>
              <w:bottom w:val="single" w:sz="23" w:space="0" w:color="D9D9D9"/>
              <w:right w:val="single" w:sz="6" w:space="0" w:color="000000"/>
            </w:tcBorders>
            <w:shd w:val="clear" w:color="auto" w:fill="FFFFCC"/>
          </w:tcPr>
          <w:p w14:paraId="769E9E95" w14:textId="77777777" w:rsidR="00452E09" w:rsidRPr="00AB1CDB" w:rsidRDefault="00452E09" w:rsidP="00452E09">
            <w:pPr>
              <w:ind w:left="1"/>
              <w:rPr>
                <w:sz w:val="20"/>
                <w:szCs w:val="20"/>
                <w:lang w:val="en-US"/>
              </w:rPr>
            </w:pPr>
            <w:r w:rsidRPr="00AB1CDB">
              <w:rPr>
                <w:b/>
                <w:sz w:val="20"/>
                <w:lang w:val="en-US"/>
              </w:rPr>
              <w:t xml:space="preserve">Input parameters for Scenario [3] </w:t>
            </w:r>
          </w:p>
        </w:tc>
      </w:tr>
      <w:tr w:rsidR="00452E09" w:rsidRPr="002A1DCA" w14:paraId="7E839372" w14:textId="77777777" w:rsidTr="00AB1CDB">
        <w:trPr>
          <w:trHeight w:val="325"/>
        </w:trPr>
        <w:tc>
          <w:tcPr>
            <w:tcW w:w="9196" w:type="dxa"/>
            <w:gridSpan w:val="4"/>
            <w:tcBorders>
              <w:top w:val="single" w:sz="23" w:space="0" w:color="D9D9D9"/>
              <w:left w:val="single" w:sz="6" w:space="0" w:color="000000"/>
              <w:bottom w:val="single" w:sz="6" w:space="0" w:color="000000"/>
              <w:right w:val="single" w:sz="6" w:space="0" w:color="000000"/>
            </w:tcBorders>
            <w:shd w:val="clear" w:color="auto" w:fill="D9D9D9"/>
          </w:tcPr>
          <w:p w14:paraId="50FC6A37" w14:textId="77777777" w:rsidR="00452E09" w:rsidRPr="00AB1CDB" w:rsidRDefault="00452E09" w:rsidP="00452E09">
            <w:pPr>
              <w:ind w:left="1"/>
              <w:jc w:val="both"/>
              <w:rPr>
                <w:sz w:val="20"/>
                <w:szCs w:val="20"/>
                <w:lang w:val="en-US"/>
              </w:rPr>
            </w:pPr>
            <w:r w:rsidRPr="00AB1CDB">
              <w:rPr>
                <w:i/>
                <w:sz w:val="20"/>
                <w:lang w:val="en-US"/>
              </w:rPr>
              <w:t>Task 3.1, dermal exposure</w:t>
            </w:r>
          </w:p>
        </w:tc>
      </w:tr>
      <w:tr w:rsidR="00452E09" w:rsidRPr="002A1DCA" w14:paraId="5E7EB824" w14:textId="77777777" w:rsidTr="00AB1CDB">
        <w:trPr>
          <w:trHeight w:val="590"/>
        </w:trPr>
        <w:tc>
          <w:tcPr>
            <w:tcW w:w="2077" w:type="dxa"/>
            <w:tcBorders>
              <w:top w:val="single" w:sz="6" w:space="0" w:color="000000"/>
              <w:left w:val="single" w:sz="6" w:space="0" w:color="000000"/>
              <w:bottom w:val="single" w:sz="6" w:space="0" w:color="000000"/>
              <w:right w:val="single" w:sz="6" w:space="0" w:color="000000"/>
            </w:tcBorders>
          </w:tcPr>
          <w:p w14:paraId="18BC89F5" w14:textId="77777777" w:rsidR="00452E09" w:rsidRPr="00AB1CDB" w:rsidRDefault="00452E09" w:rsidP="00452E09">
            <w:pPr>
              <w:ind w:left="1"/>
              <w:rPr>
                <w:sz w:val="20"/>
                <w:szCs w:val="20"/>
                <w:lang w:val="en-US"/>
              </w:rPr>
            </w:pPr>
            <w:r w:rsidRPr="00AB1CDB">
              <w:rPr>
                <w:sz w:val="20"/>
                <w:lang w:val="en-US"/>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14053421" w14:textId="77777777" w:rsidR="00452E09" w:rsidRPr="00AB1CDB" w:rsidRDefault="00452E09" w:rsidP="00452E09">
            <w:pPr>
              <w:rPr>
                <w:sz w:val="20"/>
                <w:szCs w:val="20"/>
              </w:rPr>
            </w:pPr>
            <w:r w:rsidRPr="00AB1CDB">
              <w:rPr>
                <w:sz w:val="20"/>
              </w:rPr>
              <w:t>Parameters</w:t>
            </w:r>
            <w:r w:rsidRPr="00AB1CDB">
              <w:rPr>
                <w:sz w:val="20"/>
                <w:vertAlign w:val="superscript"/>
              </w:rPr>
              <w:t>1</w:t>
            </w:r>
            <w:r w:rsidRPr="00AB1CDB">
              <w:rPr>
                <w:sz w:val="20"/>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26AD8B57" w14:textId="77777777" w:rsidR="00452E09" w:rsidRPr="00AB1CDB" w:rsidRDefault="00452E09" w:rsidP="00452E09">
            <w:pPr>
              <w:rPr>
                <w:sz w:val="20"/>
                <w:szCs w:val="20"/>
              </w:rPr>
            </w:pPr>
            <w:r w:rsidRPr="00AB1CDB">
              <w:rPr>
                <w:sz w:val="20"/>
              </w:rPr>
              <w:t xml:space="preserve">Value </w:t>
            </w:r>
          </w:p>
        </w:tc>
        <w:tc>
          <w:tcPr>
            <w:tcW w:w="2539" w:type="dxa"/>
            <w:tcBorders>
              <w:top w:val="single" w:sz="6" w:space="0" w:color="000000"/>
              <w:left w:val="single" w:sz="6" w:space="0" w:color="000000"/>
              <w:bottom w:val="single" w:sz="6" w:space="0" w:color="000000"/>
              <w:right w:val="single" w:sz="6" w:space="0" w:color="000000"/>
            </w:tcBorders>
          </w:tcPr>
          <w:p w14:paraId="6AC748AB" w14:textId="77777777" w:rsidR="00452E09" w:rsidRPr="00AB1CDB" w:rsidRDefault="00452E09" w:rsidP="00452E09">
            <w:pPr>
              <w:rPr>
                <w:sz w:val="20"/>
                <w:szCs w:val="20"/>
              </w:rPr>
            </w:pPr>
            <w:r w:rsidRPr="00AB1CDB">
              <w:rPr>
                <w:sz w:val="20"/>
              </w:rPr>
              <w:t xml:space="preserve">Reference and </w:t>
            </w:r>
          </w:p>
          <w:p w14:paraId="7A3BAD92" w14:textId="77777777" w:rsidR="00452E09" w:rsidRPr="00AB1CDB" w:rsidRDefault="00452E09" w:rsidP="00452E09">
            <w:pPr>
              <w:rPr>
                <w:sz w:val="20"/>
                <w:szCs w:val="20"/>
              </w:rPr>
            </w:pPr>
            <w:r w:rsidRPr="00AB1CDB">
              <w:rPr>
                <w:sz w:val="20"/>
              </w:rPr>
              <w:t>justification</w:t>
            </w:r>
            <w:r w:rsidRPr="00AB1CDB">
              <w:rPr>
                <w:sz w:val="20"/>
                <w:vertAlign w:val="superscript"/>
              </w:rPr>
              <w:t xml:space="preserve">3 </w:t>
            </w:r>
          </w:p>
        </w:tc>
      </w:tr>
    </w:tbl>
    <w:tbl>
      <w:tblPr>
        <w:tblW w:w="9196" w:type="dxa"/>
        <w:tblInd w:w="-8" w:type="dxa"/>
        <w:tblCellMar>
          <w:top w:w="84" w:type="dxa"/>
          <w:left w:w="67" w:type="dxa"/>
          <w:right w:w="6" w:type="dxa"/>
        </w:tblCellMar>
        <w:tblLook w:val="04A0" w:firstRow="1" w:lastRow="0" w:firstColumn="1" w:lastColumn="0" w:noHBand="0" w:noVBand="1"/>
      </w:tblPr>
      <w:tblGrid>
        <w:gridCol w:w="2077"/>
        <w:gridCol w:w="2595"/>
        <w:gridCol w:w="1985"/>
        <w:gridCol w:w="2539"/>
      </w:tblGrid>
      <w:tr w:rsidR="00452E09" w:rsidRPr="002A1DCA" w14:paraId="082C6CCE" w14:textId="77777777" w:rsidTr="00AB1CDB">
        <w:trPr>
          <w:trHeight w:val="348"/>
        </w:trPr>
        <w:tc>
          <w:tcPr>
            <w:tcW w:w="2077" w:type="dxa"/>
            <w:vMerge w:val="restart"/>
            <w:tcBorders>
              <w:top w:val="single" w:sz="6" w:space="0" w:color="000000"/>
              <w:left w:val="single" w:sz="6" w:space="0" w:color="000000"/>
              <w:right w:val="single" w:sz="6" w:space="0" w:color="000000"/>
            </w:tcBorders>
          </w:tcPr>
          <w:p w14:paraId="3E6B31E4" w14:textId="77777777" w:rsidR="00452E09" w:rsidRPr="002A1DCA" w:rsidRDefault="00452E09" w:rsidP="00452E09">
            <w:pPr>
              <w:ind w:left="1"/>
            </w:pPr>
            <w:r w:rsidRPr="00AB1CDB">
              <w:t xml:space="preserve">Tier 1 (no PPE) </w:t>
            </w:r>
          </w:p>
        </w:tc>
        <w:tc>
          <w:tcPr>
            <w:tcW w:w="2595" w:type="dxa"/>
            <w:tcBorders>
              <w:top w:val="single" w:sz="6" w:space="0" w:color="000000"/>
              <w:left w:val="single" w:sz="6" w:space="0" w:color="000000"/>
              <w:bottom w:val="single" w:sz="4" w:space="0" w:color="auto"/>
              <w:right w:val="single" w:sz="6" w:space="0" w:color="000000"/>
            </w:tcBorders>
          </w:tcPr>
          <w:p w14:paraId="3165D87D" w14:textId="77777777" w:rsidR="00452E09" w:rsidRPr="002A1DCA" w:rsidRDefault="00452E09" w:rsidP="00452E09">
            <w:r w:rsidRPr="00AB1CDB">
              <w:t xml:space="preserve"> Expsoure</w:t>
            </w:r>
          </w:p>
        </w:tc>
        <w:tc>
          <w:tcPr>
            <w:tcW w:w="1985" w:type="dxa"/>
            <w:tcBorders>
              <w:top w:val="single" w:sz="6" w:space="0" w:color="000000"/>
              <w:left w:val="single" w:sz="6" w:space="0" w:color="000000"/>
              <w:bottom w:val="single" w:sz="4" w:space="0" w:color="auto"/>
              <w:right w:val="single" w:sz="6" w:space="0" w:color="000000"/>
            </w:tcBorders>
          </w:tcPr>
          <w:p w14:paraId="2B2EF307" w14:textId="77777777" w:rsidR="00452E09" w:rsidRPr="00AB1CDB" w:rsidRDefault="00452E09" w:rsidP="00452E09">
            <w:r w:rsidRPr="00AB1CDB">
              <w:t xml:space="preserve"> 0.92 mg/min</w:t>
            </w:r>
          </w:p>
          <w:p w14:paraId="432E0F30" w14:textId="77777777" w:rsidR="00452E09" w:rsidRPr="00AB1CDB" w:rsidRDefault="00452E09" w:rsidP="00452E09"/>
          <w:p w14:paraId="59096E64" w14:textId="77777777" w:rsidR="00452E09" w:rsidRPr="00AB1CDB" w:rsidRDefault="00452E09" w:rsidP="00452E09"/>
        </w:tc>
        <w:tc>
          <w:tcPr>
            <w:tcW w:w="2539" w:type="dxa"/>
            <w:tcBorders>
              <w:top w:val="single" w:sz="6" w:space="0" w:color="000000"/>
              <w:left w:val="single" w:sz="6" w:space="0" w:color="000000"/>
              <w:bottom w:val="single" w:sz="4" w:space="0" w:color="auto"/>
              <w:right w:val="single" w:sz="6" w:space="0" w:color="000000"/>
            </w:tcBorders>
          </w:tcPr>
          <w:p w14:paraId="59DCD6E1" w14:textId="77777777" w:rsidR="00452E09" w:rsidRPr="00AB1CDB" w:rsidRDefault="00452E09" w:rsidP="00452E09">
            <w:r w:rsidRPr="00380DC2">
              <w:rPr>
                <w:lang w:eastAsia="en-US"/>
              </w:rPr>
              <w:t>RISKOFDERM “Loading liquid, automated or semi-automated” model</w:t>
            </w:r>
          </w:p>
        </w:tc>
      </w:tr>
      <w:tr w:rsidR="00452E09" w:rsidRPr="002A1DCA" w14:paraId="6F343E88" w14:textId="77777777" w:rsidTr="00AB1CDB">
        <w:trPr>
          <w:trHeight w:val="348"/>
        </w:trPr>
        <w:tc>
          <w:tcPr>
            <w:tcW w:w="0" w:type="auto"/>
            <w:vMerge/>
            <w:tcBorders>
              <w:left w:val="single" w:sz="6" w:space="0" w:color="000000"/>
              <w:right w:val="single" w:sz="6" w:space="0" w:color="000000"/>
            </w:tcBorders>
          </w:tcPr>
          <w:p w14:paraId="2B56C001" w14:textId="77777777" w:rsidR="00452E09" w:rsidRPr="002A1DCA" w:rsidRDefault="00452E09" w:rsidP="00452E09"/>
        </w:tc>
        <w:tc>
          <w:tcPr>
            <w:tcW w:w="2595" w:type="dxa"/>
            <w:tcBorders>
              <w:top w:val="single" w:sz="4" w:space="0" w:color="auto"/>
              <w:left w:val="single" w:sz="6" w:space="0" w:color="000000"/>
              <w:bottom w:val="single" w:sz="4" w:space="0" w:color="auto"/>
              <w:right w:val="single" w:sz="4" w:space="0" w:color="auto"/>
            </w:tcBorders>
            <w:shd w:val="clear" w:color="auto" w:fill="auto"/>
          </w:tcPr>
          <w:p w14:paraId="3A109D70" w14:textId="77777777" w:rsidR="00452E09" w:rsidRPr="00AB1CDB" w:rsidRDefault="00452E09" w:rsidP="00452E09">
            <w:r w:rsidRPr="00AB1CDB">
              <w:t xml:space="preserve">Duration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749892" w14:textId="77777777" w:rsidR="00452E09" w:rsidRPr="00AB1CDB" w:rsidRDefault="00452E09" w:rsidP="00452E09">
            <w:r w:rsidRPr="00AB1CDB">
              <w:t xml:space="preserve">5 min </w:t>
            </w:r>
          </w:p>
        </w:tc>
        <w:tc>
          <w:tcPr>
            <w:tcW w:w="2539" w:type="dxa"/>
            <w:tcBorders>
              <w:top w:val="single" w:sz="4" w:space="0" w:color="auto"/>
              <w:left w:val="single" w:sz="4" w:space="0" w:color="auto"/>
              <w:bottom w:val="single" w:sz="4" w:space="0" w:color="auto"/>
              <w:right w:val="single" w:sz="4" w:space="0" w:color="auto"/>
            </w:tcBorders>
          </w:tcPr>
          <w:p w14:paraId="560DEC6F" w14:textId="77777777" w:rsidR="00452E09" w:rsidRPr="00AB1CDB" w:rsidRDefault="00452E09" w:rsidP="00452E09">
            <w:r w:rsidRPr="00AB1CDB">
              <w:t>Ad hoc</w:t>
            </w:r>
            <w:r w:rsidRPr="00380DC2">
              <w:rPr>
                <w:lang w:eastAsia="en-US"/>
              </w:rPr>
              <w:t xml:space="preserve"> recommendation 13</w:t>
            </w:r>
          </w:p>
        </w:tc>
      </w:tr>
      <w:tr w:rsidR="00452E09" w:rsidRPr="002A1DCA" w14:paraId="0DBF5324" w14:textId="77777777" w:rsidTr="00AB1CDB">
        <w:trPr>
          <w:trHeight w:val="348"/>
        </w:trPr>
        <w:tc>
          <w:tcPr>
            <w:tcW w:w="0" w:type="auto"/>
            <w:vMerge/>
            <w:tcBorders>
              <w:left w:val="single" w:sz="6" w:space="0" w:color="000000"/>
              <w:right w:val="single" w:sz="6" w:space="0" w:color="000000"/>
            </w:tcBorders>
          </w:tcPr>
          <w:p w14:paraId="424FC9F0" w14:textId="77777777" w:rsidR="00452E09" w:rsidRPr="002A1DCA" w:rsidRDefault="00452E09" w:rsidP="00452E09"/>
        </w:tc>
        <w:tc>
          <w:tcPr>
            <w:tcW w:w="2595" w:type="dxa"/>
            <w:tcBorders>
              <w:top w:val="single" w:sz="4" w:space="0" w:color="auto"/>
              <w:left w:val="single" w:sz="6" w:space="0" w:color="000000"/>
              <w:bottom w:val="single" w:sz="4" w:space="0" w:color="auto"/>
              <w:right w:val="single" w:sz="4" w:space="0" w:color="auto"/>
            </w:tcBorders>
            <w:shd w:val="clear" w:color="auto" w:fill="auto"/>
          </w:tcPr>
          <w:p w14:paraId="0A02D0A3" w14:textId="77777777" w:rsidR="00452E09" w:rsidRPr="00AB1CDB" w:rsidRDefault="00452E09" w:rsidP="00452E09">
            <w:r w:rsidRPr="00AB1CDB">
              <w:t>Weight fraction compound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0AA587" w14:textId="77777777" w:rsidR="00452E09" w:rsidRPr="00AB1CDB" w:rsidRDefault="00452E09" w:rsidP="00452E09">
            <w:r w:rsidRPr="00AB1CDB">
              <w:t>0.222%</w:t>
            </w:r>
          </w:p>
        </w:tc>
        <w:tc>
          <w:tcPr>
            <w:tcW w:w="2539" w:type="dxa"/>
            <w:tcBorders>
              <w:top w:val="single" w:sz="4" w:space="0" w:color="auto"/>
              <w:left w:val="single" w:sz="4" w:space="0" w:color="auto"/>
              <w:bottom w:val="single" w:sz="4" w:space="0" w:color="auto"/>
              <w:right w:val="single" w:sz="4" w:space="0" w:color="auto"/>
            </w:tcBorders>
          </w:tcPr>
          <w:p w14:paraId="187CFB3F" w14:textId="77777777" w:rsidR="00452E09" w:rsidRPr="00AB1CDB" w:rsidRDefault="00452E09" w:rsidP="00452E09">
            <w:r w:rsidRPr="00AB1CDB">
              <w:t>Applicant data</w:t>
            </w:r>
          </w:p>
        </w:tc>
      </w:tr>
      <w:tr w:rsidR="00452E09" w:rsidRPr="002A1DCA" w14:paraId="6244792A" w14:textId="77777777" w:rsidTr="00AB1CDB">
        <w:trPr>
          <w:trHeight w:val="348"/>
        </w:trPr>
        <w:tc>
          <w:tcPr>
            <w:tcW w:w="0" w:type="auto"/>
            <w:vMerge/>
            <w:tcBorders>
              <w:left w:val="single" w:sz="6" w:space="0" w:color="000000"/>
              <w:right w:val="single" w:sz="6" w:space="0" w:color="000000"/>
            </w:tcBorders>
          </w:tcPr>
          <w:p w14:paraId="7FE548D7" w14:textId="77777777" w:rsidR="00452E09" w:rsidRPr="002A1DCA" w:rsidRDefault="00452E09" w:rsidP="00452E09"/>
        </w:tc>
        <w:tc>
          <w:tcPr>
            <w:tcW w:w="2595" w:type="dxa"/>
            <w:tcBorders>
              <w:top w:val="single" w:sz="4" w:space="0" w:color="auto"/>
              <w:left w:val="single" w:sz="6" w:space="0" w:color="000000"/>
              <w:bottom w:val="single" w:sz="4" w:space="0" w:color="auto"/>
              <w:right w:val="single" w:sz="4" w:space="0" w:color="auto"/>
            </w:tcBorders>
            <w:shd w:val="clear" w:color="auto" w:fill="auto"/>
          </w:tcPr>
          <w:p w14:paraId="1A286C39" w14:textId="77777777" w:rsidR="00452E09" w:rsidRPr="00AB1CDB" w:rsidRDefault="00452E09" w:rsidP="00452E09">
            <w:r w:rsidRPr="00AB1CDB">
              <w:t>Body weight (kg)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CC93F6" w14:textId="77777777" w:rsidR="00452E09" w:rsidRPr="00AB1CDB" w:rsidRDefault="00452E09" w:rsidP="00452E09">
            <w:r w:rsidRPr="00AB1CDB">
              <w:t>60</w:t>
            </w:r>
          </w:p>
        </w:tc>
        <w:tc>
          <w:tcPr>
            <w:tcW w:w="2539" w:type="dxa"/>
            <w:tcBorders>
              <w:top w:val="single" w:sz="4" w:space="0" w:color="auto"/>
              <w:left w:val="single" w:sz="4" w:space="0" w:color="auto"/>
              <w:bottom w:val="single" w:sz="4" w:space="0" w:color="auto"/>
              <w:right w:val="single" w:sz="4" w:space="0" w:color="auto"/>
            </w:tcBorders>
          </w:tcPr>
          <w:p w14:paraId="12550243" w14:textId="77777777" w:rsidR="00452E09" w:rsidRPr="00AB1CDB" w:rsidRDefault="00452E09" w:rsidP="00452E09">
            <w:r w:rsidRPr="00AB1CDB">
              <w:t>Ad hoc recommendation 14</w:t>
            </w:r>
          </w:p>
        </w:tc>
      </w:tr>
      <w:tr w:rsidR="00452E09" w:rsidRPr="002A1DCA" w14:paraId="25417BB4" w14:textId="77777777" w:rsidTr="00AB1CDB">
        <w:trPr>
          <w:trHeight w:val="348"/>
        </w:trPr>
        <w:tc>
          <w:tcPr>
            <w:tcW w:w="0" w:type="auto"/>
            <w:vMerge/>
            <w:tcBorders>
              <w:left w:val="single" w:sz="6" w:space="0" w:color="000000"/>
              <w:right w:val="single" w:sz="6" w:space="0" w:color="000000"/>
            </w:tcBorders>
          </w:tcPr>
          <w:p w14:paraId="77E91C44" w14:textId="77777777" w:rsidR="00452E09" w:rsidRPr="002A1DCA" w:rsidRDefault="00452E09" w:rsidP="00452E09"/>
        </w:tc>
        <w:tc>
          <w:tcPr>
            <w:tcW w:w="2595" w:type="dxa"/>
            <w:tcBorders>
              <w:top w:val="single" w:sz="4" w:space="0" w:color="auto"/>
              <w:left w:val="single" w:sz="6" w:space="0" w:color="000000"/>
              <w:bottom w:val="single" w:sz="4" w:space="0" w:color="auto"/>
              <w:right w:val="single" w:sz="4" w:space="0" w:color="auto"/>
            </w:tcBorders>
            <w:shd w:val="clear" w:color="auto" w:fill="auto"/>
          </w:tcPr>
          <w:p w14:paraId="44EE5F01" w14:textId="77777777" w:rsidR="00452E09" w:rsidRPr="00AB1CDB" w:rsidRDefault="00452E09" w:rsidP="00452E09">
            <w:r w:rsidRPr="00AB1CDB">
              <w:t>Dermal absorption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BF7E69" w14:textId="77777777" w:rsidR="00452E09" w:rsidRPr="00AB1CDB" w:rsidRDefault="00452E09" w:rsidP="00452E09">
            <w:r w:rsidRPr="00AB1CDB">
              <w:t>50%</w:t>
            </w:r>
          </w:p>
        </w:tc>
        <w:tc>
          <w:tcPr>
            <w:tcW w:w="2539" w:type="dxa"/>
            <w:tcBorders>
              <w:top w:val="single" w:sz="4" w:space="0" w:color="auto"/>
              <w:left w:val="single" w:sz="4" w:space="0" w:color="auto"/>
              <w:bottom w:val="single" w:sz="4" w:space="0" w:color="auto"/>
              <w:right w:val="single" w:sz="4" w:space="0" w:color="auto"/>
            </w:tcBorders>
          </w:tcPr>
          <w:p w14:paraId="58613BD7" w14:textId="77777777" w:rsidR="00452E09" w:rsidRPr="00AB1CDB" w:rsidRDefault="00452E09" w:rsidP="00452E09">
            <w:r w:rsidRPr="00AB1CDB">
              <w:t>Default value</w:t>
            </w:r>
          </w:p>
        </w:tc>
      </w:tr>
      <w:tr w:rsidR="00452E09" w:rsidRPr="002A1DCA" w14:paraId="4037C1AB" w14:textId="77777777" w:rsidTr="00AB1CDB">
        <w:trPr>
          <w:trHeight w:val="348"/>
        </w:trPr>
        <w:tc>
          <w:tcPr>
            <w:tcW w:w="0" w:type="auto"/>
            <w:vMerge/>
            <w:tcBorders>
              <w:left w:val="single" w:sz="6" w:space="0" w:color="000000"/>
              <w:bottom w:val="single" w:sz="6" w:space="0" w:color="000000"/>
              <w:right w:val="single" w:sz="6" w:space="0" w:color="000000"/>
            </w:tcBorders>
          </w:tcPr>
          <w:p w14:paraId="5C335EA3" w14:textId="77777777" w:rsidR="00452E09" w:rsidRPr="002A1DCA" w:rsidRDefault="00452E09" w:rsidP="00452E09"/>
        </w:tc>
        <w:tc>
          <w:tcPr>
            <w:tcW w:w="2595" w:type="dxa"/>
            <w:tcBorders>
              <w:top w:val="single" w:sz="4" w:space="0" w:color="auto"/>
              <w:left w:val="single" w:sz="6" w:space="0" w:color="000000"/>
              <w:bottom w:val="single" w:sz="6" w:space="0" w:color="000000"/>
              <w:right w:val="single" w:sz="6" w:space="0" w:color="000000"/>
            </w:tcBorders>
          </w:tcPr>
          <w:p w14:paraId="39C28089" w14:textId="77777777" w:rsidR="00452E09" w:rsidRPr="00AB1CDB" w:rsidRDefault="00452E09" w:rsidP="00452E09">
            <w:r w:rsidRPr="00AB1CDB">
              <w:t>Penetration factor PPE</w:t>
            </w:r>
          </w:p>
        </w:tc>
        <w:tc>
          <w:tcPr>
            <w:tcW w:w="1985" w:type="dxa"/>
            <w:tcBorders>
              <w:top w:val="single" w:sz="4" w:space="0" w:color="auto"/>
              <w:left w:val="single" w:sz="6" w:space="0" w:color="000000"/>
              <w:bottom w:val="single" w:sz="6" w:space="0" w:color="000000"/>
              <w:right w:val="single" w:sz="6" w:space="0" w:color="000000"/>
            </w:tcBorders>
          </w:tcPr>
          <w:p w14:paraId="75C9E221" w14:textId="77777777" w:rsidR="00452E09" w:rsidRPr="00AB1CDB" w:rsidRDefault="00452E09" w:rsidP="00452E09">
            <w:r w:rsidRPr="00AB1CDB">
              <w:t>100%</w:t>
            </w:r>
          </w:p>
        </w:tc>
        <w:tc>
          <w:tcPr>
            <w:tcW w:w="2539" w:type="dxa"/>
            <w:tcBorders>
              <w:top w:val="single" w:sz="4" w:space="0" w:color="auto"/>
              <w:left w:val="single" w:sz="6" w:space="0" w:color="000000"/>
              <w:bottom w:val="single" w:sz="6" w:space="0" w:color="000000"/>
              <w:right w:val="single" w:sz="6" w:space="0" w:color="000000"/>
            </w:tcBorders>
          </w:tcPr>
          <w:p w14:paraId="5CF50E70" w14:textId="77777777" w:rsidR="00452E09" w:rsidRPr="00AB1CDB" w:rsidRDefault="00452E09" w:rsidP="00452E09">
            <w:r w:rsidRPr="00AB1CDB">
              <w:t>No PPE</w:t>
            </w:r>
          </w:p>
        </w:tc>
      </w:tr>
    </w:tbl>
    <w:p w14:paraId="360D94F0" w14:textId="77777777" w:rsidR="00452E09" w:rsidRPr="00452E09" w:rsidRDefault="00452E09" w:rsidP="00452E09">
      <w:pPr>
        <w:spacing w:after="229" w:line="250" w:lineRule="auto"/>
        <w:ind w:left="-5" w:hanging="10"/>
        <w:rPr>
          <w:rFonts w:eastAsia="Verdana"/>
          <w:i/>
          <w:lang w:val="en-US"/>
        </w:rPr>
      </w:pPr>
    </w:p>
    <w:p w14:paraId="42179088" w14:textId="77777777" w:rsidR="00452E09" w:rsidRPr="00452E09" w:rsidRDefault="00452E09" w:rsidP="002A1DCA">
      <w:pPr>
        <w:rPr>
          <w:rFonts w:eastAsia="Calibri"/>
          <w:b/>
          <w:u w:val="single"/>
          <w:lang w:eastAsia="en-US"/>
        </w:rPr>
      </w:pPr>
      <w:r w:rsidRPr="00452E09">
        <w:rPr>
          <w:rFonts w:eastAsia="Calibri"/>
          <w:b/>
          <w:u w:val="single"/>
          <w:lang w:eastAsia="en-US"/>
        </w:rPr>
        <w:t xml:space="preserve">Outcome of systemic exposure and risk characterisation </w:t>
      </w:r>
    </w:p>
    <w:p w14:paraId="1D1086FA" w14:textId="77777777" w:rsidR="00452E09" w:rsidRPr="00452E09" w:rsidRDefault="00452E09" w:rsidP="00452E09">
      <w:pPr>
        <w:rPr>
          <w:lang w:val="en-US"/>
        </w:rPr>
      </w:pPr>
      <w:r w:rsidRPr="00452E09">
        <w:rPr>
          <w:rFonts w:eastAsia="Verdana"/>
          <w:lang w:val="en-US"/>
        </w:rPr>
        <w:t xml:space="preserve"> </w:t>
      </w:r>
    </w:p>
    <w:p w14:paraId="1E16E8EF" w14:textId="7E9606C1" w:rsidR="00452E09" w:rsidRDefault="00452E09" w:rsidP="00452E09">
      <w:pPr>
        <w:spacing w:after="12" w:line="250" w:lineRule="auto"/>
        <w:ind w:left="-5" w:hanging="10"/>
        <w:rPr>
          <w:rFonts w:eastAsia="Verdana"/>
          <w:b/>
          <w:lang w:val="en-US"/>
        </w:rPr>
      </w:pPr>
      <w:r w:rsidRPr="00452E09">
        <w:rPr>
          <w:rFonts w:eastAsia="Verdana"/>
          <w:b/>
          <w:lang w:val="en-US"/>
        </w:rPr>
        <w:t xml:space="preserve">Summary table: estimated systemic exposure and risk characterisation for professional users </w:t>
      </w:r>
    </w:p>
    <w:p w14:paraId="5C8E154B" w14:textId="77777777" w:rsidR="008E0C19" w:rsidRPr="00452E09" w:rsidRDefault="008E0C19" w:rsidP="00452E09">
      <w:pPr>
        <w:spacing w:after="12" w:line="250" w:lineRule="auto"/>
        <w:ind w:left="-5" w:hanging="10"/>
        <w:rPr>
          <w:lang w:val="en-US"/>
        </w:rPr>
      </w:pPr>
    </w:p>
    <w:tbl>
      <w:tblPr>
        <w:tblStyle w:val="TableGrid0"/>
        <w:tblW w:w="9906" w:type="dxa"/>
        <w:tblInd w:w="9" w:type="dxa"/>
        <w:tblCellMar>
          <w:top w:w="49" w:type="dxa"/>
          <w:left w:w="68" w:type="dxa"/>
          <w:right w:w="15" w:type="dxa"/>
        </w:tblCellMar>
        <w:tblLook w:val="04A0" w:firstRow="1" w:lastRow="0" w:firstColumn="1" w:lastColumn="0" w:noHBand="0" w:noVBand="1"/>
      </w:tblPr>
      <w:tblGrid>
        <w:gridCol w:w="1105"/>
        <w:gridCol w:w="993"/>
        <w:gridCol w:w="1379"/>
        <w:gridCol w:w="1129"/>
        <w:gridCol w:w="1257"/>
        <w:gridCol w:w="1503"/>
        <w:gridCol w:w="1500"/>
        <w:gridCol w:w="1040"/>
      </w:tblGrid>
      <w:tr w:rsidR="00452E09" w:rsidRPr="00452E09" w14:paraId="51385046" w14:textId="77777777" w:rsidTr="00AB1CDB">
        <w:trPr>
          <w:trHeight w:val="230"/>
        </w:trPr>
        <w:tc>
          <w:tcPr>
            <w:tcW w:w="9906" w:type="dxa"/>
            <w:gridSpan w:val="8"/>
            <w:tcBorders>
              <w:top w:val="single" w:sz="6" w:space="0" w:color="000000"/>
              <w:left w:val="single" w:sz="6" w:space="0" w:color="000000"/>
              <w:bottom w:val="single" w:sz="6" w:space="0" w:color="000000"/>
              <w:right w:val="single" w:sz="6" w:space="0" w:color="000000"/>
            </w:tcBorders>
            <w:shd w:val="clear" w:color="auto" w:fill="FFFFCC"/>
          </w:tcPr>
          <w:p w14:paraId="6FF2D091" w14:textId="77777777" w:rsidR="00452E09" w:rsidRPr="00452E09" w:rsidRDefault="00452E09" w:rsidP="00452E09">
            <w:pPr>
              <w:ind w:right="53"/>
              <w:jc w:val="center"/>
              <w:rPr>
                <w:lang w:val="en-US"/>
              </w:rPr>
            </w:pPr>
            <w:r w:rsidRPr="00452E09">
              <w:rPr>
                <w:b/>
                <w:sz w:val="18"/>
                <w:lang w:val="en-US"/>
              </w:rPr>
              <w:t xml:space="preserve">Summary table: estimated systemic exposure and risk characterisation for professional users </w:t>
            </w:r>
          </w:p>
        </w:tc>
      </w:tr>
      <w:tr w:rsidR="002A1DCA" w:rsidRPr="00452E09" w14:paraId="6DDD1DAF" w14:textId="77777777" w:rsidTr="00AB1CDB">
        <w:trPr>
          <w:trHeight w:val="1663"/>
        </w:trPr>
        <w:tc>
          <w:tcPr>
            <w:tcW w:w="1117" w:type="dxa"/>
            <w:tcBorders>
              <w:top w:val="single" w:sz="6" w:space="0" w:color="000000"/>
              <w:left w:val="single" w:sz="6" w:space="0" w:color="000000"/>
              <w:bottom w:val="single" w:sz="6" w:space="0" w:color="000000"/>
              <w:right w:val="single" w:sz="6" w:space="0" w:color="000000"/>
            </w:tcBorders>
          </w:tcPr>
          <w:p w14:paraId="786C622C" w14:textId="77777777" w:rsidR="00452E09" w:rsidRPr="00452E09" w:rsidRDefault="00452E09" w:rsidP="00452E09">
            <w:r w:rsidRPr="00452E09">
              <w:rPr>
                <w:b/>
                <w:sz w:val="18"/>
              </w:rPr>
              <w:t xml:space="preserve">Exposure scenario </w:t>
            </w:r>
          </w:p>
        </w:tc>
        <w:tc>
          <w:tcPr>
            <w:tcW w:w="993" w:type="dxa"/>
            <w:tcBorders>
              <w:top w:val="single" w:sz="6" w:space="0" w:color="000000"/>
              <w:left w:val="single" w:sz="6" w:space="0" w:color="000000"/>
              <w:bottom w:val="single" w:sz="6" w:space="0" w:color="000000"/>
              <w:right w:val="single" w:sz="6" w:space="0" w:color="000000"/>
            </w:tcBorders>
          </w:tcPr>
          <w:p w14:paraId="70FF1C88" w14:textId="77777777" w:rsidR="00452E09" w:rsidRPr="00452E09" w:rsidRDefault="00452E09" w:rsidP="00452E09">
            <w:pPr>
              <w:ind w:left="2"/>
            </w:pPr>
            <w:r w:rsidRPr="00452E09">
              <w:rPr>
                <w:b/>
                <w:sz w:val="18"/>
              </w:rPr>
              <w:t xml:space="preserve">Tier/PPE </w:t>
            </w:r>
          </w:p>
        </w:tc>
        <w:tc>
          <w:tcPr>
            <w:tcW w:w="1417" w:type="dxa"/>
            <w:tcBorders>
              <w:top w:val="single" w:sz="6" w:space="0" w:color="000000"/>
              <w:left w:val="single" w:sz="6" w:space="0" w:color="000000"/>
              <w:bottom w:val="single" w:sz="6" w:space="0" w:color="000000"/>
              <w:right w:val="single" w:sz="6" w:space="0" w:color="000000"/>
            </w:tcBorders>
          </w:tcPr>
          <w:p w14:paraId="05F672A3" w14:textId="77777777" w:rsidR="00452E09" w:rsidRPr="00452E09" w:rsidRDefault="00452E09" w:rsidP="00452E09">
            <w:pPr>
              <w:ind w:left="2" w:right="26"/>
              <w:rPr>
                <w:lang w:val="en-US"/>
              </w:rPr>
            </w:pPr>
            <w:r w:rsidRPr="00452E09">
              <w:rPr>
                <w:b/>
                <w:sz w:val="18"/>
                <w:lang w:val="en-US"/>
              </w:rPr>
              <w:t xml:space="preserve">Estimated oral uptake [mg/kg bw/day] </w:t>
            </w:r>
          </w:p>
        </w:tc>
        <w:tc>
          <w:tcPr>
            <w:tcW w:w="1134" w:type="dxa"/>
            <w:tcBorders>
              <w:top w:val="single" w:sz="6" w:space="0" w:color="000000"/>
              <w:left w:val="single" w:sz="6" w:space="0" w:color="000000"/>
              <w:bottom w:val="single" w:sz="6" w:space="0" w:color="000000"/>
              <w:right w:val="single" w:sz="6" w:space="0" w:color="000000"/>
            </w:tcBorders>
          </w:tcPr>
          <w:p w14:paraId="5A9899FA" w14:textId="77777777" w:rsidR="00452E09" w:rsidRPr="00452E09" w:rsidRDefault="00452E09" w:rsidP="00452E09">
            <w:pPr>
              <w:ind w:left="2"/>
              <w:rPr>
                <w:lang w:val="en-US"/>
              </w:rPr>
            </w:pPr>
            <w:r w:rsidRPr="00452E09">
              <w:rPr>
                <w:b/>
                <w:sz w:val="18"/>
                <w:lang w:val="en-US"/>
              </w:rPr>
              <w:t xml:space="preserve">Estimated dermal uptake [mg/kg bw/day] </w:t>
            </w:r>
          </w:p>
        </w:tc>
        <w:tc>
          <w:tcPr>
            <w:tcW w:w="1276" w:type="dxa"/>
            <w:tcBorders>
              <w:top w:val="single" w:sz="6" w:space="0" w:color="000000"/>
              <w:left w:val="single" w:sz="6" w:space="0" w:color="000000"/>
              <w:bottom w:val="single" w:sz="6" w:space="0" w:color="000000"/>
              <w:right w:val="single" w:sz="6" w:space="0" w:color="000000"/>
            </w:tcBorders>
          </w:tcPr>
          <w:p w14:paraId="2B57DF97" w14:textId="77777777" w:rsidR="00452E09" w:rsidRPr="00452E09" w:rsidRDefault="00452E09" w:rsidP="00452E09">
            <w:pPr>
              <w:ind w:left="2" w:right="28"/>
              <w:rPr>
                <w:lang w:val="en-US"/>
              </w:rPr>
            </w:pPr>
            <w:r w:rsidRPr="00452E09">
              <w:rPr>
                <w:b/>
                <w:sz w:val="18"/>
                <w:lang w:val="en-US"/>
              </w:rPr>
              <w:t xml:space="preserve">Estimated inhalation uptake [mg/kg bw/day] </w:t>
            </w:r>
          </w:p>
        </w:tc>
        <w:tc>
          <w:tcPr>
            <w:tcW w:w="1559" w:type="dxa"/>
            <w:tcBorders>
              <w:top w:val="single" w:sz="6" w:space="0" w:color="000000"/>
              <w:left w:val="single" w:sz="6" w:space="0" w:color="000000"/>
              <w:bottom w:val="single" w:sz="6" w:space="0" w:color="000000"/>
              <w:right w:val="single" w:sz="6" w:space="0" w:color="000000"/>
            </w:tcBorders>
          </w:tcPr>
          <w:p w14:paraId="6529808A" w14:textId="77777777" w:rsidR="00452E09" w:rsidRPr="00452E09" w:rsidRDefault="00452E09" w:rsidP="00452E09">
            <w:pPr>
              <w:ind w:left="2" w:right="25"/>
              <w:rPr>
                <w:lang w:val="en-US"/>
              </w:rPr>
            </w:pPr>
            <w:r w:rsidRPr="00452E09">
              <w:rPr>
                <w:b/>
                <w:sz w:val="18"/>
                <w:lang w:val="en-US"/>
              </w:rPr>
              <w:t xml:space="preserve">Estimated total uptake [mg/kg bw/day] </w:t>
            </w:r>
          </w:p>
        </w:tc>
        <w:tc>
          <w:tcPr>
            <w:tcW w:w="1559" w:type="dxa"/>
            <w:tcBorders>
              <w:top w:val="single" w:sz="6" w:space="0" w:color="000000"/>
              <w:left w:val="single" w:sz="6" w:space="0" w:color="000000"/>
              <w:bottom w:val="single" w:sz="6" w:space="0" w:color="000000"/>
              <w:right w:val="single" w:sz="6" w:space="0" w:color="000000"/>
            </w:tcBorders>
          </w:tcPr>
          <w:p w14:paraId="0435226D" w14:textId="77777777" w:rsidR="00452E09" w:rsidRPr="00452E09" w:rsidRDefault="00452E09" w:rsidP="00452E09">
            <w:pPr>
              <w:spacing w:line="239" w:lineRule="auto"/>
              <w:ind w:left="2"/>
              <w:rPr>
                <w:lang w:val="en-US"/>
              </w:rPr>
            </w:pPr>
            <w:r w:rsidRPr="00452E09">
              <w:rPr>
                <w:b/>
                <w:sz w:val="18"/>
                <w:lang w:val="en-US"/>
              </w:rPr>
              <w:t xml:space="preserve">Estimated uptake/ AEL  </w:t>
            </w:r>
          </w:p>
          <w:p w14:paraId="05765F7B" w14:textId="77777777" w:rsidR="00452E09" w:rsidRPr="00452E09" w:rsidRDefault="00452E09" w:rsidP="00452E09">
            <w:pPr>
              <w:ind w:left="2"/>
              <w:rPr>
                <w:lang w:val="en-US"/>
              </w:rPr>
            </w:pPr>
            <w:r w:rsidRPr="00452E09">
              <w:rPr>
                <w:b/>
                <w:sz w:val="18"/>
                <w:lang w:val="en-US"/>
              </w:rPr>
              <w:t xml:space="preserve">(%) </w:t>
            </w:r>
          </w:p>
          <w:p w14:paraId="2939A7C9" w14:textId="77777777" w:rsidR="00452E09" w:rsidRPr="00452E09" w:rsidRDefault="00452E09" w:rsidP="00452E09">
            <w:pPr>
              <w:ind w:left="2"/>
              <w:rPr>
                <w:lang w:val="en-US"/>
              </w:rPr>
            </w:pPr>
            <w:r w:rsidRPr="00452E09">
              <w:rPr>
                <w:sz w:val="18"/>
                <w:lang w:val="en-US"/>
              </w:rPr>
              <w:t xml:space="preserve"> </w:t>
            </w:r>
          </w:p>
          <w:p w14:paraId="23E6830B" w14:textId="77777777" w:rsidR="00452E09" w:rsidRPr="00452E09" w:rsidRDefault="00452E09" w:rsidP="00452E09">
            <w:pPr>
              <w:ind w:left="2"/>
              <w:rPr>
                <w:lang w:val="en-US"/>
              </w:rPr>
            </w:pPr>
            <w:r w:rsidRPr="00452E09">
              <w:rPr>
                <w:sz w:val="18"/>
                <w:lang w:val="en-US"/>
              </w:rPr>
              <w:t xml:space="preserve">UL = 0.01 </w:t>
            </w:r>
          </w:p>
          <w:p w14:paraId="5D3DF93D" w14:textId="77777777" w:rsidR="00452E09" w:rsidRPr="00452E09" w:rsidRDefault="00452E09" w:rsidP="00452E09">
            <w:pPr>
              <w:ind w:left="2"/>
              <w:rPr>
                <w:lang w:val="en-US"/>
              </w:rPr>
            </w:pPr>
            <w:r w:rsidRPr="00452E09">
              <w:rPr>
                <w:sz w:val="18"/>
                <w:lang w:val="en-US"/>
              </w:rPr>
              <w:t xml:space="preserve">mg/kg bw/d </w:t>
            </w:r>
          </w:p>
          <w:p w14:paraId="2D8F7480" w14:textId="77777777" w:rsidR="00452E09" w:rsidRPr="00452E09" w:rsidRDefault="00452E09" w:rsidP="00452E09">
            <w:pPr>
              <w:ind w:left="2"/>
              <w:rPr>
                <w:lang w:val="en-US"/>
              </w:rPr>
            </w:pPr>
            <w:r w:rsidRPr="00452E09">
              <w:rPr>
                <w:b/>
                <w:sz w:val="18"/>
                <w:lang w:val="en-US"/>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73751615" w14:textId="77777777" w:rsidR="00452E09" w:rsidRPr="00452E09" w:rsidRDefault="00452E09" w:rsidP="00452E09">
            <w:pPr>
              <w:ind w:left="2"/>
            </w:pPr>
            <w:r w:rsidRPr="00452E09">
              <w:rPr>
                <w:b/>
                <w:sz w:val="18"/>
              </w:rPr>
              <w:t xml:space="preserve">Exposure &lt; UL (Yes/No) </w:t>
            </w:r>
          </w:p>
        </w:tc>
      </w:tr>
      <w:tr w:rsidR="002A1DCA" w:rsidRPr="00452E09" w14:paraId="19DA0AB6" w14:textId="77777777" w:rsidTr="00AB1CDB">
        <w:trPr>
          <w:trHeight w:val="346"/>
        </w:trPr>
        <w:tc>
          <w:tcPr>
            <w:tcW w:w="1117" w:type="dxa"/>
            <w:tcBorders>
              <w:top w:val="single" w:sz="6" w:space="0" w:color="000000"/>
              <w:left w:val="single" w:sz="6" w:space="0" w:color="000000"/>
              <w:bottom w:val="single" w:sz="6" w:space="0" w:color="000000"/>
              <w:right w:val="single" w:sz="6" w:space="0" w:color="000000"/>
            </w:tcBorders>
          </w:tcPr>
          <w:p w14:paraId="56C8BEBB" w14:textId="77777777" w:rsidR="00452E09" w:rsidRPr="00452E09" w:rsidRDefault="00452E09" w:rsidP="00452E09">
            <w:r w:rsidRPr="00452E09">
              <w:rPr>
                <w:sz w:val="18"/>
              </w:rPr>
              <w:t xml:space="preserve">Scenario [3] </w:t>
            </w:r>
          </w:p>
          <w:p w14:paraId="6E49E505" w14:textId="77777777" w:rsidR="00452E09" w:rsidRPr="00452E09" w:rsidRDefault="00452E09" w:rsidP="00452E09">
            <w:r w:rsidRPr="00452E09">
              <w:rPr>
                <w:sz w:val="18"/>
              </w:rPr>
              <w:t xml:space="preserve"> </w:t>
            </w:r>
          </w:p>
        </w:tc>
        <w:tc>
          <w:tcPr>
            <w:tcW w:w="993" w:type="dxa"/>
            <w:tcBorders>
              <w:top w:val="single" w:sz="6" w:space="0" w:color="000000"/>
              <w:left w:val="single" w:sz="6" w:space="0" w:color="000000"/>
              <w:bottom w:val="single" w:sz="6" w:space="0" w:color="000000"/>
              <w:right w:val="single" w:sz="6" w:space="0" w:color="000000"/>
            </w:tcBorders>
          </w:tcPr>
          <w:p w14:paraId="23E3EFE6" w14:textId="77777777" w:rsidR="00452E09" w:rsidRPr="00452E09" w:rsidRDefault="00452E09" w:rsidP="00452E09">
            <w:pPr>
              <w:ind w:left="2"/>
            </w:pPr>
            <w:r w:rsidRPr="00452E09">
              <w:rPr>
                <w:sz w:val="18"/>
              </w:rPr>
              <w:t xml:space="preserve">1/no PPE </w:t>
            </w:r>
          </w:p>
        </w:tc>
        <w:tc>
          <w:tcPr>
            <w:tcW w:w="1417" w:type="dxa"/>
            <w:tcBorders>
              <w:top w:val="single" w:sz="6" w:space="0" w:color="000000"/>
              <w:left w:val="single" w:sz="6" w:space="0" w:color="000000"/>
              <w:bottom w:val="single" w:sz="6" w:space="0" w:color="000000"/>
              <w:right w:val="single" w:sz="6" w:space="0" w:color="000000"/>
            </w:tcBorders>
          </w:tcPr>
          <w:p w14:paraId="7A77006D" w14:textId="77777777" w:rsidR="00452E09" w:rsidRPr="00452E09" w:rsidRDefault="00452E09" w:rsidP="00452E09">
            <w:pPr>
              <w:rPr>
                <w:rFonts w:cs="Arial"/>
                <w:color w:val="000000"/>
                <w:sz w:val="18"/>
                <w:szCs w:val="18"/>
              </w:rPr>
            </w:pPr>
            <w:r w:rsidRPr="00452E09">
              <w:rPr>
                <w:rFonts w:cs="Arial"/>
                <w:color w:val="000000"/>
                <w:sz w:val="18"/>
                <w:szCs w:val="18"/>
              </w:rPr>
              <w:t xml:space="preserve"> nr</w:t>
            </w:r>
          </w:p>
        </w:tc>
        <w:tc>
          <w:tcPr>
            <w:tcW w:w="1134" w:type="dxa"/>
            <w:tcBorders>
              <w:top w:val="single" w:sz="6" w:space="0" w:color="000000"/>
              <w:left w:val="single" w:sz="6" w:space="0" w:color="000000"/>
              <w:bottom w:val="single" w:sz="6" w:space="0" w:color="000000"/>
              <w:right w:val="single" w:sz="6" w:space="0" w:color="000000"/>
            </w:tcBorders>
          </w:tcPr>
          <w:p w14:paraId="42584671" w14:textId="7D65DF93" w:rsidR="00452E09" w:rsidRPr="00452E09" w:rsidRDefault="00452E09">
            <w:pPr>
              <w:rPr>
                <w:rFonts w:cs="Arial"/>
                <w:color w:val="000000"/>
                <w:sz w:val="18"/>
                <w:szCs w:val="18"/>
              </w:rPr>
            </w:pPr>
            <w:r w:rsidRPr="00452E09">
              <w:rPr>
                <w:rFonts w:cs="Arial"/>
                <w:color w:val="000000"/>
                <w:sz w:val="18"/>
                <w:szCs w:val="18"/>
              </w:rPr>
              <w:t>8</w:t>
            </w:r>
            <w:r w:rsidR="00E10894">
              <w:rPr>
                <w:rFonts w:cs="Arial"/>
                <w:color w:val="000000"/>
                <w:sz w:val="18"/>
                <w:szCs w:val="18"/>
              </w:rPr>
              <w:t>.</w:t>
            </w:r>
            <w:r w:rsidRPr="00452E09">
              <w:rPr>
                <w:rFonts w:cs="Arial"/>
                <w:color w:val="000000"/>
                <w:sz w:val="18"/>
                <w:szCs w:val="18"/>
              </w:rPr>
              <w:t>51E-05</w:t>
            </w:r>
          </w:p>
        </w:tc>
        <w:tc>
          <w:tcPr>
            <w:tcW w:w="1276" w:type="dxa"/>
            <w:tcBorders>
              <w:top w:val="single" w:sz="6" w:space="0" w:color="000000"/>
              <w:left w:val="single" w:sz="6" w:space="0" w:color="000000"/>
              <w:bottom w:val="single" w:sz="6" w:space="0" w:color="000000"/>
              <w:right w:val="single" w:sz="6" w:space="0" w:color="000000"/>
            </w:tcBorders>
          </w:tcPr>
          <w:p w14:paraId="4F9325CE" w14:textId="77777777" w:rsidR="00452E09" w:rsidRPr="00452E09" w:rsidRDefault="00452E09" w:rsidP="00452E09">
            <w:pPr>
              <w:rPr>
                <w:rFonts w:cs="Arial"/>
                <w:color w:val="000000"/>
                <w:sz w:val="18"/>
                <w:szCs w:val="18"/>
              </w:rPr>
            </w:pPr>
            <w:r w:rsidRPr="00452E09">
              <w:rPr>
                <w:rFonts w:cs="Arial"/>
                <w:color w:val="000000"/>
                <w:sz w:val="18"/>
                <w:szCs w:val="18"/>
              </w:rPr>
              <w:t xml:space="preserve"> nr</w:t>
            </w:r>
          </w:p>
        </w:tc>
        <w:tc>
          <w:tcPr>
            <w:tcW w:w="1559" w:type="dxa"/>
            <w:tcBorders>
              <w:top w:val="nil"/>
              <w:left w:val="nil"/>
              <w:bottom w:val="single" w:sz="8" w:space="0" w:color="000000"/>
              <w:right w:val="single" w:sz="8" w:space="0" w:color="000000"/>
            </w:tcBorders>
            <w:shd w:val="clear" w:color="auto" w:fill="auto"/>
          </w:tcPr>
          <w:p w14:paraId="5B1E37FC" w14:textId="2894E065" w:rsidR="00452E09" w:rsidRPr="00452E09" w:rsidRDefault="00452E09">
            <w:pPr>
              <w:rPr>
                <w:rFonts w:cs="Arial"/>
                <w:color w:val="000000"/>
                <w:sz w:val="18"/>
                <w:szCs w:val="18"/>
              </w:rPr>
            </w:pPr>
            <w:r w:rsidRPr="00452E09">
              <w:rPr>
                <w:rFonts w:cs="Arial"/>
                <w:color w:val="000000"/>
                <w:sz w:val="18"/>
                <w:szCs w:val="18"/>
              </w:rPr>
              <w:t>8</w:t>
            </w:r>
            <w:r w:rsidR="00E10894">
              <w:rPr>
                <w:rFonts w:cs="Arial"/>
                <w:color w:val="000000"/>
                <w:sz w:val="18"/>
                <w:szCs w:val="18"/>
              </w:rPr>
              <w:t>.</w:t>
            </w:r>
            <w:r w:rsidRPr="00452E09">
              <w:rPr>
                <w:rFonts w:cs="Arial"/>
                <w:color w:val="000000"/>
                <w:sz w:val="18"/>
                <w:szCs w:val="18"/>
              </w:rPr>
              <w:t>51E-05</w:t>
            </w:r>
          </w:p>
        </w:tc>
        <w:tc>
          <w:tcPr>
            <w:tcW w:w="1559" w:type="dxa"/>
            <w:tcBorders>
              <w:top w:val="nil"/>
              <w:left w:val="nil"/>
              <w:bottom w:val="single" w:sz="8" w:space="0" w:color="000000"/>
              <w:right w:val="single" w:sz="8" w:space="0" w:color="000000"/>
            </w:tcBorders>
            <w:shd w:val="clear" w:color="auto" w:fill="auto"/>
          </w:tcPr>
          <w:p w14:paraId="3156AAD2" w14:textId="77777777" w:rsidR="00452E09" w:rsidRPr="00452E09" w:rsidRDefault="00452E09" w:rsidP="00452E09">
            <w:pPr>
              <w:rPr>
                <w:rFonts w:cs="Arial"/>
                <w:color w:val="000000"/>
                <w:sz w:val="18"/>
                <w:szCs w:val="18"/>
              </w:rPr>
            </w:pPr>
            <w:r w:rsidRPr="00452E09">
              <w:rPr>
                <w:rFonts w:cs="Arial"/>
                <w:color w:val="000000"/>
                <w:sz w:val="18"/>
                <w:szCs w:val="18"/>
              </w:rPr>
              <w:t>1%</w:t>
            </w:r>
          </w:p>
        </w:tc>
        <w:tc>
          <w:tcPr>
            <w:tcW w:w="851" w:type="dxa"/>
            <w:tcBorders>
              <w:top w:val="single" w:sz="6" w:space="0" w:color="000000"/>
              <w:left w:val="single" w:sz="6" w:space="0" w:color="000000"/>
              <w:bottom w:val="single" w:sz="6" w:space="0" w:color="000000"/>
              <w:right w:val="single" w:sz="6" w:space="0" w:color="000000"/>
            </w:tcBorders>
          </w:tcPr>
          <w:p w14:paraId="64E3FFD2" w14:textId="77777777" w:rsidR="00452E09" w:rsidRPr="00452E09" w:rsidRDefault="00452E09" w:rsidP="00452E09">
            <w:pPr>
              <w:rPr>
                <w:rFonts w:cs="Arial"/>
                <w:color w:val="000000"/>
                <w:sz w:val="18"/>
                <w:szCs w:val="18"/>
              </w:rPr>
            </w:pPr>
            <w:r w:rsidRPr="00452E09">
              <w:rPr>
                <w:rFonts w:cs="Arial"/>
                <w:color w:val="000000"/>
                <w:sz w:val="18"/>
                <w:szCs w:val="18"/>
              </w:rPr>
              <w:t xml:space="preserve"> Yes</w:t>
            </w:r>
          </w:p>
        </w:tc>
      </w:tr>
    </w:tbl>
    <w:p w14:paraId="5CD99F6A" w14:textId="77777777" w:rsidR="00452E09" w:rsidRPr="00452E09" w:rsidRDefault="00452E09" w:rsidP="00452E09">
      <w:pPr>
        <w:spacing w:after="229" w:line="250" w:lineRule="auto"/>
        <w:ind w:left="-5" w:hanging="10"/>
        <w:rPr>
          <w:rFonts w:eastAsia="Verdana"/>
          <w:i/>
          <w:lang w:val="en-US"/>
        </w:rPr>
      </w:pPr>
    </w:p>
    <w:p w14:paraId="23C5814C" w14:textId="77777777" w:rsidR="00452E09" w:rsidRPr="00452E09" w:rsidRDefault="00452E09" w:rsidP="00452E09">
      <w:pPr>
        <w:spacing w:after="229" w:line="250" w:lineRule="auto"/>
        <w:rPr>
          <w:rFonts w:eastAsia="Verdana"/>
          <w:b/>
          <w:u w:val="single"/>
          <w:lang w:val="en-US"/>
        </w:rPr>
      </w:pPr>
      <w:r w:rsidRPr="00452E09">
        <w:rPr>
          <w:rFonts w:eastAsia="Verdana"/>
          <w:b/>
          <w:u w:val="single"/>
          <w:lang w:val="en-US"/>
        </w:rPr>
        <w:t xml:space="preserve">Combined scenarios </w:t>
      </w:r>
    </w:p>
    <w:p w14:paraId="2E77FFE9" w14:textId="77777777" w:rsidR="00452E09" w:rsidRPr="00452E09" w:rsidRDefault="00452E09" w:rsidP="002A1DCA">
      <w:pPr>
        <w:rPr>
          <w:rFonts w:eastAsia="Calibri"/>
          <w:b/>
          <w:u w:val="single"/>
          <w:lang w:eastAsia="en-US"/>
        </w:rPr>
      </w:pPr>
      <w:r w:rsidRPr="00452E09">
        <w:rPr>
          <w:rFonts w:eastAsia="Calibri"/>
          <w:b/>
          <w:u w:val="single"/>
          <w:lang w:eastAsia="en-US"/>
        </w:rPr>
        <w:t xml:space="preserve">Outcome of combined systemic exposure and risk characterisation </w:t>
      </w:r>
    </w:p>
    <w:p w14:paraId="4CA165AF" w14:textId="77777777" w:rsidR="00452E09" w:rsidRPr="00452E09" w:rsidRDefault="00452E09" w:rsidP="00452E09">
      <w:pPr>
        <w:rPr>
          <w:lang w:val="en-US"/>
        </w:rPr>
      </w:pPr>
      <w:r w:rsidRPr="00452E09">
        <w:rPr>
          <w:rFonts w:eastAsia="Verdana"/>
          <w:lang w:val="en-US"/>
        </w:rPr>
        <w:t xml:space="preserve"> </w:t>
      </w:r>
    </w:p>
    <w:p w14:paraId="157F9FE4" w14:textId="77777777" w:rsidR="00237671" w:rsidRDefault="00452E09" w:rsidP="00237671">
      <w:pPr>
        <w:spacing w:after="12" w:line="250" w:lineRule="auto"/>
        <w:jc w:val="both"/>
        <w:rPr>
          <w:rFonts w:eastAsia="Verdana"/>
          <w:b/>
          <w:lang w:val="en-US"/>
        </w:rPr>
      </w:pPr>
      <w:r w:rsidRPr="00452E09">
        <w:rPr>
          <w:rFonts w:eastAsia="Verdana"/>
          <w:b/>
          <w:lang w:val="en-US"/>
        </w:rPr>
        <w:t>Summary table: combined local exposure and risk characterisation for professional users</w:t>
      </w:r>
    </w:p>
    <w:p w14:paraId="66C6D4D2" w14:textId="02371079" w:rsidR="00452E09" w:rsidRPr="00452E09" w:rsidRDefault="00452E09" w:rsidP="00237671">
      <w:pPr>
        <w:spacing w:after="12" w:line="250" w:lineRule="auto"/>
        <w:jc w:val="both"/>
        <w:rPr>
          <w:lang w:val="en-US"/>
        </w:rPr>
      </w:pPr>
      <w:r w:rsidRPr="00452E09">
        <w:rPr>
          <w:rFonts w:eastAsia="Verdana"/>
          <w:b/>
          <w:lang w:val="en-US"/>
        </w:rPr>
        <w:t xml:space="preserve"> </w:t>
      </w:r>
    </w:p>
    <w:tbl>
      <w:tblPr>
        <w:tblStyle w:val="TableGrid0"/>
        <w:tblW w:w="9974" w:type="dxa"/>
        <w:tblInd w:w="9" w:type="dxa"/>
        <w:tblCellMar>
          <w:top w:w="50" w:type="dxa"/>
          <w:left w:w="67" w:type="dxa"/>
          <w:right w:w="27" w:type="dxa"/>
        </w:tblCellMar>
        <w:tblLook w:val="04A0" w:firstRow="1" w:lastRow="0" w:firstColumn="1" w:lastColumn="0" w:noHBand="0" w:noVBand="1"/>
      </w:tblPr>
      <w:tblGrid>
        <w:gridCol w:w="1116"/>
        <w:gridCol w:w="1134"/>
        <w:gridCol w:w="1276"/>
        <w:gridCol w:w="1276"/>
        <w:gridCol w:w="1276"/>
        <w:gridCol w:w="1275"/>
        <w:gridCol w:w="1418"/>
        <w:gridCol w:w="1203"/>
      </w:tblGrid>
      <w:tr w:rsidR="00380DC2" w:rsidRPr="00452E09" w14:paraId="4F287E13" w14:textId="77777777" w:rsidTr="00AB6FB1">
        <w:trPr>
          <w:trHeight w:val="231"/>
        </w:trPr>
        <w:tc>
          <w:tcPr>
            <w:tcW w:w="9974" w:type="dxa"/>
            <w:gridSpan w:val="8"/>
            <w:tcBorders>
              <w:top w:val="single" w:sz="6" w:space="0" w:color="000000"/>
              <w:left w:val="single" w:sz="6" w:space="0" w:color="000000"/>
              <w:bottom w:val="single" w:sz="6" w:space="0" w:color="000000"/>
              <w:right w:val="single" w:sz="6" w:space="0" w:color="000000"/>
            </w:tcBorders>
            <w:shd w:val="clear" w:color="auto" w:fill="FFFFCC"/>
          </w:tcPr>
          <w:p w14:paraId="3A399C28" w14:textId="12671973" w:rsidR="00380DC2" w:rsidRPr="00452E09" w:rsidRDefault="00380DC2" w:rsidP="00452E09">
            <w:pPr>
              <w:rPr>
                <w:lang w:val="en-US"/>
              </w:rPr>
            </w:pPr>
            <w:r w:rsidRPr="00452E09">
              <w:rPr>
                <w:b/>
                <w:sz w:val="18"/>
                <w:lang w:val="en-US"/>
              </w:rPr>
              <w:t xml:space="preserve">Summary table: combined systemic exposure and risk characterisation for professional users </w:t>
            </w:r>
          </w:p>
        </w:tc>
      </w:tr>
      <w:tr w:rsidR="002A1DCA" w:rsidRPr="00452E09" w14:paraId="75724205" w14:textId="77777777" w:rsidTr="00AB1CDB">
        <w:trPr>
          <w:trHeight w:val="1663"/>
        </w:trPr>
        <w:tc>
          <w:tcPr>
            <w:tcW w:w="1116" w:type="dxa"/>
            <w:tcBorders>
              <w:top w:val="single" w:sz="6" w:space="0" w:color="000000"/>
              <w:left w:val="single" w:sz="6" w:space="0" w:color="000000"/>
              <w:bottom w:val="single" w:sz="6" w:space="0" w:color="000000"/>
              <w:right w:val="single" w:sz="6" w:space="0" w:color="000000"/>
            </w:tcBorders>
          </w:tcPr>
          <w:p w14:paraId="5F798D0C" w14:textId="77777777" w:rsidR="002A1DCA" w:rsidRPr="00452E09" w:rsidRDefault="002A1DCA" w:rsidP="00452E09">
            <w:pPr>
              <w:ind w:left="1"/>
            </w:pPr>
            <w:r w:rsidRPr="00452E09">
              <w:rPr>
                <w:b/>
                <w:sz w:val="18"/>
              </w:rPr>
              <w:lastRenderedPageBreak/>
              <w:t xml:space="preserve">Scenarios combined </w:t>
            </w:r>
          </w:p>
        </w:tc>
        <w:tc>
          <w:tcPr>
            <w:tcW w:w="1134" w:type="dxa"/>
            <w:tcBorders>
              <w:top w:val="single" w:sz="6" w:space="0" w:color="000000"/>
              <w:left w:val="single" w:sz="6" w:space="0" w:color="000000"/>
              <w:bottom w:val="single" w:sz="6" w:space="0" w:color="000000"/>
              <w:right w:val="single" w:sz="6" w:space="0" w:color="000000"/>
            </w:tcBorders>
          </w:tcPr>
          <w:p w14:paraId="5524DFA6" w14:textId="77777777" w:rsidR="002A1DCA" w:rsidRPr="00452E09" w:rsidRDefault="002A1DCA" w:rsidP="00452E09">
            <w:r w:rsidRPr="00452E09">
              <w:rPr>
                <w:b/>
                <w:sz w:val="18"/>
              </w:rPr>
              <w:t xml:space="preserve">Tier/PPE </w:t>
            </w:r>
          </w:p>
        </w:tc>
        <w:tc>
          <w:tcPr>
            <w:tcW w:w="1276" w:type="dxa"/>
            <w:tcBorders>
              <w:top w:val="single" w:sz="6" w:space="0" w:color="000000"/>
              <w:left w:val="single" w:sz="6" w:space="0" w:color="000000"/>
              <w:bottom w:val="single" w:sz="6" w:space="0" w:color="000000"/>
              <w:right w:val="single" w:sz="6" w:space="0" w:color="000000"/>
            </w:tcBorders>
          </w:tcPr>
          <w:p w14:paraId="02A4B86D" w14:textId="77777777" w:rsidR="002A1DCA" w:rsidRPr="00452E09" w:rsidRDefault="002A1DCA" w:rsidP="00452E09">
            <w:pPr>
              <w:spacing w:line="239" w:lineRule="auto"/>
              <w:rPr>
                <w:lang w:val="en-US"/>
              </w:rPr>
            </w:pPr>
            <w:r w:rsidRPr="00452E09">
              <w:rPr>
                <w:b/>
                <w:sz w:val="18"/>
                <w:lang w:val="en-US"/>
              </w:rPr>
              <w:t xml:space="preserve">Estimated oral uptake </w:t>
            </w:r>
          </w:p>
          <w:p w14:paraId="0443EE44" w14:textId="77777777" w:rsidR="002A1DCA" w:rsidRPr="00452E09" w:rsidRDefault="002A1DCA" w:rsidP="00452E09">
            <w:pPr>
              <w:jc w:val="both"/>
              <w:rPr>
                <w:lang w:val="en-US"/>
              </w:rPr>
            </w:pPr>
            <w:r w:rsidRPr="00452E09">
              <w:rPr>
                <w:b/>
                <w:sz w:val="18"/>
                <w:lang w:val="en-US"/>
              </w:rPr>
              <w:t xml:space="preserve">[mg/kg bw/day] </w:t>
            </w:r>
          </w:p>
        </w:tc>
        <w:tc>
          <w:tcPr>
            <w:tcW w:w="1276" w:type="dxa"/>
            <w:tcBorders>
              <w:top w:val="single" w:sz="6" w:space="0" w:color="000000"/>
              <w:left w:val="single" w:sz="6" w:space="0" w:color="000000"/>
              <w:bottom w:val="single" w:sz="6" w:space="0" w:color="000000"/>
              <w:right w:val="single" w:sz="6" w:space="0" w:color="000000"/>
            </w:tcBorders>
          </w:tcPr>
          <w:p w14:paraId="3D1850D1" w14:textId="77777777" w:rsidR="002A1DCA" w:rsidRPr="00452E09" w:rsidRDefault="002A1DCA" w:rsidP="00452E09">
            <w:pPr>
              <w:ind w:left="2"/>
              <w:rPr>
                <w:lang w:val="en-US"/>
              </w:rPr>
            </w:pPr>
            <w:r w:rsidRPr="00452E09">
              <w:rPr>
                <w:b/>
                <w:sz w:val="18"/>
                <w:lang w:val="en-US"/>
              </w:rPr>
              <w:t xml:space="preserve">Estimated dermal uptake [mg/kg bw/day] </w:t>
            </w:r>
          </w:p>
        </w:tc>
        <w:tc>
          <w:tcPr>
            <w:tcW w:w="1276" w:type="dxa"/>
            <w:tcBorders>
              <w:top w:val="single" w:sz="6" w:space="0" w:color="000000"/>
              <w:left w:val="single" w:sz="6" w:space="0" w:color="000000"/>
              <w:bottom w:val="single" w:sz="6" w:space="0" w:color="000000"/>
              <w:right w:val="single" w:sz="6" w:space="0" w:color="000000"/>
            </w:tcBorders>
          </w:tcPr>
          <w:p w14:paraId="68E12F8A" w14:textId="77777777" w:rsidR="002A1DCA" w:rsidRPr="00452E09" w:rsidRDefault="002A1DCA" w:rsidP="00452E09">
            <w:pPr>
              <w:ind w:left="2"/>
              <w:rPr>
                <w:lang w:val="en-US"/>
              </w:rPr>
            </w:pPr>
            <w:r w:rsidRPr="00452E09">
              <w:rPr>
                <w:b/>
                <w:sz w:val="18"/>
                <w:lang w:val="en-US"/>
              </w:rPr>
              <w:t xml:space="preserve">Estimated inhalation uptake [mg/kg bw/day] </w:t>
            </w:r>
          </w:p>
        </w:tc>
        <w:tc>
          <w:tcPr>
            <w:tcW w:w="1275" w:type="dxa"/>
            <w:tcBorders>
              <w:top w:val="single" w:sz="6" w:space="0" w:color="000000"/>
              <w:left w:val="single" w:sz="6" w:space="0" w:color="000000"/>
              <w:bottom w:val="single" w:sz="6" w:space="0" w:color="000000"/>
              <w:right w:val="single" w:sz="6" w:space="0" w:color="000000"/>
            </w:tcBorders>
          </w:tcPr>
          <w:p w14:paraId="21E9B8F2" w14:textId="77777777" w:rsidR="002A1DCA" w:rsidRPr="00452E09" w:rsidRDefault="002A1DCA" w:rsidP="00452E09">
            <w:pPr>
              <w:ind w:left="2"/>
              <w:rPr>
                <w:lang w:val="en-US"/>
              </w:rPr>
            </w:pPr>
            <w:r w:rsidRPr="00452E09">
              <w:rPr>
                <w:b/>
                <w:sz w:val="18"/>
                <w:lang w:val="en-US"/>
              </w:rPr>
              <w:t xml:space="preserve">Estimated total uptake [mg/kg bw/day] </w:t>
            </w:r>
          </w:p>
        </w:tc>
        <w:tc>
          <w:tcPr>
            <w:tcW w:w="1418" w:type="dxa"/>
            <w:tcBorders>
              <w:top w:val="single" w:sz="6" w:space="0" w:color="000000"/>
              <w:left w:val="single" w:sz="6" w:space="0" w:color="000000"/>
              <w:bottom w:val="single" w:sz="6" w:space="0" w:color="000000"/>
              <w:right w:val="single" w:sz="6" w:space="0" w:color="000000"/>
            </w:tcBorders>
          </w:tcPr>
          <w:p w14:paraId="1E68E067" w14:textId="77777777" w:rsidR="002A1DCA" w:rsidRPr="00452E09" w:rsidRDefault="002A1DCA" w:rsidP="00452E09">
            <w:pPr>
              <w:spacing w:line="239" w:lineRule="auto"/>
              <w:ind w:left="2"/>
              <w:rPr>
                <w:lang w:val="en-US"/>
              </w:rPr>
            </w:pPr>
            <w:r w:rsidRPr="00452E09">
              <w:rPr>
                <w:b/>
                <w:sz w:val="18"/>
                <w:lang w:val="en-US"/>
              </w:rPr>
              <w:t xml:space="preserve">Estimated uptake/ AEL  </w:t>
            </w:r>
          </w:p>
          <w:p w14:paraId="387583A5" w14:textId="77777777" w:rsidR="002A1DCA" w:rsidRPr="00452E09" w:rsidRDefault="002A1DCA" w:rsidP="00452E09">
            <w:pPr>
              <w:ind w:left="2"/>
              <w:rPr>
                <w:lang w:val="en-US"/>
              </w:rPr>
            </w:pPr>
            <w:r w:rsidRPr="00452E09">
              <w:rPr>
                <w:b/>
                <w:sz w:val="18"/>
                <w:lang w:val="en-US"/>
              </w:rPr>
              <w:t xml:space="preserve">(%) </w:t>
            </w:r>
          </w:p>
          <w:p w14:paraId="0F481B93" w14:textId="77777777" w:rsidR="002A1DCA" w:rsidRPr="00452E09" w:rsidRDefault="002A1DCA" w:rsidP="00452E09">
            <w:pPr>
              <w:ind w:left="2"/>
              <w:rPr>
                <w:lang w:val="en-US"/>
              </w:rPr>
            </w:pPr>
            <w:r w:rsidRPr="00452E09">
              <w:rPr>
                <w:sz w:val="18"/>
                <w:lang w:val="en-US"/>
              </w:rPr>
              <w:t xml:space="preserve"> </w:t>
            </w:r>
          </w:p>
          <w:p w14:paraId="5C568694" w14:textId="77777777" w:rsidR="002A1DCA" w:rsidRPr="00452E09" w:rsidRDefault="002A1DCA" w:rsidP="00452E09">
            <w:pPr>
              <w:ind w:left="2"/>
              <w:rPr>
                <w:lang w:val="en-US"/>
              </w:rPr>
            </w:pPr>
            <w:r w:rsidRPr="00452E09">
              <w:rPr>
                <w:sz w:val="18"/>
                <w:lang w:val="en-US"/>
              </w:rPr>
              <w:t>AEL = 0.01</w:t>
            </w:r>
          </w:p>
          <w:p w14:paraId="7E75D419" w14:textId="77777777" w:rsidR="002A1DCA" w:rsidRPr="00452E09" w:rsidRDefault="002A1DCA" w:rsidP="00452E09">
            <w:pPr>
              <w:ind w:left="2"/>
              <w:rPr>
                <w:lang w:val="en-US"/>
              </w:rPr>
            </w:pPr>
            <w:r w:rsidRPr="00452E09">
              <w:rPr>
                <w:sz w:val="18"/>
                <w:lang w:val="en-US"/>
              </w:rPr>
              <w:t xml:space="preserve">mg/kg bw/d </w:t>
            </w:r>
          </w:p>
          <w:p w14:paraId="0956B859" w14:textId="77777777" w:rsidR="002A1DCA" w:rsidRPr="00452E09" w:rsidRDefault="002A1DCA" w:rsidP="00452E09">
            <w:pPr>
              <w:ind w:left="2"/>
              <w:rPr>
                <w:lang w:val="en-US"/>
              </w:rPr>
            </w:pPr>
            <w:r w:rsidRPr="00452E09">
              <w:rPr>
                <w:b/>
                <w:sz w:val="18"/>
                <w:lang w:val="en-US"/>
              </w:rPr>
              <w:t xml:space="preserve"> </w:t>
            </w:r>
          </w:p>
        </w:tc>
        <w:tc>
          <w:tcPr>
            <w:tcW w:w="1203" w:type="dxa"/>
            <w:tcBorders>
              <w:top w:val="single" w:sz="6" w:space="0" w:color="000000"/>
              <w:left w:val="single" w:sz="6" w:space="0" w:color="000000"/>
              <w:bottom w:val="single" w:sz="6" w:space="0" w:color="000000"/>
              <w:right w:val="single" w:sz="6" w:space="0" w:color="000000"/>
            </w:tcBorders>
          </w:tcPr>
          <w:p w14:paraId="5EEAEC25" w14:textId="77777777" w:rsidR="002A1DCA" w:rsidRPr="00452E09" w:rsidRDefault="002A1DCA" w:rsidP="00452E09">
            <w:pPr>
              <w:ind w:left="2"/>
            </w:pPr>
            <w:r w:rsidRPr="00452E09">
              <w:rPr>
                <w:b/>
                <w:sz w:val="18"/>
              </w:rPr>
              <w:t xml:space="preserve">Acceptable (Yes/No) </w:t>
            </w:r>
          </w:p>
        </w:tc>
      </w:tr>
      <w:tr w:rsidR="002A1DCA" w:rsidRPr="00452E09" w14:paraId="4D8256E1" w14:textId="77777777" w:rsidTr="00AB1CDB">
        <w:trPr>
          <w:trHeight w:val="348"/>
        </w:trPr>
        <w:tc>
          <w:tcPr>
            <w:tcW w:w="1116" w:type="dxa"/>
            <w:tcBorders>
              <w:top w:val="single" w:sz="6" w:space="0" w:color="000000"/>
              <w:left w:val="single" w:sz="6" w:space="0" w:color="000000"/>
              <w:bottom w:val="single" w:sz="6" w:space="0" w:color="000000"/>
              <w:right w:val="single" w:sz="6" w:space="0" w:color="000000"/>
            </w:tcBorders>
          </w:tcPr>
          <w:p w14:paraId="3B5BC050" w14:textId="77777777" w:rsidR="002A1DCA" w:rsidRPr="00452E09" w:rsidRDefault="002A1DCA" w:rsidP="00452E09">
            <w:pPr>
              <w:ind w:left="1"/>
            </w:pPr>
            <w:r w:rsidRPr="00452E09">
              <w:rPr>
                <w:sz w:val="18"/>
              </w:rPr>
              <w:t xml:space="preserve">Scenario [1] </w:t>
            </w:r>
          </w:p>
          <w:p w14:paraId="49ED98B3" w14:textId="77777777" w:rsidR="002A1DCA" w:rsidRPr="00452E09" w:rsidRDefault="002A1DCA" w:rsidP="00452E09">
            <w:pPr>
              <w:ind w:left="1"/>
            </w:pPr>
            <w:r w:rsidRPr="00452E09">
              <w:rPr>
                <w:sz w:val="18"/>
              </w:rPr>
              <w:t xml:space="preserve">+ Scenario </w:t>
            </w:r>
          </w:p>
          <w:p w14:paraId="3B07EA7D" w14:textId="77777777" w:rsidR="002A1DCA" w:rsidRPr="00452E09" w:rsidRDefault="002A1DCA" w:rsidP="00452E09">
            <w:pPr>
              <w:ind w:left="1"/>
            </w:pPr>
            <w:r w:rsidRPr="00452E09">
              <w:rPr>
                <w:sz w:val="18"/>
              </w:rPr>
              <w:t xml:space="preserve">[3]  </w:t>
            </w:r>
          </w:p>
        </w:tc>
        <w:tc>
          <w:tcPr>
            <w:tcW w:w="1134" w:type="dxa"/>
            <w:tcBorders>
              <w:top w:val="single" w:sz="6" w:space="0" w:color="000000"/>
              <w:left w:val="single" w:sz="6" w:space="0" w:color="000000"/>
              <w:bottom w:val="single" w:sz="6" w:space="0" w:color="000000"/>
              <w:right w:val="single" w:sz="6" w:space="0" w:color="000000"/>
            </w:tcBorders>
          </w:tcPr>
          <w:p w14:paraId="39BB809F" w14:textId="77777777" w:rsidR="002A1DCA" w:rsidRPr="00452E09" w:rsidRDefault="002A1DCA" w:rsidP="00452E09">
            <w:r w:rsidRPr="00452E09">
              <w:rPr>
                <w:sz w:val="18"/>
              </w:rPr>
              <w:t xml:space="preserve">1/no PPE </w:t>
            </w:r>
          </w:p>
        </w:tc>
        <w:tc>
          <w:tcPr>
            <w:tcW w:w="1276" w:type="dxa"/>
            <w:tcBorders>
              <w:top w:val="single" w:sz="6" w:space="0" w:color="000000"/>
              <w:left w:val="single" w:sz="6" w:space="0" w:color="000000"/>
              <w:bottom w:val="single" w:sz="6" w:space="0" w:color="000000"/>
              <w:right w:val="single" w:sz="6" w:space="0" w:color="000000"/>
            </w:tcBorders>
          </w:tcPr>
          <w:p w14:paraId="69422AFA" w14:textId="77777777" w:rsidR="002A1DCA" w:rsidRPr="00452E09" w:rsidRDefault="002A1DCA" w:rsidP="00452E09">
            <w:r w:rsidRPr="00452E09">
              <w:rPr>
                <w:sz w:val="18"/>
              </w:rPr>
              <w:t xml:space="preserve"> nr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A77A325" w14:textId="1719DE93" w:rsidR="002A1DCA" w:rsidRPr="00452E09" w:rsidRDefault="002A1DCA">
            <w:r w:rsidRPr="00452E09">
              <w:rPr>
                <w:rFonts w:cs="Arial"/>
                <w:color w:val="000000"/>
                <w:sz w:val="18"/>
              </w:rPr>
              <w:t>3</w:t>
            </w:r>
            <w:r w:rsidR="00E10894">
              <w:rPr>
                <w:rFonts w:cs="Arial"/>
                <w:color w:val="000000"/>
                <w:sz w:val="18"/>
              </w:rPr>
              <w:t>.</w:t>
            </w:r>
            <w:r w:rsidRPr="00452E09">
              <w:rPr>
                <w:rFonts w:cs="Arial"/>
                <w:color w:val="000000"/>
                <w:sz w:val="18"/>
              </w:rPr>
              <w:t>83E-03</w:t>
            </w:r>
          </w:p>
        </w:tc>
        <w:tc>
          <w:tcPr>
            <w:tcW w:w="1276" w:type="dxa"/>
            <w:tcBorders>
              <w:top w:val="single" w:sz="6" w:space="0" w:color="000000"/>
              <w:left w:val="single" w:sz="6" w:space="0" w:color="000000"/>
              <w:bottom w:val="single" w:sz="6" w:space="0" w:color="000000"/>
              <w:right w:val="single" w:sz="6" w:space="0" w:color="000000"/>
            </w:tcBorders>
          </w:tcPr>
          <w:p w14:paraId="4ABA929D" w14:textId="77777777" w:rsidR="002A1DCA" w:rsidRPr="00452E09" w:rsidRDefault="002A1DCA" w:rsidP="00452E09">
            <w:pPr>
              <w:ind w:left="2"/>
            </w:pPr>
            <w:r w:rsidRPr="00452E09">
              <w:rPr>
                <w:sz w:val="18"/>
              </w:rPr>
              <w:t xml:space="preserve"> nr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72977882" w14:textId="6EDAD102" w:rsidR="002A1DCA" w:rsidRPr="00452E09" w:rsidRDefault="002A1DCA">
            <w:r w:rsidRPr="00452E09">
              <w:rPr>
                <w:rFonts w:cs="Arial"/>
                <w:color w:val="000000"/>
                <w:sz w:val="18"/>
              </w:rPr>
              <w:t>3</w:t>
            </w:r>
            <w:r w:rsidR="00E10894">
              <w:rPr>
                <w:rFonts w:cs="Arial"/>
                <w:color w:val="000000"/>
                <w:sz w:val="18"/>
              </w:rPr>
              <w:t>.</w:t>
            </w:r>
            <w:r w:rsidRPr="00452E09">
              <w:rPr>
                <w:rFonts w:cs="Arial"/>
                <w:color w:val="000000"/>
                <w:sz w:val="18"/>
              </w:rPr>
              <w:t>83E-03</w:t>
            </w:r>
          </w:p>
        </w:tc>
        <w:tc>
          <w:tcPr>
            <w:tcW w:w="1418" w:type="dxa"/>
            <w:tcBorders>
              <w:top w:val="single" w:sz="6" w:space="0" w:color="000000"/>
              <w:left w:val="single" w:sz="6" w:space="0" w:color="000000"/>
              <w:bottom w:val="single" w:sz="6" w:space="0" w:color="000000"/>
              <w:right w:val="single" w:sz="6" w:space="0" w:color="000000"/>
            </w:tcBorders>
          </w:tcPr>
          <w:p w14:paraId="37F70D83" w14:textId="77777777" w:rsidR="002A1DCA" w:rsidRPr="00452E09" w:rsidRDefault="002A1DCA" w:rsidP="00452E09">
            <w:pPr>
              <w:ind w:left="2"/>
            </w:pPr>
            <w:r w:rsidRPr="00452E09">
              <w:rPr>
                <w:sz w:val="18"/>
              </w:rPr>
              <w:t xml:space="preserve"> 38%</w:t>
            </w:r>
          </w:p>
        </w:tc>
        <w:tc>
          <w:tcPr>
            <w:tcW w:w="1203" w:type="dxa"/>
            <w:tcBorders>
              <w:top w:val="single" w:sz="6" w:space="0" w:color="000000"/>
              <w:left w:val="single" w:sz="6" w:space="0" w:color="000000"/>
              <w:bottom w:val="single" w:sz="6" w:space="0" w:color="000000"/>
              <w:right w:val="single" w:sz="6" w:space="0" w:color="000000"/>
            </w:tcBorders>
          </w:tcPr>
          <w:p w14:paraId="1BCE1EDA" w14:textId="77777777" w:rsidR="002A1DCA" w:rsidRPr="00452E09" w:rsidRDefault="002A1DCA" w:rsidP="00452E09">
            <w:pPr>
              <w:ind w:left="2"/>
            </w:pPr>
            <w:r w:rsidRPr="00452E09">
              <w:rPr>
                <w:sz w:val="18"/>
              </w:rPr>
              <w:t xml:space="preserve"> Yes</w:t>
            </w:r>
          </w:p>
        </w:tc>
      </w:tr>
      <w:tr w:rsidR="002A1DCA" w:rsidRPr="00452E09" w14:paraId="29871430" w14:textId="77777777" w:rsidTr="00AB1CDB">
        <w:trPr>
          <w:trHeight w:val="348"/>
        </w:trPr>
        <w:tc>
          <w:tcPr>
            <w:tcW w:w="1116" w:type="dxa"/>
            <w:tcBorders>
              <w:top w:val="single" w:sz="6" w:space="0" w:color="000000"/>
              <w:left w:val="single" w:sz="6" w:space="0" w:color="000000"/>
              <w:bottom w:val="single" w:sz="6" w:space="0" w:color="000000"/>
              <w:right w:val="single" w:sz="6" w:space="0" w:color="000000"/>
            </w:tcBorders>
          </w:tcPr>
          <w:p w14:paraId="1C4BCCBC" w14:textId="77777777" w:rsidR="002A1DCA" w:rsidRPr="00452E09" w:rsidRDefault="002A1DCA" w:rsidP="00452E09">
            <w:pPr>
              <w:ind w:left="1"/>
            </w:pPr>
            <w:r w:rsidRPr="00452E09">
              <w:rPr>
                <w:sz w:val="18"/>
              </w:rPr>
              <w:t xml:space="preserve">Scenario [2] </w:t>
            </w:r>
          </w:p>
          <w:p w14:paraId="22F9F75B" w14:textId="77777777" w:rsidR="002A1DCA" w:rsidRPr="00452E09" w:rsidRDefault="002A1DCA" w:rsidP="00452E09">
            <w:pPr>
              <w:ind w:left="1"/>
            </w:pPr>
            <w:r w:rsidRPr="00452E09">
              <w:rPr>
                <w:sz w:val="18"/>
              </w:rPr>
              <w:t xml:space="preserve">+ Scenario </w:t>
            </w:r>
          </w:p>
          <w:p w14:paraId="6A93143B" w14:textId="77777777" w:rsidR="002A1DCA" w:rsidRPr="00452E09" w:rsidRDefault="002A1DCA" w:rsidP="00452E09">
            <w:pPr>
              <w:ind w:left="1"/>
              <w:rPr>
                <w:sz w:val="18"/>
              </w:rPr>
            </w:pPr>
            <w:r w:rsidRPr="00452E09">
              <w:rPr>
                <w:sz w:val="18"/>
              </w:rPr>
              <w:t xml:space="preserve">[3] </w:t>
            </w:r>
          </w:p>
        </w:tc>
        <w:tc>
          <w:tcPr>
            <w:tcW w:w="8858" w:type="dxa"/>
            <w:gridSpan w:val="7"/>
            <w:tcBorders>
              <w:top w:val="single" w:sz="6" w:space="0" w:color="000000"/>
              <w:left w:val="single" w:sz="6" w:space="0" w:color="000000"/>
              <w:bottom w:val="single" w:sz="6" w:space="0" w:color="000000"/>
              <w:right w:val="single" w:sz="6" w:space="0" w:color="000000"/>
            </w:tcBorders>
          </w:tcPr>
          <w:p w14:paraId="277C01CA" w14:textId="77777777" w:rsidR="002A1DCA" w:rsidRPr="00452E09" w:rsidRDefault="002A1DCA" w:rsidP="00452E09">
            <w:pPr>
              <w:ind w:left="1"/>
            </w:pPr>
            <w:r w:rsidRPr="00452E09">
              <w:rPr>
                <w:sz w:val="18"/>
              </w:rPr>
              <w:t xml:space="preserve">Covers by Scenario [1] </w:t>
            </w:r>
            <w:r w:rsidRPr="00452E09">
              <w:t xml:space="preserve"> </w:t>
            </w:r>
            <w:r w:rsidRPr="00452E09">
              <w:rPr>
                <w:sz w:val="18"/>
              </w:rPr>
              <w:t xml:space="preserve">+ Scenario [3]  </w:t>
            </w:r>
          </w:p>
        </w:tc>
      </w:tr>
    </w:tbl>
    <w:p w14:paraId="3E1E35F4" w14:textId="77777777" w:rsidR="00452E09" w:rsidRPr="00452E09" w:rsidRDefault="00452E09" w:rsidP="00452E09">
      <w:pPr>
        <w:rPr>
          <w:rFonts w:eastAsia="Calibri"/>
          <w:b/>
          <w:lang w:val="en-US" w:eastAsia="en-US"/>
        </w:rPr>
      </w:pPr>
    </w:p>
    <w:p w14:paraId="2808942E" w14:textId="77777777" w:rsidR="00452E09" w:rsidRPr="00452E09" w:rsidRDefault="00452E09" w:rsidP="00452E09">
      <w:pPr>
        <w:rPr>
          <w:rFonts w:eastAsia="Calibri"/>
          <w:b/>
          <w:lang w:val="en-US" w:eastAsia="en-US"/>
        </w:rPr>
      </w:pPr>
    </w:p>
    <w:p w14:paraId="6C296793" w14:textId="77777777" w:rsidR="00452E09" w:rsidRPr="00452E09" w:rsidRDefault="00452E09" w:rsidP="00452E09">
      <w:pPr>
        <w:rPr>
          <w:rFonts w:eastAsia="Calibri"/>
          <w:b/>
          <w:lang w:val="en-US" w:eastAsia="en-US"/>
        </w:rPr>
      </w:pPr>
      <w:r w:rsidRPr="00452E09">
        <w:rPr>
          <w:rFonts w:eastAsia="Calibri"/>
          <w:b/>
          <w:lang w:val="en-US" w:eastAsia="en-US"/>
        </w:rPr>
        <w:t>Conclusion</w:t>
      </w:r>
    </w:p>
    <w:p w14:paraId="0B775B75" w14:textId="77777777" w:rsidR="00452E09" w:rsidRPr="00452E09" w:rsidRDefault="00452E09" w:rsidP="00452E09">
      <w:pPr>
        <w:rPr>
          <w:rFonts w:eastAsia="Calibri"/>
          <w:b/>
          <w:lang w:eastAsia="en-US"/>
        </w:rPr>
      </w:pPr>
    </w:p>
    <w:p w14:paraId="7CFC3E17" w14:textId="77777777" w:rsidR="00452E09" w:rsidRPr="00452E09" w:rsidRDefault="00452E09" w:rsidP="00AB1CDB">
      <w:pPr>
        <w:jc w:val="both"/>
        <w:rPr>
          <w:rFonts w:eastAsia="Calibri"/>
          <w:lang w:eastAsia="en-US"/>
        </w:rPr>
      </w:pPr>
      <w:r w:rsidRPr="00452E09">
        <w:rPr>
          <w:rFonts w:eastAsia="Calibri"/>
          <w:lang w:eastAsia="en-US"/>
        </w:rPr>
        <w:t>The combined exposures linked to the following biocidal uses are inferior to the UL of iodine:</w:t>
      </w:r>
    </w:p>
    <w:p w14:paraId="73E6E719" w14:textId="77777777" w:rsidR="00452E09" w:rsidRPr="00452E09" w:rsidRDefault="00452E09" w:rsidP="00452E09">
      <w:pPr>
        <w:numPr>
          <w:ilvl w:val="1"/>
          <w:numId w:val="13"/>
        </w:numPr>
        <w:rPr>
          <w:rFonts w:eastAsia="Calibri"/>
          <w:lang w:eastAsia="en-US"/>
        </w:rPr>
      </w:pPr>
      <w:r w:rsidRPr="00452E09">
        <w:rPr>
          <w:rFonts w:eastAsia="Calibri"/>
          <w:lang w:eastAsia="en-US"/>
        </w:rPr>
        <w:t xml:space="preserve"> application by manual dipping + cleaning of the equipment</w:t>
      </w:r>
    </w:p>
    <w:p w14:paraId="7C3C95E7" w14:textId="77777777" w:rsidR="00452E09" w:rsidRPr="00452E09" w:rsidRDefault="00452E09" w:rsidP="00452E09">
      <w:pPr>
        <w:numPr>
          <w:ilvl w:val="1"/>
          <w:numId w:val="13"/>
        </w:numPr>
        <w:rPr>
          <w:rFonts w:ascii="Times New Roman" w:eastAsia="Calibri" w:hAnsi="Times New Roman" w:cs="Times New Roman"/>
          <w:i/>
          <w:iCs/>
          <w:lang w:eastAsia="en-US"/>
        </w:rPr>
      </w:pPr>
      <w:r w:rsidRPr="00452E09">
        <w:rPr>
          <w:rFonts w:eastAsia="Calibri"/>
          <w:lang w:eastAsia="en-US"/>
        </w:rPr>
        <w:t xml:space="preserve"> application by automatic dipping + cleaning of the equipment </w:t>
      </w:r>
    </w:p>
    <w:p w14:paraId="3B4FA772" w14:textId="77777777" w:rsidR="00452E09" w:rsidRPr="00452E09" w:rsidRDefault="00452E09" w:rsidP="00452E09">
      <w:pPr>
        <w:rPr>
          <w:rFonts w:eastAsia="Calibri"/>
          <w:lang w:eastAsia="en-US"/>
        </w:rPr>
      </w:pPr>
    </w:p>
    <w:p w14:paraId="79D782DF" w14:textId="77777777" w:rsidR="00452E09" w:rsidRPr="00452E09" w:rsidRDefault="00452E09" w:rsidP="00452E09">
      <w:pPr>
        <w:rPr>
          <w:rFonts w:eastAsia="Calibri"/>
          <w:b/>
          <w:lang w:eastAsia="en-US"/>
        </w:rPr>
      </w:pPr>
    </w:p>
    <w:p w14:paraId="5BC4A9A2" w14:textId="77777777" w:rsidR="00452E09" w:rsidRPr="00452E09" w:rsidRDefault="00452E09" w:rsidP="00AB1CDB">
      <w:pPr>
        <w:spacing w:line="260" w:lineRule="atLeast"/>
        <w:jc w:val="both"/>
        <w:rPr>
          <w:rFonts w:eastAsia="Calibri"/>
          <w:lang w:eastAsia="en-US"/>
        </w:rPr>
      </w:pPr>
      <w:r w:rsidRPr="00452E09">
        <w:rPr>
          <w:rFonts w:eastAsia="Calibri"/>
          <w:lang w:eastAsia="en-US"/>
        </w:rPr>
        <w:t>As mentioned above, the exposure of iodine linked to the biocidal uses is added to the dietary intake:</w:t>
      </w:r>
    </w:p>
    <w:p w14:paraId="218FBD6C" w14:textId="77777777" w:rsidR="00452E09" w:rsidRPr="00452E09" w:rsidDel="00B72281" w:rsidRDefault="00452E09" w:rsidP="00452E09">
      <w:pPr>
        <w:spacing w:line="260" w:lineRule="atLeast"/>
        <w:rPr>
          <w:rFonts w:eastAsia="Calibri"/>
          <w:lang w:eastAsia="en-US"/>
        </w:rPr>
      </w:pPr>
      <w:r w:rsidRPr="00452E09">
        <w:rPr>
          <w:rFonts w:eastAsia="Calibri"/>
          <w:lang w:eastAsia="en-US"/>
        </w:rPr>
        <w:t xml:space="preserve">  </w:t>
      </w:r>
    </w:p>
    <w:tbl>
      <w:tblPr>
        <w:tblStyle w:val="TableGrid0"/>
        <w:tblW w:w="9188" w:type="dxa"/>
        <w:tblInd w:w="9" w:type="dxa"/>
        <w:tblCellMar>
          <w:top w:w="50" w:type="dxa"/>
          <w:left w:w="67" w:type="dxa"/>
          <w:right w:w="27" w:type="dxa"/>
        </w:tblCellMar>
        <w:tblLook w:val="04A0" w:firstRow="1" w:lastRow="0" w:firstColumn="1" w:lastColumn="0" w:noHBand="0" w:noVBand="1"/>
      </w:tblPr>
      <w:tblGrid>
        <w:gridCol w:w="1732"/>
        <w:gridCol w:w="2120"/>
        <w:gridCol w:w="1880"/>
        <w:gridCol w:w="1903"/>
        <w:gridCol w:w="1553"/>
      </w:tblGrid>
      <w:tr w:rsidR="00452E09" w:rsidRPr="00452E09" w14:paraId="02FA8CBE" w14:textId="77777777" w:rsidTr="00452E09">
        <w:trPr>
          <w:trHeight w:val="1663"/>
        </w:trPr>
        <w:tc>
          <w:tcPr>
            <w:tcW w:w="1732" w:type="dxa"/>
            <w:tcBorders>
              <w:top w:val="single" w:sz="6" w:space="0" w:color="000000"/>
              <w:left w:val="single" w:sz="6" w:space="0" w:color="000000"/>
              <w:bottom w:val="single" w:sz="6" w:space="0" w:color="000000"/>
              <w:right w:val="single" w:sz="6" w:space="0" w:color="000000"/>
            </w:tcBorders>
            <w:shd w:val="clear" w:color="auto" w:fill="FFFFCC"/>
          </w:tcPr>
          <w:p w14:paraId="226294C7" w14:textId="77777777" w:rsidR="00452E09" w:rsidRPr="00452E09" w:rsidRDefault="00452E09" w:rsidP="00452E09">
            <w:pPr>
              <w:keepNext/>
              <w:rPr>
                <w:b/>
                <w:sz w:val="18"/>
                <w:lang w:val="en-US"/>
              </w:rPr>
            </w:pPr>
            <w:r w:rsidRPr="00452E09">
              <w:rPr>
                <w:b/>
                <w:sz w:val="18"/>
                <w:lang w:val="en-US"/>
              </w:rPr>
              <w:t xml:space="preserve">Scenarios combined </w:t>
            </w:r>
          </w:p>
        </w:tc>
        <w:tc>
          <w:tcPr>
            <w:tcW w:w="2120" w:type="dxa"/>
            <w:tcBorders>
              <w:top w:val="single" w:sz="6" w:space="0" w:color="000000"/>
              <w:left w:val="single" w:sz="6" w:space="0" w:color="000000"/>
              <w:bottom w:val="single" w:sz="6" w:space="0" w:color="000000"/>
              <w:right w:val="single" w:sz="6" w:space="0" w:color="000000"/>
            </w:tcBorders>
            <w:shd w:val="clear" w:color="auto" w:fill="FFFFCC"/>
          </w:tcPr>
          <w:p w14:paraId="3AF26724" w14:textId="77777777" w:rsidR="00452E09" w:rsidRPr="00452E09" w:rsidRDefault="00452E09" w:rsidP="00452E09">
            <w:pPr>
              <w:keepNext/>
              <w:rPr>
                <w:b/>
                <w:sz w:val="18"/>
                <w:lang w:val="en-US"/>
              </w:rPr>
            </w:pPr>
            <w:r w:rsidRPr="00452E09">
              <w:rPr>
                <w:b/>
                <w:sz w:val="18"/>
                <w:lang w:val="en-US"/>
              </w:rPr>
              <w:t xml:space="preserve">Tier/PPE </w:t>
            </w:r>
          </w:p>
        </w:tc>
        <w:tc>
          <w:tcPr>
            <w:tcW w:w="1880" w:type="dxa"/>
            <w:tcBorders>
              <w:top w:val="single" w:sz="6" w:space="0" w:color="000000"/>
              <w:left w:val="single" w:sz="6" w:space="0" w:color="000000"/>
              <w:bottom w:val="single" w:sz="6" w:space="0" w:color="000000"/>
              <w:right w:val="single" w:sz="4" w:space="0" w:color="auto"/>
            </w:tcBorders>
            <w:shd w:val="clear" w:color="auto" w:fill="FFFFCC"/>
          </w:tcPr>
          <w:p w14:paraId="006BA98C" w14:textId="77777777" w:rsidR="00452E09" w:rsidRPr="00452E09" w:rsidRDefault="00452E09" w:rsidP="00452E09">
            <w:pPr>
              <w:keepNext/>
              <w:spacing w:line="239" w:lineRule="auto"/>
              <w:rPr>
                <w:b/>
                <w:sz w:val="18"/>
                <w:lang w:val="en-US"/>
              </w:rPr>
            </w:pPr>
            <w:r w:rsidRPr="00452E09">
              <w:rPr>
                <w:b/>
                <w:sz w:val="18"/>
                <w:lang w:val="en-US"/>
              </w:rPr>
              <w:t xml:space="preserve">Estimated biocidal uptake/ AEL  </w:t>
            </w:r>
          </w:p>
          <w:p w14:paraId="3D540EB1" w14:textId="77777777" w:rsidR="00452E09" w:rsidRPr="00452E09" w:rsidRDefault="00452E09" w:rsidP="00452E09">
            <w:pPr>
              <w:keepNext/>
              <w:rPr>
                <w:b/>
                <w:sz w:val="18"/>
                <w:lang w:val="en-US"/>
              </w:rPr>
            </w:pPr>
            <w:r w:rsidRPr="00452E09">
              <w:rPr>
                <w:b/>
                <w:sz w:val="18"/>
                <w:lang w:val="en-US"/>
              </w:rPr>
              <w:t xml:space="preserve">(%) </w:t>
            </w:r>
          </w:p>
          <w:p w14:paraId="5CC463EF" w14:textId="77777777" w:rsidR="00452E09" w:rsidRPr="00452E09" w:rsidRDefault="00452E09" w:rsidP="00452E09">
            <w:pPr>
              <w:keepNext/>
              <w:rPr>
                <w:b/>
                <w:sz w:val="18"/>
                <w:lang w:val="en-US"/>
              </w:rPr>
            </w:pPr>
            <w:r w:rsidRPr="00452E09">
              <w:rPr>
                <w:b/>
                <w:sz w:val="18"/>
                <w:lang w:val="en-US"/>
              </w:rPr>
              <w:t xml:space="preserve"> </w:t>
            </w:r>
          </w:p>
          <w:p w14:paraId="753A9FA3" w14:textId="77777777" w:rsidR="00452E09" w:rsidRPr="00452E09" w:rsidRDefault="00452E09" w:rsidP="00452E09">
            <w:pPr>
              <w:keepNext/>
              <w:rPr>
                <w:b/>
                <w:sz w:val="18"/>
                <w:lang w:val="en-US"/>
              </w:rPr>
            </w:pPr>
            <w:r w:rsidRPr="00452E09">
              <w:rPr>
                <w:b/>
                <w:sz w:val="18"/>
                <w:lang w:val="en-US"/>
              </w:rPr>
              <w:t>AEL = 0.01</w:t>
            </w:r>
          </w:p>
          <w:p w14:paraId="650B2BEB" w14:textId="77777777" w:rsidR="00452E09" w:rsidRPr="00452E09" w:rsidRDefault="00452E09" w:rsidP="00452E09">
            <w:pPr>
              <w:keepNext/>
              <w:rPr>
                <w:b/>
                <w:sz w:val="18"/>
                <w:lang w:val="en-US"/>
              </w:rPr>
            </w:pPr>
            <w:r w:rsidRPr="00452E09">
              <w:rPr>
                <w:b/>
                <w:sz w:val="18"/>
                <w:lang w:val="en-US"/>
              </w:rPr>
              <w:t xml:space="preserve">mg/kg bw/d </w:t>
            </w:r>
          </w:p>
          <w:p w14:paraId="78A0D260" w14:textId="77777777" w:rsidR="00452E09" w:rsidRPr="00452E09" w:rsidRDefault="00452E09" w:rsidP="00452E09">
            <w:pPr>
              <w:keepNext/>
              <w:rPr>
                <w:b/>
                <w:sz w:val="18"/>
                <w:lang w:val="en-US"/>
              </w:rPr>
            </w:pPr>
            <w:r w:rsidRPr="00452E09">
              <w:rPr>
                <w:b/>
                <w:sz w:val="18"/>
                <w:lang w:val="en-US"/>
              </w:rPr>
              <w:t xml:space="preserve"> </w:t>
            </w:r>
          </w:p>
        </w:tc>
        <w:tc>
          <w:tcPr>
            <w:tcW w:w="1903" w:type="dxa"/>
            <w:tcBorders>
              <w:top w:val="single" w:sz="4" w:space="0" w:color="auto"/>
              <w:left w:val="single" w:sz="4" w:space="0" w:color="auto"/>
              <w:bottom w:val="single" w:sz="4" w:space="0" w:color="auto"/>
              <w:right w:val="single" w:sz="4" w:space="0" w:color="auto"/>
            </w:tcBorders>
            <w:shd w:val="clear" w:color="auto" w:fill="FFFFCC"/>
          </w:tcPr>
          <w:p w14:paraId="4CB39E51" w14:textId="77777777" w:rsidR="00452E09" w:rsidRPr="00452E09" w:rsidRDefault="00452E09" w:rsidP="00452E09">
            <w:pPr>
              <w:keepNext/>
              <w:rPr>
                <w:b/>
                <w:sz w:val="18"/>
                <w:lang w:val="en-US"/>
              </w:rPr>
            </w:pPr>
            <w:r w:rsidRPr="00452E09">
              <w:rPr>
                <w:b/>
                <w:sz w:val="18"/>
                <w:lang w:val="en-US"/>
              </w:rPr>
              <w:t>Estimated uptake/ AEL due to biocidal use</w:t>
            </w:r>
          </w:p>
          <w:p w14:paraId="21CD6391" w14:textId="77777777" w:rsidR="00452E09" w:rsidRPr="00452E09" w:rsidRDefault="00452E09" w:rsidP="00452E09">
            <w:pPr>
              <w:ind w:left="2"/>
              <w:rPr>
                <w:b/>
                <w:sz w:val="18"/>
                <w:lang w:val="en-US"/>
              </w:rPr>
            </w:pPr>
            <w:r w:rsidRPr="00452E09">
              <w:rPr>
                <w:b/>
                <w:sz w:val="18"/>
                <w:lang w:val="en-US"/>
              </w:rPr>
              <w:t>+ dietary intake 46% UL (%)</w:t>
            </w:r>
          </w:p>
        </w:tc>
        <w:tc>
          <w:tcPr>
            <w:tcW w:w="1553" w:type="dxa"/>
            <w:tcBorders>
              <w:top w:val="single" w:sz="4" w:space="0" w:color="auto"/>
              <w:left w:val="single" w:sz="4" w:space="0" w:color="auto"/>
              <w:bottom w:val="single" w:sz="4" w:space="0" w:color="auto"/>
              <w:right w:val="single" w:sz="4" w:space="0" w:color="auto"/>
            </w:tcBorders>
            <w:shd w:val="clear" w:color="auto" w:fill="FFFFCC"/>
          </w:tcPr>
          <w:p w14:paraId="5F7178DB" w14:textId="77777777" w:rsidR="00452E09" w:rsidRPr="00452E09" w:rsidRDefault="00452E09" w:rsidP="00452E09">
            <w:pPr>
              <w:keepNext/>
              <w:rPr>
                <w:b/>
                <w:sz w:val="18"/>
                <w:lang w:val="en-US"/>
              </w:rPr>
            </w:pPr>
            <w:r w:rsidRPr="00452E09">
              <w:rPr>
                <w:b/>
                <w:sz w:val="18"/>
                <w:lang w:val="en-US"/>
              </w:rPr>
              <w:t>Estimated uptake/ AEL due to biocidal use</w:t>
            </w:r>
          </w:p>
          <w:p w14:paraId="1F3658D4" w14:textId="77777777" w:rsidR="00452E09" w:rsidRPr="00452E09" w:rsidRDefault="00452E09" w:rsidP="00452E09">
            <w:pPr>
              <w:ind w:left="2"/>
              <w:rPr>
                <w:b/>
                <w:sz w:val="18"/>
                <w:lang w:val="en-US"/>
              </w:rPr>
            </w:pPr>
            <w:r w:rsidRPr="00452E09">
              <w:rPr>
                <w:b/>
                <w:sz w:val="18"/>
                <w:lang w:val="en-US"/>
              </w:rPr>
              <w:t>+ dietary intake 25% UL (%)</w:t>
            </w:r>
          </w:p>
        </w:tc>
      </w:tr>
      <w:tr w:rsidR="00452E09" w:rsidRPr="00452E09" w14:paraId="2DB479BA" w14:textId="77777777" w:rsidTr="00452E09">
        <w:trPr>
          <w:trHeight w:val="348"/>
        </w:trPr>
        <w:tc>
          <w:tcPr>
            <w:tcW w:w="1732" w:type="dxa"/>
            <w:tcBorders>
              <w:top w:val="single" w:sz="6" w:space="0" w:color="000000"/>
              <w:left w:val="single" w:sz="6" w:space="0" w:color="000000"/>
              <w:bottom w:val="single" w:sz="6" w:space="0" w:color="000000"/>
              <w:right w:val="single" w:sz="6" w:space="0" w:color="000000"/>
            </w:tcBorders>
          </w:tcPr>
          <w:p w14:paraId="60F612B0" w14:textId="77777777" w:rsidR="00452E09" w:rsidRPr="00452E09" w:rsidRDefault="00452E09" w:rsidP="00452E09">
            <w:pPr>
              <w:ind w:left="1"/>
            </w:pPr>
            <w:r w:rsidRPr="00452E09">
              <w:rPr>
                <w:sz w:val="18"/>
              </w:rPr>
              <w:t xml:space="preserve">Scenario [1] </w:t>
            </w:r>
          </w:p>
          <w:p w14:paraId="5B37D696" w14:textId="77777777" w:rsidR="00452E09" w:rsidRPr="00452E09" w:rsidRDefault="00452E09" w:rsidP="00452E09">
            <w:pPr>
              <w:ind w:left="1"/>
            </w:pPr>
            <w:r w:rsidRPr="00452E09">
              <w:rPr>
                <w:sz w:val="18"/>
              </w:rPr>
              <w:t xml:space="preserve">+ Scenario </w:t>
            </w:r>
          </w:p>
          <w:p w14:paraId="08301183" w14:textId="77777777" w:rsidR="00452E09" w:rsidRPr="00452E09" w:rsidRDefault="00452E09" w:rsidP="00452E09">
            <w:pPr>
              <w:ind w:left="1"/>
            </w:pPr>
            <w:r w:rsidRPr="00452E09">
              <w:rPr>
                <w:sz w:val="18"/>
              </w:rPr>
              <w:t xml:space="preserve">[3]  </w:t>
            </w:r>
          </w:p>
        </w:tc>
        <w:tc>
          <w:tcPr>
            <w:tcW w:w="2120" w:type="dxa"/>
            <w:tcBorders>
              <w:top w:val="single" w:sz="6" w:space="0" w:color="000000"/>
              <w:left w:val="single" w:sz="6" w:space="0" w:color="000000"/>
              <w:bottom w:val="single" w:sz="6" w:space="0" w:color="000000"/>
              <w:right w:val="single" w:sz="6" w:space="0" w:color="000000"/>
            </w:tcBorders>
          </w:tcPr>
          <w:p w14:paraId="371C79F9" w14:textId="77777777" w:rsidR="00452E09" w:rsidRPr="00452E09" w:rsidRDefault="00452E09" w:rsidP="00452E09">
            <w:r w:rsidRPr="00452E09">
              <w:rPr>
                <w:sz w:val="18"/>
              </w:rPr>
              <w:t xml:space="preserve">1/no PPE </w:t>
            </w:r>
          </w:p>
        </w:tc>
        <w:tc>
          <w:tcPr>
            <w:tcW w:w="1880" w:type="dxa"/>
            <w:tcBorders>
              <w:top w:val="single" w:sz="6" w:space="0" w:color="000000"/>
              <w:left w:val="single" w:sz="6" w:space="0" w:color="000000"/>
              <w:bottom w:val="single" w:sz="6" w:space="0" w:color="000000"/>
              <w:right w:val="single" w:sz="6" w:space="0" w:color="000000"/>
            </w:tcBorders>
          </w:tcPr>
          <w:p w14:paraId="5A8025D0" w14:textId="77777777" w:rsidR="00452E09" w:rsidRPr="00452E09" w:rsidRDefault="00452E09" w:rsidP="00452E09">
            <w:pPr>
              <w:ind w:left="2"/>
            </w:pPr>
            <w:r w:rsidRPr="00452E09">
              <w:rPr>
                <w:sz w:val="18"/>
              </w:rPr>
              <w:t xml:space="preserve"> 38%</w:t>
            </w:r>
          </w:p>
        </w:tc>
        <w:tc>
          <w:tcPr>
            <w:tcW w:w="1903" w:type="dxa"/>
            <w:tcBorders>
              <w:top w:val="single" w:sz="4" w:space="0" w:color="auto"/>
              <w:left w:val="single" w:sz="6" w:space="0" w:color="000000"/>
              <w:bottom w:val="single" w:sz="6" w:space="0" w:color="000000"/>
              <w:right w:val="single" w:sz="6" w:space="0" w:color="000000"/>
            </w:tcBorders>
          </w:tcPr>
          <w:p w14:paraId="01378D09" w14:textId="77777777" w:rsidR="00452E09" w:rsidRPr="00452E09" w:rsidRDefault="00452E09" w:rsidP="00452E09">
            <w:pPr>
              <w:ind w:left="2"/>
            </w:pPr>
            <w:r w:rsidRPr="00452E09">
              <w:rPr>
                <w:sz w:val="18"/>
              </w:rPr>
              <w:t xml:space="preserve"> 84%</w:t>
            </w:r>
          </w:p>
        </w:tc>
        <w:tc>
          <w:tcPr>
            <w:tcW w:w="1553" w:type="dxa"/>
            <w:tcBorders>
              <w:top w:val="single" w:sz="4" w:space="0" w:color="auto"/>
              <w:left w:val="single" w:sz="6" w:space="0" w:color="000000"/>
              <w:bottom w:val="single" w:sz="6" w:space="0" w:color="000000"/>
              <w:right w:val="single" w:sz="6" w:space="0" w:color="000000"/>
            </w:tcBorders>
          </w:tcPr>
          <w:p w14:paraId="4B2A3808" w14:textId="77777777" w:rsidR="00452E09" w:rsidRPr="00452E09" w:rsidRDefault="00452E09" w:rsidP="00452E09">
            <w:pPr>
              <w:ind w:left="2"/>
              <w:rPr>
                <w:sz w:val="18"/>
              </w:rPr>
            </w:pPr>
            <w:r w:rsidRPr="00452E09">
              <w:rPr>
                <w:sz w:val="18"/>
              </w:rPr>
              <w:t>63%</w:t>
            </w:r>
          </w:p>
        </w:tc>
      </w:tr>
    </w:tbl>
    <w:p w14:paraId="379D4F3C" w14:textId="77777777" w:rsidR="00662B97" w:rsidRDefault="00662B97" w:rsidP="00662B97">
      <w:pPr>
        <w:rPr>
          <w:rFonts w:eastAsia="Calibri"/>
          <w:lang w:eastAsia="en-US"/>
        </w:rPr>
      </w:pPr>
    </w:p>
    <w:p w14:paraId="5CD870DB" w14:textId="2AC854F4" w:rsidR="00662B97" w:rsidRPr="00452E09" w:rsidRDefault="00662B97" w:rsidP="00662B97">
      <w:pPr>
        <w:rPr>
          <w:rFonts w:eastAsia="Calibri"/>
          <w:lang w:eastAsia="en-US"/>
        </w:rPr>
      </w:pPr>
      <w:r w:rsidRPr="00452E09">
        <w:rPr>
          <w:rFonts w:eastAsia="Calibri"/>
          <w:lang w:eastAsia="en-US"/>
        </w:rPr>
        <w:t>The risk</w:t>
      </w:r>
      <w:r>
        <w:rPr>
          <w:rFonts w:eastAsia="Calibri"/>
          <w:lang w:eastAsia="en-US"/>
        </w:rPr>
        <w:t xml:space="preserve"> for human health</w:t>
      </w:r>
      <w:r w:rsidRPr="00452E09">
        <w:rPr>
          <w:rFonts w:eastAsia="Calibri"/>
          <w:lang w:eastAsia="en-US"/>
        </w:rPr>
        <w:t xml:space="preserve"> is acceptable for: </w:t>
      </w:r>
    </w:p>
    <w:p w14:paraId="766E5D0B" w14:textId="77777777" w:rsidR="00662B97" w:rsidRPr="00452E09" w:rsidRDefault="00662B97" w:rsidP="00662B97">
      <w:pPr>
        <w:spacing w:line="260" w:lineRule="atLeast"/>
        <w:rPr>
          <w:rFonts w:ascii="Times New Roman" w:eastAsia="Calibri" w:hAnsi="Times New Roman" w:cs="Times New Roman"/>
          <w:i/>
          <w:iCs/>
          <w:shd w:val="clear" w:color="auto" w:fill="00FFFF"/>
          <w:lang w:eastAsia="en-US"/>
        </w:rPr>
      </w:pPr>
    </w:p>
    <w:p w14:paraId="02F466E3" w14:textId="77777777" w:rsidR="00662B97" w:rsidRPr="00452E09" w:rsidRDefault="00662B97" w:rsidP="00662B97">
      <w:pPr>
        <w:numPr>
          <w:ilvl w:val="1"/>
          <w:numId w:val="13"/>
        </w:numPr>
        <w:rPr>
          <w:rFonts w:eastAsia="Calibri"/>
          <w:lang w:eastAsia="en-US"/>
        </w:rPr>
      </w:pPr>
      <w:r w:rsidRPr="00452E09">
        <w:rPr>
          <w:rFonts w:eastAsia="Calibri"/>
          <w:lang w:eastAsia="en-US"/>
        </w:rPr>
        <w:t>application by manual dipping + cleaning of the equipment</w:t>
      </w:r>
    </w:p>
    <w:p w14:paraId="751BB78D" w14:textId="77777777" w:rsidR="00662B97" w:rsidRPr="00452E09" w:rsidRDefault="00662B97" w:rsidP="00662B97">
      <w:pPr>
        <w:numPr>
          <w:ilvl w:val="1"/>
          <w:numId w:val="13"/>
        </w:numPr>
        <w:rPr>
          <w:rFonts w:ascii="Times New Roman" w:eastAsia="Calibri" w:hAnsi="Times New Roman" w:cs="Times New Roman"/>
          <w:i/>
          <w:iCs/>
          <w:lang w:eastAsia="en-US"/>
        </w:rPr>
      </w:pPr>
      <w:r w:rsidRPr="00452E09">
        <w:rPr>
          <w:rFonts w:eastAsia="Calibri"/>
          <w:lang w:eastAsia="en-US"/>
        </w:rPr>
        <w:t xml:space="preserve">application by automatic dipping + cleaning of the equipment </w:t>
      </w:r>
    </w:p>
    <w:p w14:paraId="7FAEAC4F" w14:textId="37530B04" w:rsidR="00452E09" w:rsidRDefault="00452E09" w:rsidP="00452E09">
      <w:pPr>
        <w:spacing w:line="260" w:lineRule="atLeast"/>
        <w:rPr>
          <w:rFonts w:eastAsia="Calibri"/>
          <w:lang w:eastAsia="en-US"/>
        </w:rPr>
      </w:pPr>
    </w:p>
    <w:p w14:paraId="18364121" w14:textId="77777777" w:rsidR="00452E09" w:rsidRPr="00452E09" w:rsidRDefault="00452E09" w:rsidP="00452E09">
      <w:pPr>
        <w:tabs>
          <w:tab w:val="left" w:pos="5656"/>
        </w:tabs>
        <w:spacing w:line="260" w:lineRule="atLeast"/>
        <w:rPr>
          <w:rFonts w:ascii="Times New Roman" w:eastAsia="Calibri" w:hAnsi="Times New Roman" w:cs="Times New Roman"/>
          <w:i/>
          <w:iCs/>
          <w:lang w:eastAsia="en-US"/>
        </w:rPr>
      </w:pPr>
    </w:p>
    <w:p w14:paraId="746D5B1D" w14:textId="77777777" w:rsidR="00452E09" w:rsidRPr="00AB1CDB" w:rsidRDefault="00452E09" w:rsidP="00AB1CDB">
      <w:pPr>
        <w:pStyle w:val="Titre5"/>
        <w:rPr>
          <w:rFonts w:eastAsia="Calibri"/>
        </w:rPr>
      </w:pPr>
      <w:r w:rsidRPr="00AB1CDB">
        <w:rPr>
          <w:rFonts w:eastAsia="Calibri"/>
        </w:rPr>
        <w:t>Non-professional exposure</w:t>
      </w:r>
    </w:p>
    <w:p w14:paraId="0BF6AD6A" w14:textId="77777777" w:rsidR="00452E09" w:rsidRPr="00452E09" w:rsidRDefault="00452E09" w:rsidP="00452E09">
      <w:pPr>
        <w:spacing w:line="260" w:lineRule="atLeast"/>
        <w:jc w:val="both"/>
        <w:rPr>
          <w:rFonts w:ascii="Times New Roman" w:eastAsia="Calibri" w:hAnsi="Times New Roman" w:cs="Times New Roman"/>
          <w:i/>
          <w:iCs/>
          <w:sz w:val="16"/>
          <w:lang w:eastAsia="en-US"/>
        </w:rPr>
      </w:pPr>
      <w:r w:rsidRPr="00452E09">
        <w:rPr>
          <w:rFonts w:eastAsia="Calibri"/>
          <w:lang w:eastAsia="en-US"/>
        </w:rPr>
        <w:t>Non-professional exposure is not foreseen.</w:t>
      </w:r>
      <w:r w:rsidRPr="00452E09" w:rsidDel="00B72281">
        <w:rPr>
          <w:rFonts w:eastAsia="Calibri"/>
          <w:iCs/>
          <w:sz w:val="16"/>
          <w:vertAlign w:val="superscript"/>
          <w:lang w:eastAsia="en-US"/>
        </w:rPr>
        <w:t xml:space="preserve"> </w:t>
      </w:r>
    </w:p>
    <w:p w14:paraId="11677282" w14:textId="77777777" w:rsidR="00452E09" w:rsidRPr="00452E09" w:rsidRDefault="00452E09" w:rsidP="00452E09">
      <w:pPr>
        <w:rPr>
          <w:rFonts w:eastAsia="Calibri"/>
          <w:b/>
          <w:i/>
          <w:sz w:val="22"/>
          <w:szCs w:val="22"/>
          <w:lang w:eastAsia="en-US"/>
        </w:rPr>
      </w:pPr>
    </w:p>
    <w:p w14:paraId="48A0A524" w14:textId="77777777" w:rsidR="00452E09" w:rsidRPr="00452E09" w:rsidRDefault="00452E09" w:rsidP="00AB1CDB">
      <w:pPr>
        <w:pStyle w:val="Titre5"/>
        <w:rPr>
          <w:rFonts w:eastAsia="Calibri"/>
          <w:b/>
          <w:i/>
          <w:szCs w:val="22"/>
          <w:shd w:val="clear" w:color="auto" w:fill="00FFFF"/>
          <w:lang w:eastAsia="en-US"/>
        </w:rPr>
      </w:pPr>
      <w:r w:rsidRPr="00AB1CDB">
        <w:rPr>
          <w:rFonts w:eastAsia="Calibri"/>
        </w:rPr>
        <w:t>Exposure of the general public</w:t>
      </w:r>
    </w:p>
    <w:p w14:paraId="55EC2D98" w14:textId="77777777" w:rsidR="00452E09" w:rsidRPr="00452E09" w:rsidRDefault="00452E09" w:rsidP="00452E09">
      <w:pPr>
        <w:suppressAutoHyphens w:val="0"/>
        <w:spacing w:line="260" w:lineRule="atLeast"/>
        <w:rPr>
          <w:rFonts w:eastAsia="Calibri" w:cs="Times New Roman"/>
          <w:lang w:eastAsia="en-US"/>
        </w:rPr>
      </w:pPr>
    </w:p>
    <w:p w14:paraId="609E000D" w14:textId="77777777" w:rsidR="00452E09" w:rsidRPr="00452E09" w:rsidRDefault="00452E09" w:rsidP="00452E09">
      <w:pPr>
        <w:suppressAutoHyphens w:val="0"/>
        <w:spacing w:line="260" w:lineRule="atLeast"/>
        <w:rPr>
          <w:rFonts w:eastAsia="Calibri" w:cs="Times New Roman"/>
          <w:lang w:eastAsia="en-US"/>
        </w:rPr>
      </w:pPr>
      <w:r w:rsidRPr="00452E09">
        <w:rPr>
          <w:rFonts w:eastAsia="Calibri" w:cs="Times New Roman"/>
          <w:lang w:eastAsia="en-US"/>
        </w:rPr>
        <w:t>Exposure of the general public is not relevant. The general public does not have access to the milking parlour.</w:t>
      </w:r>
    </w:p>
    <w:p w14:paraId="2874D8C7" w14:textId="77777777" w:rsidR="00452E09" w:rsidRPr="00452E09" w:rsidRDefault="00452E09" w:rsidP="00452E09">
      <w:pPr>
        <w:spacing w:line="260" w:lineRule="atLeast"/>
        <w:rPr>
          <w:rFonts w:eastAsia="Calibri"/>
          <w:b/>
          <w:i/>
          <w:sz w:val="22"/>
          <w:szCs w:val="22"/>
          <w:shd w:val="clear" w:color="auto" w:fill="00FFFF"/>
          <w:lang w:eastAsia="en-US"/>
        </w:rPr>
      </w:pPr>
    </w:p>
    <w:p w14:paraId="25AD0CE8" w14:textId="77777777" w:rsidR="00452E09" w:rsidRPr="00452E09" w:rsidRDefault="00452E09" w:rsidP="00452E09">
      <w:pPr>
        <w:spacing w:line="260" w:lineRule="atLeast"/>
        <w:rPr>
          <w:rFonts w:ascii="Times New Roman" w:eastAsia="Calibri" w:hAnsi="Times New Roman" w:cs="Times New Roman"/>
          <w:i/>
          <w:iCs/>
          <w:shd w:val="clear" w:color="auto" w:fill="00FFFF"/>
          <w:lang w:eastAsia="en-US"/>
        </w:rPr>
      </w:pPr>
    </w:p>
    <w:p w14:paraId="7AD4E61C" w14:textId="77777777" w:rsidR="00452E09" w:rsidRPr="00452E09" w:rsidRDefault="00452E09" w:rsidP="00452E09">
      <w:pPr>
        <w:rPr>
          <w:rFonts w:ascii="Times New Roman" w:eastAsia="Calibri" w:hAnsi="Times New Roman" w:cs="Times New Roman"/>
          <w:i/>
          <w:iCs/>
          <w:lang w:eastAsia="en-US"/>
        </w:rPr>
      </w:pPr>
      <w:r w:rsidRPr="00452E09">
        <w:rPr>
          <w:rFonts w:eastAsia="Calibri"/>
          <w:b/>
          <w:i/>
          <w:sz w:val="22"/>
          <w:szCs w:val="22"/>
          <w:lang w:eastAsia="en-US"/>
        </w:rPr>
        <w:t>Monitoring data</w:t>
      </w:r>
    </w:p>
    <w:p w14:paraId="548CCB76" w14:textId="77777777" w:rsidR="00452E09" w:rsidRPr="00452E09" w:rsidRDefault="00452E09" w:rsidP="00452E09">
      <w:pPr>
        <w:spacing w:line="260" w:lineRule="atLeast"/>
        <w:rPr>
          <w:rFonts w:eastAsia="Calibri" w:cs="Times New Roman"/>
          <w:lang w:eastAsia="en-US"/>
        </w:rPr>
      </w:pPr>
    </w:p>
    <w:p w14:paraId="3866617B" w14:textId="7B293C2F" w:rsidR="00452E09" w:rsidRDefault="00452E09" w:rsidP="00452E09">
      <w:pPr>
        <w:spacing w:line="260" w:lineRule="atLeast"/>
        <w:rPr>
          <w:rFonts w:eastAsia="Calibri" w:cs="Times New Roman"/>
          <w:lang w:eastAsia="en-US"/>
        </w:rPr>
      </w:pPr>
      <w:r w:rsidRPr="00452E09">
        <w:rPr>
          <w:rFonts w:eastAsia="Calibri" w:cs="Times New Roman"/>
          <w:lang w:eastAsia="en-US"/>
        </w:rPr>
        <w:t>Not necessary</w:t>
      </w:r>
    </w:p>
    <w:p w14:paraId="5393C316" w14:textId="5C0BE377" w:rsidR="008E0C19" w:rsidRPr="00452E09" w:rsidRDefault="008E0C19" w:rsidP="00452E09">
      <w:pPr>
        <w:spacing w:line="260" w:lineRule="atLeast"/>
        <w:rPr>
          <w:rFonts w:eastAsia="Calibri" w:cs="Times New Roman"/>
          <w:lang w:eastAsia="en-US"/>
        </w:rPr>
      </w:pPr>
    </w:p>
    <w:p w14:paraId="7E0776EB" w14:textId="77777777" w:rsidR="00452E09" w:rsidRPr="002A1DCA" w:rsidRDefault="00452E09" w:rsidP="00C14716">
      <w:pPr>
        <w:pStyle w:val="Corpsdetexte"/>
      </w:pPr>
    </w:p>
    <w:p w14:paraId="2098C0F5" w14:textId="77777777" w:rsidR="009D0C0B" w:rsidRPr="00AB1CDB" w:rsidRDefault="00FA480B" w:rsidP="00AB1CDB">
      <w:pPr>
        <w:pStyle w:val="Titre5"/>
        <w:rPr>
          <w:rFonts w:eastAsia="Calibri"/>
        </w:rPr>
      </w:pPr>
      <w:r w:rsidRPr="00AB1CDB">
        <w:rPr>
          <w:rFonts w:eastAsia="Calibri"/>
        </w:rPr>
        <w:t>Dietary exposure</w:t>
      </w:r>
    </w:p>
    <w:p w14:paraId="111DBB97" w14:textId="3E120DC7" w:rsidR="009D0C0B" w:rsidRDefault="009D0C0B">
      <w:pPr>
        <w:spacing w:line="260" w:lineRule="atLeast"/>
        <w:rPr>
          <w:rFonts w:ascii="Times New Roman" w:eastAsia="Calibri" w:hAnsi="Times New Roman" w:cs="Times New Roman"/>
          <w:i/>
          <w:iCs/>
          <w:lang w:eastAsia="en-US"/>
        </w:rPr>
      </w:pPr>
    </w:p>
    <w:p w14:paraId="66BCA85B" w14:textId="77777777" w:rsidR="002039E1" w:rsidRPr="002039E1" w:rsidRDefault="002039E1" w:rsidP="002039E1">
      <w:pPr>
        <w:jc w:val="both"/>
        <w:rPr>
          <w:rFonts w:eastAsiaTheme="minorHAnsi" w:cstheme="minorBidi"/>
          <w:lang w:val="en-US" w:eastAsia="en-US"/>
        </w:rPr>
      </w:pPr>
      <w:r w:rsidRPr="002039E1">
        <w:rPr>
          <w:rFonts w:eastAsiaTheme="minorHAnsi" w:cstheme="minorBidi"/>
          <w:lang w:val="en-US" w:eastAsia="en-US"/>
        </w:rPr>
        <w:t xml:space="preserve">Considering the intended uses of the product ALGOFILM, livestock can be exposed to both active substances iodine and lactic acid. Residues can be found in food and food products of animal origin. As a consequence, the human dietary assessment needs to be performed in the framework of this application. </w:t>
      </w:r>
    </w:p>
    <w:p w14:paraId="6E938618" w14:textId="77777777" w:rsidR="002039E1" w:rsidRPr="002039E1" w:rsidRDefault="002039E1" w:rsidP="002039E1">
      <w:pPr>
        <w:suppressAutoHyphens w:val="0"/>
        <w:spacing w:after="200" w:line="260" w:lineRule="atLeast"/>
        <w:rPr>
          <w:rFonts w:asciiTheme="minorHAnsi" w:eastAsia="Calibri" w:hAnsiTheme="minorHAnsi" w:cstheme="minorBidi"/>
          <w:sz w:val="22"/>
          <w:szCs w:val="22"/>
          <w:lang w:val="en-US" w:eastAsia="en-US"/>
        </w:rPr>
      </w:pPr>
    </w:p>
    <w:p w14:paraId="2C8C3B29" w14:textId="77777777" w:rsidR="002039E1" w:rsidRPr="00AB1CDB" w:rsidRDefault="002039E1" w:rsidP="002039E1">
      <w:pPr>
        <w:suppressAutoHyphens w:val="0"/>
        <w:spacing w:after="200" w:line="260" w:lineRule="atLeast"/>
        <w:rPr>
          <w:rFonts w:eastAsia="Calibri" w:cstheme="minorBidi"/>
          <w:b/>
          <w:lang w:eastAsia="en-US"/>
        </w:rPr>
      </w:pPr>
      <w:r w:rsidRPr="00AB1CDB">
        <w:rPr>
          <w:rFonts w:eastAsia="Calibri" w:cstheme="minorBidi"/>
          <w:b/>
          <w:lang w:eastAsia="en-US"/>
        </w:rPr>
        <w:t>Residue definitions</w:t>
      </w:r>
    </w:p>
    <w:p w14:paraId="1AC651DD" w14:textId="77777777" w:rsidR="002039E1" w:rsidRPr="00AB1CDB" w:rsidRDefault="002039E1" w:rsidP="00AB1CDB">
      <w:pPr>
        <w:rPr>
          <w:rFonts w:eastAsia="Calibri"/>
          <w:lang w:eastAsia="sv-SE"/>
        </w:rPr>
      </w:pPr>
      <w:r w:rsidRPr="00AB1CDB">
        <w:rPr>
          <w:rFonts w:eastAsia="Calibri"/>
          <w:lang w:eastAsia="sv-SE"/>
        </w:rPr>
        <w:t>Iodine</w:t>
      </w:r>
    </w:p>
    <w:p w14:paraId="453F4714" w14:textId="77777777" w:rsidR="002039E1" w:rsidRPr="002039E1" w:rsidRDefault="002039E1" w:rsidP="002039E1">
      <w:pPr>
        <w:suppressAutoHyphens w:val="0"/>
        <w:jc w:val="both"/>
        <w:rPr>
          <w:rFonts w:eastAsiaTheme="minorHAnsi" w:cstheme="minorBidi"/>
          <w:lang w:val="en-US" w:eastAsia="en-US"/>
        </w:rPr>
      </w:pPr>
      <w:r w:rsidRPr="002039E1">
        <w:rPr>
          <w:rFonts w:eastAsiaTheme="minorHAnsi" w:cstheme="minorBidi"/>
          <w:lang w:val="en-US" w:eastAsia="en-US"/>
        </w:rPr>
        <w:t>In water, iodide (I</w:t>
      </w:r>
      <w:r w:rsidRPr="002039E1">
        <w:rPr>
          <w:rFonts w:eastAsiaTheme="minorHAnsi" w:cstheme="minorBidi"/>
          <w:vertAlign w:val="superscript"/>
          <w:lang w:val="en-US" w:eastAsia="en-US"/>
        </w:rPr>
        <w:t>-</w:t>
      </w:r>
      <w:r w:rsidRPr="002039E1">
        <w:rPr>
          <w:rFonts w:eastAsiaTheme="minorHAnsi" w:cstheme="minorBidi"/>
          <w:lang w:val="en-US" w:eastAsia="en-US"/>
        </w:rPr>
        <w:t>) and iodate (IO</w:t>
      </w:r>
      <w:r w:rsidRPr="002039E1">
        <w:rPr>
          <w:rFonts w:eastAsiaTheme="minorHAnsi" w:cstheme="minorBidi"/>
          <w:vertAlign w:val="subscript"/>
          <w:lang w:val="en-US" w:eastAsia="en-US"/>
        </w:rPr>
        <w:t>3</w:t>
      </w:r>
      <w:r w:rsidRPr="002039E1">
        <w:rPr>
          <w:rFonts w:eastAsiaTheme="minorHAnsi" w:cstheme="minorBidi"/>
          <w:vertAlign w:val="superscript"/>
          <w:lang w:val="en-US" w:eastAsia="en-US"/>
        </w:rPr>
        <w:t>-</w:t>
      </w:r>
      <w:r w:rsidRPr="002039E1">
        <w:rPr>
          <w:rFonts w:eastAsiaTheme="minorHAnsi" w:cstheme="minorBidi"/>
          <w:lang w:val="en-US" w:eastAsia="en-US"/>
        </w:rPr>
        <w:t xml:space="preserve">) are the predominant species. In addition a natural background level of methyl iodide might also be found in water. At pH values between 4 and 9, iodide is the predominant species. In alkaline and well oxidized waters iodate is the predominant specie. </w:t>
      </w:r>
    </w:p>
    <w:p w14:paraId="2796A229" w14:textId="77777777" w:rsidR="002039E1" w:rsidRPr="002039E1" w:rsidRDefault="002039E1" w:rsidP="002039E1">
      <w:pPr>
        <w:suppressAutoHyphens w:val="0"/>
        <w:autoSpaceDE w:val="0"/>
        <w:autoSpaceDN w:val="0"/>
        <w:adjustRightInd w:val="0"/>
        <w:jc w:val="both"/>
        <w:rPr>
          <w:rFonts w:cs="Times New Roman"/>
          <w:highlight w:val="lightGray"/>
          <w:lang w:val="sv-SE" w:eastAsia="en-US"/>
        </w:rPr>
      </w:pPr>
    </w:p>
    <w:p w14:paraId="58D7B4D7" w14:textId="77777777" w:rsidR="002039E1" w:rsidRPr="002039E1" w:rsidRDefault="002039E1" w:rsidP="002039E1">
      <w:pPr>
        <w:suppressAutoHyphens w:val="0"/>
        <w:autoSpaceDE w:val="0"/>
        <w:autoSpaceDN w:val="0"/>
        <w:adjustRightInd w:val="0"/>
        <w:jc w:val="both"/>
        <w:rPr>
          <w:rFonts w:cs="Times New Roman"/>
          <w:lang w:val="sv-SE" w:eastAsia="en-US"/>
        </w:rPr>
      </w:pPr>
      <w:r w:rsidRPr="002039E1">
        <w:rPr>
          <w:rFonts w:cs="Times New Roman"/>
          <w:lang w:val="en-US" w:eastAsia="en-US"/>
        </w:rPr>
        <w:t>The livestock is expected to be exposed to the active substance iodine (I</w:t>
      </w:r>
      <w:r w:rsidRPr="002039E1">
        <w:rPr>
          <w:rFonts w:cs="Times New Roman"/>
          <w:vertAlign w:val="subscript"/>
          <w:lang w:val="en-US" w:eastAsia="en-US"/>
        </w:rPr>
        <w:t>2</w:t>
      </w:r>
      <w:r w:rsidRPr="002039E1">
        <w:rPr>
          <w:rFonts w:cs="Times New Roman"/>
          <w:lang w:val="en-US" w:eastAsia="en-US"/>
        </w:rPr>
        <w:t>). When absorbed, i</w:t>
      </w:r>
      <w:r w:rsidRPr="002039E1">
        <w:rPr>
          <w:rFonts w:cs="Times New Roman"/>
          <w:lang w:val="sv-SE" w:eastAsia="en-US"/>
        </w:rPr>
        <w:t xml:space="preserve">odine is quickly reduced to iodide by nonenzymatic reactions. Iodide is readily and (almost) completely absorbed. The bioavailability after oral administration is &gt; 90%. </w:t>
      </w:r>
    </w:p>
    <w:p w14:paraId="664193EA" w14:textId="77777777" w:rsidR="002039E1" w:rsidRPr="002039E1" w:rsidRDefault="002039E1" w:rsidP="002039E1">
      <w:pPr>
        <w:suppressAutoHyphens w:val="0"/>
        <w:jc w:val="both"/>
        <w:rPr>
          <w:rFonts w:eastAsiaTheme="minorHAnsi" w:cstheme="minorBidi"/>
          <w:lang w:val="en-US" w:eastAsia="en-US"/>
        </w:rPr>
      </w:pPr>
      <w:r w:rsidRPr="002039E1">
        <w:rPr>
          <w:rFonts w:eastAsiaTheme="minorHAnsi" w:cstheme="minorBidi"/>
          <w:lang w:val="en-US" w:eastAsia="en-US"/>
        </w:rPr>
        <w:t>The residue of iodine expected in food and products from animal origin is iodide (I</w:t>
      </w:r>
      <w:r w:rsidRPr="002039E1">
        <w:rPr>
          <w:rFonts w:eastAsiaTheme="minorHAnsi" w:cstheme="minorBidi"/>
          <w:vertAlign w:val="superscript"/>
          <w:lang w:val="en-US" w:eastAsia="en-US"/>
        </w:rPr>
        <w:t>-</w:t>
      </w:r>
      <w:r w:rsidRPr="002039E1">
        <w:rPr>
          <w:rFonts w:eastAsiaTheme="minorHAnsi" w:cstheme="minorBidi"/>
          <w:lang w:val="en-US" w:eastAsia="en-US"/>
        </w:rPr>
        <w:t xml:space="preserve">). </w:t>
      </w:r>
    </w:p>
    <w:p w14:paraId="7AE14625" w14:textId="437AD258" w:rsidR="002039E1" w:rsidRPr="002039E1" w:rsidRDefault="002039E1" w:rsidP="002A1DCA">
      <w:pPr>
        <w:suppressAutoHyphens w:val="0"/>
        <w:spacing w:after="200" w:line="260" w:lineRule="atLeast"/>
        <w:rPr>
          <w:rFonts w:asciiTheme="minorHAnsi" w:eastAsiaTheme="minorHAnsi" w:hAnsiTheme="minorHAnsi" w:cstheme="minorBidi"/>
          <w:i/>
          <w:sz w:val="22"/>
          <w:szCs w:val="22"/>
          <w:u w:val="single"/>
          <w:lang w:eastAsia="en-US"/>
        </w:rPr>
      </w:pPr>
      <w:r w:rsidRPr="002039E1">
        <w:rPr>
          <w:rFonts w:asciiTheme="minorHAnsi" w:eastAsia="Calibri" w:hAnsiTheme="minorHAnsi" w:cstheme="minorBidi"/>
          <w:sz w:val="22"/>
          <w:szCs w:val="22"/>
          <w:lang w:val="en-US" w:eastAsia="en-US"/>
        </w:rPr>
        <w:t xml:space="preserve"> </w:t>
      </w: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478"/>
        <w:gridCol w:w="3885"/>
        <w:gridCol w:w="3328"/>
      </w:tblGrid>
      <w:tr w:rsidR="002039E1" w:rsidRPr="002A1DCA" w14:paraId="34CD5AD0" w14:textId="77777777" w:rsidTr="002039E1">
        <w:trPr>
          <w:tblHeader/>
        </w:trPr>
        <w:tc>
          <w:tcPr>
            <w:tcW w:w="5000" w:type="pct"/>
            <w:gridSpan w:val="4"/>
            <w:shd w:val="clear" w:color="auto" w:fill="FFFFCC"/>
          </w:tcPr>
          <w:p w14:paraId="2F4CEA82" w14:textId="77777777" w:rsidR="002039E1" w:rsidRPr="00AB1CDB" w:rsidRDefault="002039E1" w:rsidP="002039E1">
            <w:pPr>
              <w:suppressAutoHyphens w:val="0"/>
              <w:jc w:val="center"/>
              <w:rPr>
                <w:rFonts w:eastAsiaTheme="minorHAnsi" w:cstheme="minorBidi"/>
                <w:b/>
                <w:szCs w:val="22"/>
                <w:lang w:val="en-US" w:eastAsia="en-US"/>
              </w:rPr>
            </w:pPr>
            <w:r w:rsidRPr="00AB1CDB">
              <w:rPr>
                <w:rFonts w:eastAsiaTheme="minorHAnsi" w:cstheme="minorBidi"/>
                <w:b/>
                <w:szCs w:val="22"/>
                <w:lang w:val="en-US" w:eastAsia="en-US"/>
              </w:rPr>
              <w:t>Summary table of main representative dietary exposure scenarios</w:t>
            </w:r>
          </w:p>
        </w:tc>
      </w:tr>
      <w:tr w:rsidR="002039E1" w:rsidRPr="002A1DCA" w14:paraId="2DED1D24" w14:textId="77777777" w:rsidTr="002039E1">
        <w:trPr>
          <w:tblHeader/>
        </w:trPr>
        <w:tc>
          <w:tcPr>
            <w:tcW w:w="562" w:type="pct"/>
            <w:shd w:val="clear" w:color="auto" w:fill="auto"/>
            <w:tcMar>
              <w:top w:w="57" w:type="dxa"/>
              <w:bottom w:w="57" w:type="dxa"/>
            </w:tcMar>
          </w:tcPr>
          <w:p w14:paraId="4521B262" w14:textId="77777777" w:rsidR="002039E1" w:rsidRPr="00AB1CDB" w:rsidRDefault="002039E1" w:rsidP="002039E1">
            <w:pPr>
              <w:suppressAutoHyphens w:val="0"/>
              <w:rPr>
                <w:rFonts w:eastAsiaTheme="minorHAnsi" w:cstheme="minorBidi"/>
                <w:b/>
                <w:szCs w:val="22"/>
                <w:lang w:val="fr-FR" w:eastAsia="en-US"/>
              </w:rPr>
            </w:pPr>
            <w:r w:rsidRPr="00AB1CDB">
              <w:rPr>
                <w:rFonts w:eastAsiaTheme="minorHAnsi" w:cstheme="minorBidi"/>
                <w:b/>
                <w:szCs w:val="22"/>
                <w:lang w:val="fr-FR" w:eastAsia="en-US"/>
              </w:rPr>
              <w:t>Scenario number</w:t>
            </w:r>
          </w:p>
        </w:tc>
        <w:tc>
          <w:tcPr>
            <w:tcW w:w="756" w:type="pct"/>
            <w:shd w:val="clear" w:color="auto" w:fill="auto"/>
            <w:tcMar>
              <w:top w:w="57" w:type="dxa"/>
              <w:bottom w:w="57" w:type="dxa"/>
            </w:tcMar>
          </w:tcPr>
          <w:p w14:paraId="38C524C1" w14:textId="77777777" w:rsidR="002039E1" w:rsidRPr="00AB1CDB" w:rsidRDefault="002039E1" w:rsidP="002039E1">
            <w:pPr>
              <w:suppressAutoHyphens w:val="0"/>
              <w:rPr>
                <w:rFonts w:eastAsiaTheme="minorHAnsi" w:cstheme="minorBidi"/>
                <w:b/>
                <w:szCs w:val="22"/>
                <w:lang w:val="fr-FR" w:eastAsia="en-US"/>
              </w:rPr>
            </w:pPr>
            <w:r w:rsidRPr="00AB1CDB">
              <w:rPr>
                <w:rFonts w:eastAsiaTheme="minorHAnsi" w:cstheme="minorBidi"/>
                <w:b/>
                <w:szCs w:val="22"/>
                <w:lang w:val="fr-FR" w:eastAsia="en-US"/>
              </w:rPr>
              <w:t>Type of use</w:t>
            </w:r>
          </w:p>
        </w:tc>
        <w:tc>
          <w:tcPr>
            <w:tcW w:w="1983" w:type="pct"/>
            <w:shd w:val="clear" w:color="auto" w:fill="auto"/>
            <w:tcMar>
              <w:top w:w="57" w:type="dxa"/>
              <w:bottom w:w="57" w:type="dxa"/>
            </w:tcMar>
          </w:tcPr>
          <w:p w14:paraId="7E1FE111" w14:textId="77777777" w:rsidR="002039E1" w:rsidRPr="00AB1CDB" w:rsidRDefault="002039E1" w:rsidP="002039E1">
            <w:pPr>
              <w:suppressAutoHyphens w:val="0"/>
              <w:rPr>
                <w:rFonts w:eastAsiaTheme="minorHAnsi" w:cstheme="minorBidi"/>
                <w:b/>
                <w:szCs w:val="22"/>
                <w:lang w:val="fr-FR" w:eastAsia="en-US"/>
              </w:rPr>
            </w:pPr>
            <w:r w:rsidRPr="00AB1CDB">
              <w:rPr>
                <w:rFonts w:eastAsiaTheme="minorHAnsi" w:cstheme="minorBidi"/>
                <w:b/>
                <w:szCs w:val="22"/>
                <w:lang w:val="fr-FR" w:eastAsia="en-US"/>
              </w:rPr>
              <w:t>Description of scenario</w:t>
            </w:r>
          </w:p>
        </w:tc>
        <w:tc>
          <w:tcPr>
            <w:tcW w:w="1699" w:type="pct"/>
            <w:shd w:val="clear" w:color="auto" w:fill="auto"/>
            <w:tcMar>
              <w:top w:w="57" w:type="dxa"/>
              <w:bottom w:w="57" w:type="dxa"/>
            </w:tcMar>
          </w:tcPr>
          <w:p w14:paraId="280A4B07" w14:textId="77777777" w:rsidR="002039E1" w:rsidRPr="00AB1CDB" w:rsidRDefault="002039E1" w:rsidP="002039E1">
            <w:pPr>
              <w:suppressAutoHyphens w:val="0"/>
              <w:rPr>
                <w:rFonts w:eastAsiaTheme="minorHAnsi" w:cstheme="minorBidi"/>
                <w:b/>
                <w:szCs w:val="22"/>
                <w:lang w:val="fr-FR" w:eastAsia="en-US"/>
              </w:rPr>
            </w:pPr>
            <w:r w:rsidRPr="00AB1CDB">
              <w:rPr>
                <w:rFonts w:eastAsiaTheme="minorHAnsi" w:cstheme="minorBidi"/>
                <w:b/>
                <w:szCs w:val="22"/>
                <w:lang w:val="fr-FR" w:eastAsia="en-US"/>
              </w:rPr>
              <w:t>Subject of exposure</w:t>
            </w:r>
          </w:p>
        </w:tc>
      </w:tr>
      <w:tr w:rsidR="002039E1" w:rsidRPr="002A1DCA" w14:paraId="1BE01CAF" w14:textId="77777777" w:rsidTr="002039E1">
        <w:trPr>
          <w:tblHeader/>
        </w:trPr>
        <w:tc>
          <w:tcPr>
            <w:tcW w:w="562" w:type="pct"/>
            <w:tcMar>
              <w:top w:w="57" w:type="dxa"/>
              <w:bottom w:w="57" w:type="dxa"/>
            </w:tcMar>
          </w:tcPr>
          <w:p w14:paraId="7C83C07F" w14:textId="77777777" w:rsidR="002039E1" w:rsidRPr="00AB1CDB" w:rsidRDefault="002039E1" w:rsidP="002039E1">
            <w:pPr>
              <w:suppressAutoHyphens w:val="0"/>
              <w:rPr>
                <w:rFonts w:eastAsiaTheme="minorHAnsi" w:cstheme="minorBidi"/>
                <w:szCs w:val="22"/>
                <w:lang w:val="fr-FR" w:eastAsia="en-US"/>
              </w:rPr>
            </w:pPr>
            <w:r w:rsidRPr="00AB1CDB">
              <w:rPr>
                <w:rFonts w:eastAsiaTheme="minorHAnsi" w:cstheme="minorBidi"/>
                <w:szCs w:val="22"/>
                <w:lang w:val="fr-FR" w:eastAsia="en-US"/>
              </w:rPr>
              <w:t>1.</w:t>
            </w:r>
          </w:p>
        </w:tc>
        <w:tc>
          <w:tcPr>
            <w:tcW w:w="756" w:type="pct"/>
            <w:shd w:val="clear" w:color="auto" w:fill="auto"/>
            <w:tcMar>
              <w:top w:w="57" w:type="dxa"/>
              <w:bottom w:w="57" w:type="dxa"/>
            </w:tcMar>
          </w:tcPr>
          <w:p w14:paraId="657CC0D8" w14:textId="77777777" w:rsidR="002039E1" w:rsidRPr="00AB1CDB" w:rsidRDefault="002039E1" w:rsidP="002039E1">
            <w:pPr>
              <w:suppressAutoHyphens w:val="0"/>
              <w:rPr>
                <w:rFonts w:eastAsiaTheme="minorHAnsi" w:cs="Arial"/>
                <w:bCs/>
                <w:szCs w:val="22"/>
                <w:lang w:val="fr-FR" w:eastAsia="en-US"/>
              </w:rPr>
            </w:pPr>
            <w:r w:rsidRPr="00AB1CDB">
              <w:rPr>
                <w:rFonts w:eastAsiaTheme="minorHAnsi" w:cs="Arial"/>
                <w:bCs/>
                <w:szCs w:val="22"/>
                <w:lang w:val="fr-FR" w:eastAsia="en-US"/>
              </w:rPr>
              <w:t>Professional users - indoor</w:t>
            </w:r>
          </w:p>
        </w:tc>
        <w:tc>
          <w:tcPr>
            <w:tcW w:w="1983" w:type="pct"/>
            <w:tcMar>
              <w:top w:w="57" w:type="dxa"/>
              <w:bottom w:w="57" w:type="dxa"/>
            </w:tcMar>
          </w:tcPr>
          <w:p w14:paraId="7DFF1048" w14:textId="77777777" w:rsidR="002039E1" w:rsidRPr="00AB1CDB" w:rsidRDefault="002039E1" w:rsidP="002039E1">
            <w:pPr>
              <w:suppressAutoHyphens w:val="0"/>
              <w:rPr>
                <w:rFonts w:eastAsiaTheme="minorHAnsi" w:cs="Arial"/>
                <w:bCs/>
                <w:szCs w:val="22"/>
                <w:lang w:val="de-DE" w:eastAsia="en-US"/>
              </w:rPr>
            </w:pPr>
            <w:r w:rsidRPr="00AB1CDB">
              <w:rPr>
                <w:rFonts w:eastAsiaTheme="minorHAnsi" w:cs="Arial"/>
                <w:bCs/>
                <w:szCs w:val="22"/>
                <w:lang w:val="de-DE" w:eastAsia="en-US"/>
              </w:rPr>
              <w:t>Manual non-medical teat disinfection for cows, ewe and goats.</w:t>
            </w:r>
          </w:p>
          <w:p w14:paraId="3D2096FD" w14:textId="77777777" w:rsidR="002039E1" w:rsidRPr="00AB1CDB" w:rsidRDefault="002039E1" w:rsidP="002039E1">
            <w:pPr>
              <w:suppressAutoHyphens w:val="0"/>
              <w:rPr>
                <w:rFonts w:eastAsiaTheme="minorHAnsi" w:cs="Arial"/>
                <w:bCs/>
                <w:szCs w:val="22"/>
                <w:lang w:val="de-DE" w:eastAsia="en-US"/>
              </w:rPr>
            </w:pPr>
            <w:r w:rsidRPr="00AB1CDB">
              <w:rPr>
                <w:rFonts w:eastAsiaTheme="minorHAnsi" w:cs="Arial"/>
                <w:bCs/>
                <w:szCs w:val="22"/>
                <w:lang w:val="de-DE" w:eastAsia="en-US"/>
              </w:rPr>
              <w:t>Dip treatment</w:t>
            </w:r>
          </w:p>
          <w:p w14:paraId="264D3311" w14:textId="77777777" w:rsidR="002039E1" w:rsidRPr="00AB1CDB" w:rsidRDefault="002039E1" w:rsidP="002039E1">
            <w:pPr>
              <w:suppressAutoHyphens w:val="0"/>
              <w:rPr>
                <w:rFonts w:eastAsiaTheme="minorHAnsi" w:cs="Arial"/>
                <w:bCs/>
                <w:szCs w:val="22"/>
                <w:lang w:val="de-DE" w:eastAsia="en-US"/>
              </w:rPr>
            </w:pPr>
            <w:r w:rsidRPr="00AB1CDB">
              <w:rPr>
                <w:rFonts w:eastAsiaTheme="minorHAnsi" w:cs="Arial"/>
                <w:bCs/>
                <w:szCs w:val="22"/>
                <w:lang w:val="de-DE" w:eastAsia="en-US"/>
              </w:rPr>
              <w:t>2 ml per teat</w:t>
            </w:r>
          </w:p>
          <w:p w14:paraId="7AACCDC4" w14:textId="77777777" w:rsidR="002039E1" w:rsidRPr="00AB1CDB" w:rsidRDefault="002039E1" w:rsidP="002039E1">
            <w:pPr>
              <w:suppressAutoHyphens w:val="0"/>
              <w:rPr>
                <w:rFonts w:eastAsiaTheme="minorHAnsi" w:cstheme="minorBidi"/>
                <w:szCs w:val="22"/>
                <w:lang w:val="en-US" w:eastAsia="en-US"/>
              </w:rPr>
            </w:pPr>
            <w:r w:rsidRPr="00AB1CDB">
              <w:rPr>
                <w:rFonts w:eastAsiaTheme="minorHAnsi" w:cs="Arial"/>
                <w:bCs/>
                <w:szCs w:val="22"/>
                <w:lang w:val="de-DE" w:eastAsia="en-US"/>
              </w:rPr>
              <w:t>2 x/day, each day</w:t>
            </w:r>
          </w:p>
        </w:tc>
        <w:tc>
          <w:tcPr>
            <w:tcW w:w="1699" w:type="pct"/>
            <w:shd w:val="clear" w:color="auto" w:fill="auto"/>
            <w:tcMar>
              <w:top w:w="57" w:type="dxa"/>
              <w:bottom w:w="57" w:type="dxa"/>
            </w:tcMar>
          </w:tcPr>
          <w:p w14:paraId="525EDA0E" w14:textId="77777777" w:rsidR="002039E1" w:rsidRPr="00AB1CDB" w:rsidRDefault="002039E1" w:rsidP="002039E1">
            <w:pPr>
              <w:suppressAutoHyphens w:val="0"/>
              <w:rPr>
                <w:rFonts w:eastAsiaTheme="minorHAnsi" w:cstheme="minorBidi"/>
                <w:szCs w:val="22"/>
                <w:lang w:val="en-US" w:eastAsia="en-US"/>
              </w:rPr>
            </w:pPr>
            <w:r w:rsidRPr="00AB1CDB">
              <w:rPr>
                <w:rFonts w:eastAsiaTheme="minorHAnsi" w:cstheme="minorBidi"/>
                <w:szCs w:val="22"/>
                <w:lang w:val="en-US" w:eastAsia="en-US"/>
              </w:rPr>
              <w:t>Livestock (dairy cows, ewes and goats)</w:t>
            </w:r>
          </w:p>
        </w:tc>
      </w:tr>
    </w:tbl>
    <w:p w14:paraId="7FB937FE" w14:textId="77777777" w:rsidR="002039E1" w:rsidRPr="002039E1" w:rsidRDefault="002039E1" w:rsidP="002039E1">
      <w:pPr>
        <w:suppressAutoHyphens w:val="0"/>
        <w:rPr>
          <w:rFonts w:asciiTheme="minorHAnsi" w:eastAsiaTheme="minorHAnsi" w:hAnsiTheme="minorHAnsi" w:cstheme="minorBidi"/>
          <w:color w:val="00B050"/>
          <w:sz w:val="22"/>
          <w:szCs w:val="22"/>
          <w:lang w:val="en-US" w:eastAsia="en-US"/>
        </w:rPr>
      </w:pPr>
    </w:p>
    <w:p w14:paraId="7FA603FB" w14:textId="77777777" w:rsidR="002039E1" w:rsidRPr="002039E1" w:rsidRDefault="002039E1" w:rsidP="002039E1">
      <w:pPr>
        <w:jc w:val="both"/>
        <w:rPr>
          <w:rFonts w:eastAsiaTheme="minorHAnsi" w:cstheme="minorBidi"/>
          <w:lang w:val="en-US" w:eastAsia="en-US"/>
        </w:rPr>
      </w:pPr>
      <w:r w:rsidRPr="002039E1">
        <w:rPr>
          <w:rFonts w:eastAsiaTheme="minorHAnsi" w:cstheme="minorBidi"/>
          <w:lang w:val="en-US" w:eastAsia="en-US"/>
        </w:rPr>
        <w:t>The active substance iodine is not considered as a cumulative substance:</w:t>
      </w:r>
    </w:p>
    <w:p w14:paraId="1EF3A601" w14:textId="77777777" w:rsidR="002039E1" w:rsidRPr="002039E1" w:rsidRDefault="002039E1" w:rsidP="002039E1">
      <w:pPr>
        <w:pStyle w:val="Paragraphedeliste"/>
        <w:numPr>
          <w:ilvl w:val="0"/>
          <w:numId w:val="24"/>
        </w:numPr>
        <w:tabs>
          <w:tab w:val="num" w:pos="360"/>
          <w:tab w:val="num" w:pos="786"/>
        </w:tabs>
        <w:jc w:val="both"/>
        <w:rPr>
          <w:rFonts w:eastAsiaTheme="minorHAnsi" w:cstheme="minorBidi"/>
          <w:lang w:val="en-US" w:eastAsia="en-US"/>
        </w:rPr>
      </w:pPr>
      <w:r w:rsidRPr="002039E1">
        <w:rPr>
          <w:rFonts w:eastAsiaTheme="minorHAnsi" w:cstheme="minorBidi"/>
          <w:lang w:val="en-US" w:eastAsia="en-US"/>
        </w:rPr>
        <w:t xml:space="preserve">no log Pow is defined, </w:t>
      </w:r>
    </w:p>
    <w:p w14:paraId="0434248C" w14:textId="77777777" w:rsidR="002039E1" w:rsidRPr="002039E1" w:rsidRDefault="002039E1" w:rsidP="002039E1">
      <w:pPr>
        <w:pStyle w:val="Paragraphedeliste"/>
        <w:numPr>
          <w:ilvl w:val="0"/>
          <w:numId w:val="24"/>
        </w:numPr>
        <w:tabs>
          <w:tab w:val="num" w:pos="360"/>
          <w:tab w:val="num" w:pos="786"/>
        </w:tabs>
        <w:jc w:val="both"/>
        <w:rPr>
          <w:rFonts w:eastAsiaTheme="minorHAnsi" w:cstheme="minorBidi"/>
          <w:lang w:val="en-US" w:eastAsia="en-US"/>
        </w:rPr>
      </w:pPr>
      <w:r w:rsidRPr="002039E1">
        <w:rPr>
          <w:rFonts w:eastAsiaTheme="minorHAnsi" w:cstheme="minorBidi"/>
          <w:lang w:val="en-US" w:eastAsia="en-US"/>
        </w:rPr>
        <w:t>no data suggests a potential bioaccumulation of iodine/iodide in the body under normal conditions,</w:t>
      </w:r>
    </w:p>
    <w:p w14:paraId="5F6ABA77" w14:textId="77777777" w:rsidR="002039E1" w:rsidRPr="002039E1" w:rsidRDefault="002039E1" w:rsidP="002039E1">
      <w:pPr>
        <w:pStyle w:val="Paragraphedeliste"/>
        <w:numPr>
          <w:ilvl w:val="0"/>
          <w:numId w:val="24"/>
        </w:numPr>
        <w:tabs>
          <w:tab w:val="num" w:pos="360"/>
          <w:tab w:val="num" w:pos="786"/>
        </w:tabs>
        <w:jc w:val="both"/>
        <w:rPr>
          <w:rFonts w:eastAsiaTheme="minorHAnsi" w:cstheme="minorBidi"/>
          <w:lang w:val="en-US" w:eastAsia="en-US"/>
        </w:rPr>
      </w:pPr>
      <w:r w:rsidRPr="002039E1">
        <w:rPr>
          <w:rFonts w:eastAsiaTheme="minorHAnsi" w:cstheme="minorBidi"/>
          <w:lang w:val="en-US" w:eastAsia="en-US"/>
        </w:rPr>
        <w:t>iodide in excess of physiological requirement is excreted mainly via the urine, and in smaller quantities via faeces, saliva, milk, sweat, tears, bile, other secretions and exhaled air.</w:t>
      </w:r>
    </w:p>
    <w:p w14:paraId="1C805C7F" w14:textId="77777777" w:rsidR="002039E1" w:rsidRPr="002039E1" w:rsidRDefault="002039E1" w:rsidP="002039E1">
      <w:pPr>
        <w:jc w:val="both"/>
        <w:rPr>
          <w:rFonts w:eastAsiaTheme="minorHAnsi" w:cstheme="minorBidi"/>
          <w:lang w:val="en-US" w:eastAsia="en-US"/>
        </w:rPr>
      </w:pPr>
      <w:r w:rsidRPr="002039E1">
        <w:rPr>
          <w:rFonts w:eastAsiaTheme="minorHAnsi" w:cstheme="minorBidi"/>
          <w:lang w:val="en-US" w:eastAsia="en-US"/>
        </w:rPr>
        <w:t>Therefore no bioaccumulation of iodine is expected.</w:t>
      </w:r>
    </w:p>
    <w:p w14:paraId="036931E2" w14:textId="77777777" w:rsidR="002039E1" w:rsidRPr="002039E1" w:rsidRDefault="002039E1" w:rsidP="002039E1">
      <w:pPr>
        <w:suppressAutoHyphens w:val="0"/>
        <w:rPr>
          <w:rFonts w:asciiTheme="minorHAnsi" w:eastAsiaTheme="minorHAnsi" w:hAnsiTheme="minorHAnsi" w:cstheme="minorBidi"/>
          <w:sz w:val="22"/>
          <w:szCs w:val="22"/>
          <w:lang w:val="en-US" w:eastAsia="en-US"/>
        </w:rPr>
      </w:pPr>
    </w:p>
    <w:p w14:paraId="75AB51FD" w14:textId="77777777" w:rsidR="002039E1" w:rsidRPr="002039E1" w:rsidRDefault="002039E1" w:rsidP="002039E1">
      <w:pPr>
        <w:suppressAutoHyphens w:val="0"/>
        <w:rPr>
          <w:rFonts w:asciiTheme="minorHAnsi" w:eastAsiaTheme="minorHAnsi" w:hAnsiTheme="minorHAnsi" w:cstheme="minorBidi"/>
          <w:sz w:val="22"/>
          <w:szCs w:val="22"/>
          <w:lang w:val="en-US" w:eastAsia="en-US"/>
        </w:rPr>
      </w:pPr>
    </w:p>
    <w:p w14:paraId="48753B2A" w14:textId="77777777" w:rsidR="002039E1" w:rsidRPr="002039E1" w:rsidRDefault="002039E1" w:rsidP="002039E1">
      <w:pPr>
        <w:suppressAutoHyphens w:val="0"/>
        <w:rPr>
          <w:rFonts w:eastAsiaTheme="minorHAnsi" w:cstheme="minorBidi"/>
          <w:i/>
          <w:u w:val="single"/>
          <w:lang w:val="en-US" w:eastAsia="en-US"/>
        </w:rPr>
      </w:pPr>
      <w:r w:rsidRPr="002039E1">
        <w:rPr>
          <w:rFonts w:eastAsiaTheme="minorHAnsi" w:cstheme="minorBidi"/>
          <w:i/>
          <w:u w:val="single"/>
          <w:lang w:val="en-US" w:eastAsia="en-US"/>
        </w:rPr>
        <w:t>Information of non-biocidal use of the active substance</w:t>
      </w:r>
    </w:p>
    <w:p w14:paraId="546B9598" w14:textId="77777777" w:rsidR="002039E1" w:rsidRPr="002039E1" w:rsidRDefault="002039E1" w:rsidP="002039E1">
      <w:pPr>
        <w:suppressAutoHyphens w:val="0"/>
        <w:autoSpaceDE w:val="0"/>
        <w:autoSpaceDN w:val="0"/>
        <w:adjustRightInd w:val="0"/>
        <w:rPr>
          <w:rFonts w:eastAsiaTheme="minorHAnsi" w:cstheme="minorBidi"/>
          <w:color w:val="00B050"/>
          <w:lang w:val="en-US" w:eastAsia="en-US"/>
        </w:rPr>
      </w:pPr>
    </w:p>
    <w:p w14:paraId="3E56D22B" w14:textId="77777777" w:rsidR="002039E1" w:rsidRPr="002039E1" w:rsidRDefault="002039E1" w:rsidP="002039E1">
      <w:pPr>
        <w:suppressAutoHyphens w:val="0"/>
        <w:autoSpaceDE w:val="0"/>
        <w:autoSpaceDN w:val="0"/>
        <w:adjustRightInd w:val="0"/>
        <w:rPr>
          <w:rFonts w:eastAsiaTheme="minorHAnsi" w:cstheme="minorBidi"/>
          <w:lang w:val="en-US" w:eastAsia="en-US"/>
        </w:rPr>
      </w:pPr>
      <w:r w:rsidRPr="002039E1">
        <w:rPr>
          <w:rFonts w:eastAsiaTheme="minorHAnsi" w:cstheme="minorBidi"/>
          <w:lang w:val="en-US" w:eastAsia="en-US"/>
        </w:rPr>
        <w:t xml:space="preserve">According to Regulation (EU) No. 2015/861, several iodine-containing compounds are authorized as </w:t>
      </w:r>
      <w:r w:rsidRPr="002039E1">
        <w:rPr>
          <w:rFonts w:eastAsiaTheme="minorHAnsi" w:cstheme="minorBidi"/>
          <w:u w:val="single"/>
          <w:lang w:val="en-US" w:eastAsia="en-US"/>
        </w:rPr>
        <w:t>feed additives</w:t>
      </w:r>
      <w:r w:rsidRPr="002039E1">
        <w:rPr>
          <w:rFonts w:eastAsiaTheme="minorHAnsi" w:cstheme="minorBidi"/>
          <w:lang w:val="en-US" w:eastAsia="en-US"/>
        </w:rPr>
        <w:t xml:space="preserve">, and also as antiseptics and sanitizers in </w:t>
      </w:r>
      <w:r w:rsidRPr="002039E1">
        <w:rPr>
          <w:rFonts w:eastAsiaTheme="minorHAnsi" w:cstheme="minorBidi"/>
          <w:u w:val="single"/>
          <w:lang w:val="en-US" w:eastAsia="en-US"/>
        </w:rPr>
        <w:t>veterinary medicine</w:t>
      </w:r>
      <w:r w:rsidRPr="002039E1">
        <w:rPr>
          <w:rFonts w:eastAsiaTheme="minorHAnsi" w:cstheme="minorBidi"/>
          <w:lang w:val="en-US" w:eastAsia="en-US"/>
        </w:rPr>
        <w:t>.</w:t>
      </w:r>
    </w:p>
    <w:p w14:paraId="23C98F51" w14:textId="77777777" w:rsidR="002039E1" w:rsidRPr="002039E1" w:rsidRDefault="002039E1" w:rsidP="002039E1">
      <w:pPr>
        <w:suppressAutoHyphens w:val="0"/>
        <w:rPr>
          <w:rFonts w:asciiTheme="minorHAnsi" w:eastAsiaTheme="minorHAnsi" w:hAnsiTheme="minorHAnsi" w:cstheme="minorBidi"/>
          <w:sz w:val="22"/>
          <w:szCs w:val="22"/>
          <w:lang w:val="en-US" w:eastAsia="en-US"/>
        </w:rPr>
      </w:pPr>
    </w:p>
    <w:tbl>
      <w:tblPr>
        <w:tblW w:w="492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2"/>
        <w:gridCol w:w="2927"/>
        <w:gridCol w:w="3679"/>
        <w:gridCol w:w="2694"/>
      </w:tblGrid>
      <w:tr w:rsidR="002039E1" w:rsidRPr="002039E1" w14:paraId="40EF197D" w14:textId="77777777" w:rsidTr="002039E1">
        <w:trPr>
          <w:tblHeader/>
        </w:trPr>
        <w:tc>
          <w:tcPr>
            <w:tcW w:w="5000" w:type="pct"/>
            <w:gridSpan w:val="4"/>
            <w:shd w:val="clear" w:color="auto" w:fill="FFFFCC"/>
          </w:tcPr>
          <w:p w14:paraId="068BEC26" w14:textId="77777777" w:rsidR="002039E1" w:rsidRPr="00AB1CDB" w:rsidRDefault="002039E1" w:rsidP="002039E1">
            <w:pPr>
              <w:keepNext/>
              <w:suppressAutoHyphens w:val="0"/>
              <w:jc w:val="center"/>
              <w:rPr>
                <w:rFonts w:eastAsiaTheme="minorHAnsi" w:cstheme="minorBidi"/>
                <w:b/>
                <w:szCs w:val="22"/>
                <w:lang w:val="en-US" w:eastAsia="en-US"/>
              </w:rPr>
            </w:pPr>
            <w:r w:rsidRPr="00AB1CDB">
              <w:rPr>
                <w:rFonts w:eastAsiaTheme="minorHAnsi" w:cstheme="minorBidi"/>
                <w:b/>
                <w:szCs w:val="22"/>
                <w:lang w:val="en-US" w:eastAsia="en-US"/>
              </w:rPr>
              <w:lastRenderedPageBreak/>
              <w:t>Summary table of other (non-biocidal) uses</w:t>
            </w:r>
          </w:p>
        </w:tc>
      </w:tr>
      <w:tr w:rsidR="002039E1" w:rsidRPr="002039E1" w14:paraId="14937665" w14:textId="77777777" w:rsidTr="002039E1">
        <w:trPr>
          <w:tblHeader/>
        </w:trPr>
        <w:tc>
          <w:tcPr>
            <w:tcW w:w="222" w:type="pct"/>
            <w:shd w:val="clear" w:color="auto" w:fill="auto"/>
            <w:tcMar>
              <w:top w:w="57" w:type="dxa"/>
              <w:bottom w:w="57" w:type="dxa"/>
            </w:tcMar>
          </w:tcPr>
          <w:p w14:paraId="2FB1A648" w14:textId="77777777" w:rsidR="002039E1" w:rsidRPr="002039E1" w:rsidRDefault="002039E1" w:rsidP="002039E1">
            <w:pPr>
              <w:keepNext/>
              <w:suppressAutoHyphens w:val="0"/>
              <w:rPr>
                <w:rFonts w:asciiTheme="minorHAnsi" w:eastAsiaTheme="minorHAnsi" w:hAnsiTheme="minorHAnsi" w:cstheme="minorBidi"/>
                <w:sz w:val="22"/>
                <w:szCs w:val="22"/>
                <w:lang w:val="en-US" w:eastAsia="en-US"/>
              </w:rPr>
            </w:pPr>
          </w:p>
        </w:tc>
        <w:tc>
          <w:tcPr>
            <w:tcW w:w="1504" w:type="pct"/>
            <w:shd w:val="clear" w:color="auto" w:fill="auto"/>
            <w:tcMar>
              <w:top w:w="57" w:type="dxa"/>
              <w:bottom w:w="57" w:type="dxa"/>
            </w:tcMar>
          </w:tcPr>
          <w:p w14:paraId="4D44D1C7" w14:textId="77777777" w:rsidR="002039E1" w:rsidRPr="00AB1CDB" w:rsidRDefault="002039E1" w:rsidP="002039E1">
            <w:pPr>
              <w:keepNext/>
              <w:suppressAutoHyphens w:val="0"/>
              <w:rPr>
                <w:rFonts w:eastAsiaTheme="minorHAnsi" w:cstheme="minorBidi"/>
                <w:b/>
                <w:szCs w:val="22"/>
                <w:lang w:val="fr-FR" w:eastAsia="en-US"/>
              </w:rPr>
            </w:pPr>
            <w:r w:rsidRPr="00AB1CDB">
              <w:rPr>
                <w:rFonts w:eastAsiaTheme="minorHAnsi" w:cstheme="minorBidi"/>
                <w:b/>
                <w:szCs w:val="22"/>
                <w:lang w:val="fr-FR" w:eastAsia="en-US"/>
              </w:rPr>
              <w:t>Sector of use</w:t>
            </w:r>
          </w:p>
        </w:tc>
        <w:tc>
          <w:tcPr>
            <w:tcW w:w="1890" w:type="pct"/>
            <w:shd w:val="clear" w:color="auto" w:fill="auto"/>
            <w:tcMar>
              <w:top w:w="57" w:type="dxa"/>
              <w:bottom w:w="57" w:type="dxa"/>
            </w:tcMar>
          </w:tcPr>
          <w:p w14:paraId="64308CEB" w14:textId="77777777" w:rsidR="002039E1" w:rsidRPr="00AB1CDB" w:rsidRDefault="002039E1" w:rsidP="002039E1">
            <w:pPr>
              <w:keepNext/>
              <w:suppressAutoHyphens w:val="0"/>
              <w:rPr>
                <w:rFonts w:eastAsiaTheme="minorHAnsi" w:cstheme="minorBidi"/>
                <w:b/>
                <w:szCs w:val="22"/>
                <w:lang w:val="fr-FR" w:eastAsia="en-US"/>
              </w:rPr>
            </w:pPr>
            <w:r w:rsidRPr="00AB1CDB">
              <w:rPr>
                <w:rFonts w:eastAsiaTheme="minorHAnsi" w:cstheme="minorBidi"/>
                <w:b/>
                <w:szCs w:val="22"/>
                <w:lang w:val="fr-FR" w:eastAsia="en-US"/>
              </w:rPr>
              <w:t>Intended use</w:t>
            </w:r>
          </w:p>
        </w:tc>
        <w:tc>
          <w:tcPr>
            <w:tcW w:w="1383" w:type="pct"/>
            <w:shd w:val="clear" w:color="auto" w:fill="auto"/>
            <w:tcMar>
              <w:top w:w="57" w:type="dxa"/>
              <w:bottom w:w="57" w:type="dxa"/>
            </w:tcMar>
          </w:tcPr>
          <w:p w14:paraId="359AF41B" w14:textId="77777777" w:rsidR="002039E1" w:rsidRPr="00AB1CDB" w:rsidRDefault="002039E1" w:rsidP="002039E1">
            <w:pPr>
              <w:keepNext/>
              <w:suppressAutoHyphens w:val="0"/>
              <w:rPr>
                <w:rFonts w:eastAsiaTheme="minorHAnsi" w:cstheme="minorBidi"/>
                <w:b/>
                <w:szCs w:val="22"/>
                <w:lang w:val="fr-FR" w:eastAsia="en-US"/>
              </w:rPr>
            </w:pPr>
            <w:r w:rsidRPr="00AB1CDB">
              <w:rPr>
                <w:rFonts w:eastAsiaTheme="minorHAnsi" w:cstheme="minorBidi"/>
                <w:b/>
                <w:szCs w:val="22"/>
                <w:lang w:val="fr-FR" w:eastAsia="en-US"/>
              </w:rPr>
              <w:t>Reference value(s)</w:t>
            </w:r>
          </w:p>
        </w:tc>
      </w:tr>
      <w:tr w:rsidR="002039E1" w:rsidRPr="002039E1" w14:paraId="2F15F701" w14:textId="77777777" w:rsidTr="002039E1">
        <w:trPr>
          <w:tblHeader/>
        </w:trPr>
        <w:tc>
          <w:tcPr>
            <w:tcW w:w="222" w:type="pct"/>
            <w:tcMar>
              <w:top w:w="57" w:type="dxa"/>
              <w:bottom w:w="57" w:type="dxa"/>
            </w:tcMar>
          </w:tcPr>
          <w:p w14:paraId="7831B836" w14:textId="77777777" w:rsidR="002039E1" w:rsidRPr="002039E1" w:rsidRDefault="002039E1" w:rsidP="002039E1">
            <w:pPr>
              <w:suppressAutoHyphens w:val="0"/>
              <w:rPr>
                <w:rFonts w:asciiTheme="minorHAnsi" w:eastAsiaTheme="minorHAnsi" w:hAnsiTheme="minorHAnsi" w:cstheme="minorBidi"/>
                <w:sz w:val="22"/>
                <w:szCs w:val="22"/>
                <w:lang w:val="fr-FR" w:eastAsia="en-US"/>
              </w:rPr>
            </w:pPr>
            <w:r w:rsidRPr="002039E1">
              <w:rPr>
                <w:rFonts w:asciiTheme="minorHAnsi" w:eastAsiaTheme="minorHAnsi" w:hAnsiTheme="minorHAnsi" w:cstheme="minorBidi"/>
                <w:sz w:val="22"/>
                <w:szCs w:val="22"/>
                <w:lang w:val="fr-FR" w:eastAsia="en-US"/>
              </w:rPr>
              <w:t>1.</w:t>
            </w:r>
          </w:p>
        </w:tc>
        <w:tc>
          <w:tcPr>
            <w:tcW w:w="1504" w:type="pct"/>
            <w:shd w:val="clear" w:color="auto" w:fill="auto"/>
            <w:tcMar>
              <w:top w:w="57" w:type="dxa"/>
              <w:bottom w:w="57" w:type="dxa"/>
            </w:tcMar>
          </w:tcPr>
          <w:p w14:paraId="2674E050" w14:textId="77777777" w:rsidR="002039E1" w:rsidRPr="002039E1" w:rsidRDefault="002039E1" w:rsidP="002039E1">
            <w:pPr>
              <w:suppressAutoHyphens w:val="0"/>
              <w:rPr>
                <w:rFonts w:eastAsiaTheme="minorHAnsi" w:cstheme="minorBidi"/>
                <w:szCs w:val="18"/>
                <w:u w:val="single"/>
                <w:lang w:val="en-US" w:eastAsia="en-US"/>
              </w:rPr>
            </w:pPr>
            <w:r w:rsidRPr="002039E1">
              <w:rPr>
                <w:rFonts w:eastAsiaTheme="minorHAnsi" w:cstheme="minorBidi"/>
                <w:szCs w:val="18"/>
                <w:u w:val="single"/>
                <w:lang w:val="en-US" w:eastAsia="en-US"/>
              </w:rPr>
              <w:t>Feed additive</w:t>
            </w:r>
          </w:p>
          <w:p w14:paraId="6CCE17BB"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xml:space="preserve">Iodine as </w:t>
            </w:r>
          </w:p>
          <w:p w14:paraId="39714364"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xml:space="preserve">- Potassium iodide, </w:t>
            </w:r>
          </w:p>
          <w:p w14:paraId="493320E1"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xml:space="preserve">- Calcium iodate anhydrous, </w:t>
            </w:r>
          </w:p>
          <w:p w14:paraId="49813181"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Coated Granulated calcium iodate anhydrous</w:t>
            </w:r>
          </w:p>
        </w:tc>
        <w:tc>
          <w:tcPr>
            <w:tcW w:w="1890" w:type="pct"/>
            <w:tcMar>
              <w:top w:w="57" w:type="dxa"/>
              <w:bottom w:w="57" w:type="dxa"/>
            </w:tcMar>
          </w:tcPr>
          <w:p w14:paraId="7C54EC90"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The recommended maximum content of total iodine in complete feed for:</w:t>
            </w:r>
          </w:p>
          <w:p w14:paraId="6104542F"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equines is 3 mg/kg feed/d</w:t>
            </w:r>
          </w:p>
          <w:p w14:paraId="7E1E8349"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dogs is 4 mg/kg feed/d</w:t>
            </w:r>
          </w:p>
          <w:p w14:paraId="739F7D27"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cats is 5 mg/kg feed/d</w:t>
            </w:r>
          </w:p>
          <w:p w14:paraId="48914843" w14:textId="77777777" w:rsidR="002039E1" w:rsidRPr="002039E1" w:rsidRDefault="002039E1" w:rsidP="002039E1">
            <w:pPr>
              <w:suppressAutoHyphens w:val="0"/>
              <w:autoSpaceDE w:val="0"/>
              <w:autoSpaceDN w:val="0"/>
              <w:adjustRightInd w:val="0"/>
              <w:ind w:left="153" w:hanging="153"/>
              <w:rPr>
                <w:rFonts w:eastAsiaTheme="minorHAnsi" w:cstheme="minorBidi"/>
                <w:szCs w:val="18"/>
                <w:lang w:val="en-US" w:eastAsia="en-US"/>
              </w:rPr>
            </w:pPr>
            <w:r w:rsidRPr="002039E1">
              <w:rPr>
                <w:rFonts w:eastAsiaTheme="minorHAnsi" w:cstheme="minorBidi"/>
                <w:szCs w:val="18"/>
                <w:lang w:val="en-US" w:eastAsia="en-US"/>
              </w:rPr>
              <w:t>- ruminants for milk production is 2 mg/kg (0.080 mg/kg bw/d)</w:t>
            </w:r>
          </w:p>
          <w:p w14:paraId="088E1F5D" w14:textId="77777777" w:rsidR="002039E1" w:rsidRPr="002039E1" w:rsidRDefault="002039E1" w:rsidP="002039E1">
            <w:pPr>
              <w:suppressAutoHyphens w:val="0"/>
              <w:ind w:left="153" w:right="-70" w:hanging="141"/>
              <w:rPr>
                <w:rFonts w:eastAsiaTheme="minorHAnsi" w:cstheme="minorBidi"/>
                <w:szCs w:val="18"/>
                <w:lang w:val="en-US" w:eastAsia="en-US"/>
              </w:rPr>
            </w:pPr>
            <w:r w:rsidRPr="002039E1">
              <w:rPr>
                <w:rFonts w:eastAsiaTheme="minorHAnsi" w:cstheme="minorBidi"/>
                <w:szCs w:val="18"/>
                <w:lang w:val="en-US" w:eastAsia="en-US"/>
              </w:rPr>
              <w:t>- laying hens is 3 mg/kg feed/d (0.205 mg/kg bw/d)</w:t>
            </w:r>
          </w:p>
        </w:tc>
        <w:tc>
          <w:tcPr>
            <w:tcW w:w="1383" w:type="pct"/>
            <w:shd w:val="clear" w:color="auto" w:fill="auto"/>
            <w:tcMar>
              <w:top w:w="57" w:type="dxa"/>
              <w:bottom w:w="57" w:type="dxa"/>
            </w:tcMar>
          </w:tcPr>
          <w:p w14:paraId="4F55F146"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These values were recommended by the EFSA Panel on Additives and Products or Substances used in Animal Feed (FEEDAP Panel) in 2013</w:t>
            </w:r>
            <w:r w:rsidRPr="002039E1">
              <w:rPr>
                <w:rFonts w:eastAsiaTheme="minorHAnsi" w:cstheme="minorBidi"/>
                <w:szCs w:val="18"/>
                <w:vertAlign w:val="superscript"/>
                <w:lang w:val="fr-FR" w:eastAsia="en-US"/>
              </w:rPr>
              <w:footnoteReference w:id="5"/>
            </w:r>
            <w:r w:rsidRPr="002039E1">
              <w:rPr>
                <w:rFonts w:eastAsiaTheme="minorHAnsi" w:cstheme="minorBidi"/>
                <w:szCs w:val="18"/>
                <w:lang w:val="en-US" w:eastAsia="en-US"/>
              </w:rPr>
              <w:t xml:space="preserve"> to bring the exposure of adult consumers below the Upper Intake Level.</w:t>
            </w:r>
          </w:p>
        </w:tc>
      </w:tr>
      <w:tr w:rsidR="002039E1" w:rsidRPr="002039E1" w14:paraId="0C0086D3" w14:textId="77777777" w:rsidTr="002039E1">
        <w:trPr>
          <w:tblHeader/>
        </w:trPr>
        <w:tc>
          <w:tcPr>
            <w:tcW w:w="222" w:type="pct"/>
            <w:tcMar>
              <w:top w:w="57" w:type="dxa"/>
              <w:bottom w:w="57" w:type="dxa"/>
            </w:tcMar>
          </w:tcPr>
          <w:p w14:paraId="78B19C67" w14:textId="77777777" w:rsidR="002039E1" w:rsidRPr="002039E1" w:rsidRDefault="002039E1" w:rsidP="002039E1">
            <w:pPr>
              <w:suppressAutoHyphens w:val="0"/>
              <w:rPr>
                <w:rFonts w:asciiTheme="minorHAnsi" w:eastAsiaTheme="minorHAnsi" w:hAnsiTheme="minorHAnsi" w:cstheme="minorBidi"/>
                <w:sz w:val="22"/>
                <w:szCs w:val="22"/>
                <w:lang w:val="fr-FR" w:eastAsia="en-US"/>
              </w:rPr>
            </w:pPr>
            <w:r w:rsidRPr="002039E1">
              <w:rPr>
                <w:rFonts w:asciiTheme="minorHAnsi" w:eastAsiaTheme="minorHAnsi" w:hAnsiTheme="minorHAnsi" w:cstheme="minorBidi"/>
                <w:sz w:val="22"/>
                <w:szCs w:val="22"/>
                <w:lang w:val="fr-FR" w:eastAsia="en-US"/>
              </w:rPr>
              <w:t>2.</w:t>
            </w:r>
          </w:p>
        </w:tc>
        <w:tc>
          <w:tcPr>
            <w:tcW w:w="1504" w:type="pct"/>
            <w:shd w:val="clear" w:color="auto" w:fill="auto"/>
            <w:tcMar>
              <w:top w:w="57" w:type="dxa"/>
              <w:bottom w:w="57" w:type="dxa"/>
            </w:tcMar>
          </w:tcPr>
          <w:p w14:paraId="50CA20B7" w14:textId="77777777" w:rsidR="002039E1" w:rsidRPr="002039E1" w:rsidRDefault="002039E1" w:rsidP="002039E1">
            <w:pPr>
              <w:suppressAutoHyphens w:val="0"/>
              <w:rPr>
                <w:rFonts w:eastAsiaTheme="minorHAnsi" w:cstheme="minorBidi"/>
                <w:szCs w:val="18"/>
                <w:u w:val="single"/>
                <w:lang w:val="en-US" w:eastAsia="en-US"/>
              </w:rPr>
            </w:pPr>
            <w:r w:rsidRPr="002039E1">
              <w:rPr>
                <w:rFonts w:eastAsiaTheme="minorHAnsi" w:cstheme="minorBidi"/>
                <w:szCs w:val="18"/>
                <w:u w:val="single"/>
                <w:lang w:val="en-US" w:eastAsia="en-US"/>
              </w:rPr>
              <w:t>Veterinary medicine</w:t>
            </w:r>
          </w:p>
          <w:p w14:paraId="7555EBB6" w14:textId="77777777" w:rsidR="002039E1" w:rsidRPr="002039E1" w:rsidRDefault="002039E1" w:rsidP="002039E1">
            <w:pPr>
              <w:suppressAutoHyphens w:val="0"/>
              <w:rPr>
                <w:rFonts w:eastAsiaTheme="minorHAnsi" w:cstheme="minorBidi"/>
                <w:szCs w:val="18"/>
                <w:lang w:val="en-US" w:eastAsia="en-US"/>
              </w:rPr>
            </w:pPr>
            <w:r w:rsidRPr="002039E1">
              <w:rPr>
                <w:rFonts w:eastAsiaTheme="minorHAnsi" w:cstheme="minorBidi"/>
                <w:szCs w:val="18"/>
                <w:lang w:val="en-US" w:eastAsia="en-US"/>
              </w:rPr>
              <w:t>Iodine and iodine</w:t>
            </w:r>
          </w:p>
          <w:p w14:paraId="7C40A025" w14:textId="77777777" w:rsidR="002039E1" w:rsidRPr="002039E1" w:rsidRDefault="002039E1" w:rsidP="002039E1">
            <w:pPr>
              <w:suppressAutoHyphens w:val="0"/>
              <w:rPr>
                <w:rFonts w:eastAsiaTheme="minorHAnsi" w:cstheme="minorBidi"/>
                <w:szCs w:val="18"/>
                <w:lang w:val="en-US" w:eastAsia="en-US"/>
              </w:rPr>
            </w:pPr>
            <w:r w:rsidRPr="002039E1">
              <w:rPr>
                <w:rFonts w:eastAsiaTheme="minorHAnsi" w:cstheme="minorBidi"/>
                <w:szCs w:val="18"/>
                <w:lang w:val="en-US" w:eastAsia="en-US"/>
              </w:rPr>
              <w:t>inorganic compounds</w:t>
            </w:r>
          </w:p>
          <w:p w14:paraId="564CB589" w14:textId="77777777" w:rsidR="002039E1" w:rsidRPr="002039E1" w:rsidRDefault="002039E1" w:rsidP="002039E1">
            <w:pPr>
              <w:suppressAutoHyphens w:val="0"/>
              <w:rPr>
                <w:rFonts w:eastAsiaTheme="minorHAnsi" w:cstheme="minorBidi"/>
                <w:szCs w:val="18"/>
                <w:lang w:val="en-US" w:eastAsia="en-US"/>
              </w:rPr>
            </w:pPr>
            <w:r w:rsidRPr="002039E1">
              <w:rPr>
                <w:rFonts w:eastAsiaTheme="minorHAnsi" w:cstheme="minorBidi"/>
                <w:szCs w:val="18"/>
                <w:lang w:val="en-US" w:eastAsia="en-US"/>
              </w:rPr>
              <w:t>including:</w:t>
            </w:r>
          </w:p>
          <w:p w14:paraId="57DD199E" w14:textId="77777777" w:rsidR="002039E1" w:rsidRPr="002039E1" w:rsidRDefault="002039E1" w:rsidP="002039E1">
            <w:pPr>
              <w:suppressAutoHyphens w:val="0"/>
              <w:rPr>
                <w:rFonts w:eastAsiaTheme="minorHAnsi" w:cstheme="minorBidi"/>
                <w:szCs w:val="18"/>
                <w:lang w:val="en-US" w:eastAsia="en-US"/>
              </w:rPr>
            </w:pPr>
            <w:r w:rsidRPr="002039E1">
              <w:rPr>
                <w:rFonts w:eastAsiaTheme="minorHAnsi" w:cstheme="minorBidi"/>
                <w:szCs w:val="18"/>
                <w:lang w:val="en-US" w:eastAsia="en-US"/>
              </w:rPr>
              <w:t>- Sodium/potassium-iodide</w:t>
            </w:r>
          </w:p>
          <w:p w14:paraId="582C9BDD" w14:textId="77777777" w:rsidR="002039E1" w:rsidRPr="002039E1" w:rsidRDefault="002039E1" w:rsidP="002039E1">
            <w:pPr>
              <w:suppressAutoHyphens w:val="0"/>
              <w:rPr>
                <w:rFonts w:eastAsiaTheme="minorHAnsi" w:cstheme="minorBidi"/>
                <w:szCs w:val="18"/>
                <w:lang w:val="en-US" w:eastAsia="en-US"/>
              </w:rPr>
            </w:pPr>
            <w:r w:rsidRPr="002039E1">
              <w:rPr>
                <w:rFonts w:eastAsiaTheme="minorHAnsi" w:cstheme="minorBidi"/>
                <w:szCs w:val="18"/>
                <w:lang w:val="en-US" w:eastAsia="en-US"/>
              </w:rPr>
              <w:t>- Sodium/potassium-iodate</w:t>
            </w:r>
          </w:p>
          <w:p w14:paraId="4264427B" w14:textId="77777777" w:rsidR="002039E1" w:rsidRPr="002039E1" w:rsidRDefault="002039E1" w:rsidP="002039E1">
            <w:pPr>
              <w:suppressAutoHyphens w:val="0"/>
              <w:rPr>
                <w:rFonts w:eastAsiaTheme="minorHAnsi" w:cstheme="minorBidi"/>
                <w:szCs w:val="18"/>
                <w:lang w:val="en-US" w:eastAsia="en-US"/>
              </w:rPr>
            </w:pPr>
            <w:r w:rsidRPr="002039E1">
              <w:rPr>
                <w:rFonts w:eastAsiaTheme="minorHAnsi" w:cstheme="minorBidi"/>
                <w:szCs w:val="18"/>
                <w:lang w:val="en-US" w:eastAsia="en-US"/>
              </w:rPr>
              <w:t>- Iodophors including polyvinylpyrrolidoneiodine (PVP-iodine) and iodoform</w:t>
            </w:r>
          </w:p>
        </w:tc>
        <w:tc>
          <w:tcPr>
            <w:tcW w:w="1890" w:type="pct"/>
            <w:tcMar>
              <w:top w:w="57" w:type="dxa"/>
              <w:bottom w:w="57" w:type="dxa"/>
            </w:tcMar>
          </w:tcPr>
          <w:p w14:paraId="1B573051"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xml:space="preserve">All food producing species: </w:t>
            </w:r>
          </w:p>
          <w:p w14:paraId="7AE55FC6"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Various iodine-containing compounds are used in veterinary medicine as antiseptics and sanitisers.</w:t>
            </w:r>
          </w:p>
          <w:p w14:paraId="4C9832A7"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Iodine compounds are used in teat dips for the prevention and control of mastitis in cattle and in topical preparations for prevention of infections in wounds. Preparations for oral and parenteral administration are also available for the treatment of iodine-deficiency.</w:t>
            </w:r>
          </w:p>
        </w:tc>
        <w:tc>
          <w:tcPr>
            <w:tcW w:w="1383" w:type="pct"/>
            <w:shd w:val="clear" w:color="auto" w:fill="auto"/>
            <w:tcMar>
              <w:top w:w="57" w:type="dxa"/>
              <w:bottom w:w="57" w:type="dxa"/>
            </w:tcMar>
          </w:tcPr>
          <w:p w14:paraId="05DC1719"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xml:space="preserve">Regulation (EU) No.37/2010 </w:t>
            </w:r>
          </w:p>
          <w:p w14:paraId="676ED92B"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p>
          <w:p w14:paraId="228E4494" w14:textId="77777777" w:rsidR="002039E1" w:rsidRPr="002039E1" w:rsidRDefault="002039E1" w:rsidP="002039E1">
            <w:pPr>
              <w:suppressAutoHyphens w:val="0"/>
              <w:autoSpaceDE w:val="0"/>
              <w:autoSpaceDN w:val="0"/>
              <w:adjustRightInd w:val="0"/>
              <w:rPr>
                <w:rFonts w:eastAsiaTheme="minorHAnsi" w:cstheme="minorBidi"/>
                <w:szCs w:val="18"/>
                <w:lang w:val="en-US" w:eastAsia="en-US"/>
              </w:rPr>
            </w:pPr>
            <w:r w:rsidRPr="002039E1">
              <w:rPr>
                <w:rFonts w:eastAsiaTheme="minorHAnsi" w:cstheme="minorBidi"/>
                <w:szCs w:val="18"/>
                <w:lang w:val="en-US" w:eastAsia="en-US"/>
              </w:rPr>
              <w:t xml:space="preserve">The Committee for Veterinary Medicinal Products (CVMP) decided in 1996 that it would be </w:t>
            </w:r>
            <w:r w:rsidRPr="002039E1">
              <w:rPr>
                <w:rFonts w:eastAsiaTheme="minorHAnsi" w:cstheme="minorBidi"/>
                <w:b/>
                <w:szCs w:val="18"/>
                <w:lang w:val="en-US" w:eastAsia="en-US"/>
              </w:rPr>
              <w:t>inappropriate to elaborate MRLs for iodine</w:t>
            </w:r>
            <w:r w:rsidRPr="002039E1">
              <w:rPr>
                <w:rFonts w:eastAsiaTheme="minorHAnsi" w:cstheme="minorBidi"/>
                <w:szCs w:val="18"/>
                <w:lang w:val="en-US" w:eastAsia="en-US"/>
              </w:rPr>
              <w:t>. Therefore, iodine was included in Annex II of Council Regulation (EEC) No. 2377/90</w:t>
            </w:r>
            <w:r w:rsidRPr="002039E1">
              <w:rPr>
                <w:rFonts w:eastAsiaTheme="minorHAnsi" w:cstheme="minorBidi"/>
                <w:szCs w:val="18"/>
                <w:vertAlign w:val="superscript"/>
                <w:lang w:val="fr-FR" w:eastAsia="en-US"/>
              </w:rPr>
              <w:footnoteReference w:id="6"/>
            </w:r>
            <w:r w:rsidRPr="002039E1">
              <w:rPr>
                <w:rFonts w:eastAsiaTheme="minorHAnsi" w:cstheme="minorBidi"/>
                <w:szCs w:val="18"/>
                <w:lang w:val="en-US" w:eastAsia="en-US"/>
              </w:rPr>
              <w:t xml:space="preserve"> and later, in Annex of Commission Regulation (EU) No.37/2010</w:t>
            </w:r>
            <w:r w:rsidRPr="002039E1">
              <w:rPr>
                <w:rFonts w:eastAsiaTheme="minorHAnsi" w:cstheme="minorBidi"/>
                <w:szCs w:val="18"/>
                <w:vertAlign w:val="superscript"/>
                <w:lang w:val="fr-FR" w:eastAsia="en-US"/>
              </w:rPr>
              <w:footnoteReference w:id="7"/>
            </w:r>
            <w:r w:rsidRPr="002039E1">
              <w:rPr>
                <w:rFonts w:eastAsiaTheme="minorHAnsi" w:cstheme="minorBidi"/>
                <w:szCs w:val="18"/>
                <w:lang w:val="en-US" w:eastAsia="en-US"/>
              </w:rPr>
              <w:t xml:space="preserve"> .</w:t>
            </w:r>
          </w:p>
          <w:p w14:paraId="46E9A234" w14:textId="77777777" w:rsidR="002039E1" w:rsidRPr="002039E1" w:rsidRDefault="002039E1" w:rsidP="002039E1">
            <w:pPr>
              <w:suppressAutoHyphens w:val="0"/>
              <w:rPr>
                <w:rFonts w:eastAsiaTheme="minorHAnsi" w:cstheme="minorBidi"/>
                <w:szCs w:val="18"/>
                <w:lang w:val="en-US" w:eastAsia="en-US"/>
              </w:rPr>
            </w:pPr>
          </w:p>
        </w:tc>
      </w:tr>
    </w:tbl>
    <w:p w14:paraId="0B410FA4" w14:textId="77777777" w:rsidR="002039E1" w:rsidRPr="002039E1" w:rsidRDefault="002039E1" w:rsidP="002039E1">
      <w:pPr>
        <w:suppressAutoHyphens w:val="0"/>
        <w:rPr>
          <w:rFonts w:asciiTheme="minorHAnsi" w:eastAsiaTheme="minorHAnsi" w:hAnsiTheme="minorHAnsi" w:cstheme="minorBidi"/>
          <w:sz w:val="22"/>
          <w:szCs w:val="22"/>
          <w:lang w:val="en-US" w:eastAsia="en-US"/>
        </w:rPr>
      </w:pPr>
    </w:p>
    <w:p w14:paraId="5A01C8E3" w14:textId="77777777" w:rsidR="002039E1" w:rsidRPr="002039E1" w:rsidRDefault="002039E1" w:rsidP="002039E1">
      <w:pPr>
        <w:suppressAutoHyphens w:val="0"/>
        <w:jc w:val="both"/>
        <w:rPr>
          <w:rFonts w:eastAsiaTheme="minorHAnsi" w:cstheme="minorBidi"/>
          <w:szCs w:val="22"/>
          <w:lang w:val="en-US" w:eastAsia="en-US"/>
        </w:rPr>
      </w:pPr>
      <w:r w:rsidRPr="002039E1">
        <w:rPr>
          <w:rFonts w:eastAsiaTheme="minorHAnsi" w:cstheme="minorBidi"/>
          <w:szCs w:val="22"/>
          <w:lang w:val="en-US" w:eastAsia="en-US"/>
        </w:rPr>
        <w:t>The Committee for Veterinary Medicinal Products (CVMP) has reviewed iodine for the use in veterinary medicine as antiseptic, sanitiser, 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 Considering the EC document ”interim approach for the establishment of maximum residue limits for residues of active substances contained in biocidal products for food and feed and specific migration limits in food contact materials” adopted during Competent Authorities meetings of 17 March 2017, it was stated at the</w:t>
      </w:r>
      <w:r w:rsidRPr="002039E1">
        <w:rPr>
          <w:rFonts w:asciiTheme="minorHAnsi" w:eastAsiaTheme="minorHAnsi" w:hAnsiTheme="minorHAnsi" w:cstheme="minorBidi"/>
          <w:szCs w:val="22"/>
          <w:lang w:val="en-US" w:eastAsia="en-US"/>
        </w:rPr>
        <w:t xml:space="preserve"> </w:t>
      </w:r>
      <w:r w:rsidRPr="002039E1">
        <w:rPr>
          <w:rFonts w:eastAsiaTheme="minorHAnsi" w:cstheme="minorBidi"/>
          <w:szCs w:val="22"/>
          <w:lang w:val="en-US" w:eastAsia="en-US"/>
        </w:rPr>
        <w:t>Competent Authorities meetings of 17 March and 17 May 2017, that no biocide MRL are necessary for iodine in line with CVMP assessment for iodine.</w:t>
      </w:r>
    </w:p>
    <w:p w14:paraId="1184A328" w14:textId="77777777" w:rsidR="002039E1" w:rsidRPr="002039E1" w:rsidRDefault="002039E1" w:rsidP="002039E1">
      <w:pPr>
        <w:suppressAutoHyphens w:val="0"/>
        <w:rPr>
          <w:rFonts w:eastAsiaTheme="minorHAnsi" w:cstheme="minorBidi"/>
          <w:szCs w:val="22"/>
          <w:lang w:val="en-US" w:eastAsia="en-US"/>
        </w:rPr>
      </w:pPr>
    </w:p>
    <w:p w14:paraId="2873DE38" w14:textId="77777777" w:rsidR="002039E1" w:rsidRPr="002039E1" w:rsidRDefault="002039E1" w:rsidP="002039E1">
      <w:pPr>
        <w:suppressAutoHyphens w:val="0"/>
        <w:rPr>
          <w:rFonts w:eastAsiaTheme="minorHAnsi" w:cstheme="minorBidi"/>
          <w:szCs w:val="22"/>
          <w:u w:val="single"/>
          <w:lang w:val="en-US" w:eastAsia="en-US"/>
        </w:rPr>
      </w:pPr>
      <w:r w:rsidRPr="002039E1">
        <w:rPr>
          <w:rFonts w:eastAsiaTheme="minorHAnsi" w:cstheme="minorBidi"/>
          <w:szCs w:val="22"/>
          <w:u w:val="single"/>
          <w:lang w:val="en-US" w:eastAsia="en-US"/>
        </w:rPr>
        <w:t>Estimating Livestock Exposure to Active Substances used in Biocidal Products</w:t>
      </w:r>
    </w:p>
    <w:p w14:paraId="0020D607" w14:textId="77777777" w:rsidR="002039E1" w:rsidRPr="002039E1" w:rsidRDefault="002039E1" w:rsidP="002039E1">
      <w:pPr>
        <w:suppressAutoHyphens w:val="0"/>
        <w:jc w:val="both"/>
        <w:rPr>
          <w:rFonts w:eastAsiaTheme="minorHAnsi" w:cstheme="minorBidi"/>
          <w:szCs w:val="22"/>
          <w:lang w:val="en-US" w:eastAsia="en-US"/>
        </w:rPr>
      </w:pPr>
      <w:r w:rsidRPr="002039E1">
        <w:rPr>
          <w:rFonts w:eastAsiaTheme="minorHAnsi" w:cstheme="minorBidi"/>
          <w:szCs w:val="22"/>
          <w:lang w:val="en-US" w:eastAsia="en-US"/>
        </w:rPr>
        <w:lastRenderedPageBreak/>
        <w:t>In place of trials data to determine residues of iodine in milk following use of ALGOFILM, the consumer exposure followed the harmonized approach developed at EU level (WG TOX II-III-IV 2017, and Webex post WG tox IV 2017 meetings).</w:t>
      </w:r>
    </w:p>
    <w:p w14:paraId="06BF6931" w14:textId="77777777" w:rsidR="002039E1" w:rsidRPr="002039E1" w:rsidRDefault="002039E1" w:rsidP="002039E1">
      <w:pPr>
        <w:suppressAutoHyphens w:val="0"/>
        <w:jc w:val="both"/>
        <w:rPr>
          <w:rFonts w:eastAsiaTheme="minorHAnsi" w:cstheme="minorBidi"/>
          <w:sz w:val="18"/>
          <w:lang w:val="en-US" w:eastAsia="de-DE"/>
        </w:rPr>
      </w:pPr>
    </w:p>
    <w:p w14:paraId="78333B70" w14:textId="77777777" w:rsidR="002039E1" w:rsidRPr="002039E1" w:rsidRDefault="002039E1" w:rsidP="002039E1">
      <w:pPr>
        <w:suppressAutoHyphens w:val="0"/>
        <w:jc w:val="both"/>
        <w:rPr>
          <w:rFonts w:eastAsiaTheme="minorHAnsi" w:cstheme="minorBidi"/>
          <w:szCs w:val="22"/>
          <w:lang w:val="en-US" w:eastAsia="en-US"/>
        </w:rPr>
      </w:pPr>
      <w:r w:rsidRPr="002039E1">
        <w:rPr>
          <w:rFonts w:eastAsiaTheme="minorHAnsi" w:cstheme="minorBidi"/>
          <w:szCs w:val="22"/>
          <w:lang w:val="en-US" w:eastAsia="en-US"/>
        </w:rPr>
        <w:t xml:space="preserve">The applicant (Centre Technique d’Hygiène) has also provided dietary risk assessment in framework of this dossier using ARTFood approach (see Annex Residue). Nevertheless, considering the EU discussions, the decisions made in the WG TOX and WebEx meetings have been implemented. </w:t>
      </w:r>
    </w:p>
    <w:p w14:paraId="607C4092" w14:textId="77777777" w:rsidR="002039E1" w:rsidRPr="002039E1" w:rsidRDefault="002039E1" w:rsidP="002039E1">
      <w:pPr>
        <w:suppressAutoHyphens w:val="0"/>
        <w:jc w:val="both"/>
        <w:rPr>
          <w:rFonts w:eastAsiaTheme="minorHAnsi" w:cstheme="minorBidi"/>
          <w:szCs w:val="22"/>
          <w:lang w:val="en-US" w:eastAsia="en-US"/>
        </w:rPr>
      </w:pPr>
    </w:p>
    <w:p w14:paraId="19C60C90" w14:textId="77777777" w:rsidR="002039E1" w:rsidRPr="002039E1" w:rsidRDefault="002039E1" w:rsidP="002039E1">
      <w:pPr>
        <w:suppressAutoHyphens w:val="0"/>
        <w:jc w:val="both"/>
        <w:rPr>
          <w:rFonts w:eastAsiaTheme="minorHAnsi" w:cstheme="minorBidi"/>
          <w:szCs w:val="22"/>
          <w:lang w:val="en-US" w:eastAsia="en-US"/>
        </w:rPr>
      </w:pPr>
      <w:r w:rsidRPr="002039E1">
        <w:rPr>
          <w:rFonts w:eastAsiaTheme="minorHAnsi" w:cstheme="minorBidi"/>
          <w:szCs w:val="22"/>
          <w:lang w:val="en-US" w:eastAsia="en-US"/>
        </w:rPr>
        <w:t>Based on the details below the following three theoretical intakes have been calculated:</w:t>
      </w:r>
    </w:p>
    <w:p w14:paraId="5DDCBCE3" w14:textId="77777777" w:rsidR="002039E1" w:rsidRPr="002039E1" w:rsidRDefault="002039E1" w:rsidP="002039E1">
      <w:pPr>
        <w:suppressAutoHyphens w:val="0"/>
        <w:jc w:val="both"/>
        <w:rPr>
          <w:rFonts w:eastAsiaTheme="minorHAnsi" w:cstheme="minorBidi"/>
          <w:sz w:val="18"/>
          <w:lang w:val="en-US" w:eastAsia="de-DE"/>
        </w:rPr>
      </w:pPr>
    </w:p>
    <w:p w14:paraId="784742BA" w14:textId="77777777" w:rsidR="002039E1" w:rsidRPr="002039E1" w:rsidRDefault="002039E1" w:rsidP="002039E1">
      <w:pPr>
        <w:pStyle w:val="Paragraphedeliste"/>
        <w:numPr>
          <w:ilvl w:val="0"/>
          <w:numId w:val="23"/>
        </w:numPr>
        <w:suppressAutoHyphens w:val="0"/>
        <w:jc w:val="both"/>
        <w:rPr>
          <w:rFonts w:eastAsiaTheme="minorHAnsi" w:cstheme="minorBidi"/>
          <w:szCs w:val="22"/>
          <w:lang w:val="en-US" w:eastAsia="en-US"/>
        </w:rPr>
      </w:pPr>
      <w:r w:rsidRPr="002039E1">
        <w:rPr>
          <w:rFonts w:eastAsiaTheme="minorHAnsi" w:cstheme="minorBidi"/>
          <w:szCs w:val="22"/>
          <w:lang w:val="en-US" w:eastAsia="en-US"/>
        </w:rPr>
        <w:t>Iodine intakes resulting only from the proposed teat treatment.</w:t>
      </w:r>
    </w:p>
    <w:p w14:paraId="60D7D9D9" w14:textId="77777777" w:rsidR="002039E1" w:rsidRPr="002039E1" w:rsidRDefault="002039E1" w:rsidP="002039E1">
      <w:pPr>
        <w:pStyle w:val="Paragraphedeliste"/>
        <w:numPr>
          <w:ilvl w:val="0"/>
          <w:numId w:val="23"/>
        </w:numPr>
        <w:suppressAutoHyphens w:val="0"/>
        <w:jc w:val="both"/>
        <w:rPr>
          <w:rFonts w:eastAsiaTheme="minorHAnsi" w:cstheme="minorBidi"/>
          <w:szCs w:val="22"/>
          <w:lang w:val="en-US" w:eastAsia="en-US"/>
        </w:rPr>
      </w:pPr>
      <w:r w:rsidRPr="002039E1">
        <w:rPr>
          <w:rFonts w:eastAsiaTheme="minorHAnsi" w:cstheme="minorBidi"/>
          <w:szCs w:val="22"/>
          <w:lang w:val="en-US" w:eastAsia="en-US"/>
        </w:rPr>
        <w:t>Iodine intakes resulting from milk (sum of the proposed teat treatment + background levels in milk (200 µg/L)).</w:t>
      </w:r>
    </w:p>
    <w:p w14:paraId="53CD3279" w14:textId="77777777" w:rsidR="002039E1" w:rsidRPr="002039E1" w:rsidRDefault="002039E1" w:rsidP="002039E1">
      <w:pPr>
        <w:pStyle w:val="Paragraphedeliste"/>
        <w:numPr>
          <w:ilvl w:val="0"/>
          <w:numId w:val="23"/>
        </w:numPr>
        <w:suppressAutoHyphens w:val="0"/>
        <w:jc w:val="both"/>
        <w:rPr>
          <w:rFonts w:eastAsiaTheme="minorHAnsi" w:cstheme="minorBidi"/>
          <w:szCs w:val="22"/>
          <w:lang w:val="en-US" w:eastAsia="en-US"/>
        </w:rPr>
      </w:pPr>
      <w:r w:rsidRPr="002039E1">
        <w:rPr>
          <w:rFonts w:eastAsiaTheme="minorHAnsi" w:cstheme="minorBidi"/>
          <w:szCs w:val="22"/>
          <w:lang w:val="en-US" w:eastAsia="en-US"/>
        </w:rPr>
        <w:t>Iodine intakes from all dietary sources (sum of the proposed teat treatment + background levels in milk (200 µg/L) + mean intake associated with other dietary sources (adult = 185 µg/day, infant = 96 µg/day)).</w:t>
      </w:r>
    </w:p>
    <w:p w14:paraId="0216213B" w14:textId="77777777" w:rsidR="002039E1" w:rsidRPr="002039E1" w:rsidRDefault="002039E1" w:rsidP="002039E1">
      <w:pPr>
        <w:suppressAutoHyphens w:val="0"/>
        <w:jc w:val="both"/>
        <w:rPr>
          <w:rFonts w:eastAsiaTheme="minorHAnsi" w:cstheme="minorBidi"/>
          <w:sz w:val="18"/>
          <w:highlight w:val="lightGray"/>
          <w:lang w:val="en-US" w:eastAsia="de-DE"/>
        </w:rPr>
      </w:pPr>
    </w:p>
    <w:p w14:paraId="26057CAC" w14:textId="77777777" w:rsidR="002039E1" w:rsidRPr="002039E1" w:rsidRDefault="002039E1" w:rsidP="002039E1">
      <w:pPr>
        <w:suppressAutoHyphens w:val="0"/>
        <w:jc w:val="both"/>
        <w:rPr>
          <w:rFonts w:eastAsiaTheme="minorHAnsi" w:cstheme="minorBidi"/>
          <w:szCs w:val="22"/>
          <w:lang w:val="en-US" w:eastAsia="en-US"/>
        </w:rPr>
      </w:pPr>
      <w:r w:rsidRPr="002039E1">
        <w:rPr>
          <w:rFonts w:eastAsiaTheme="minorHAnsi" w:cstheme="minorBidi"/>
          <w:szCs w:val="22"/>
          <w:lang w:val="en-US" w:eastAsia="en-US"/>
        </w:rPr>
        <w:t xml:space="preserve">In line with the EU iodine PT3 decision, bibliographic data are used to present an approach based on linear extrapolation of iodine residues in milk from the CAR data across different in-use concentrations of iodine and numbers of product applications per day.  </w:t>
      </w:r>
    </w:p>
    <w:p w14:paraId="3B8C9AB8" w14:textId="77777777" w:rsidR="002039E1" w:rsidRPr="002039E1" w:rsidRDefault="002039E1" w:rsidP="002039E1">
      <w:pPr>
        <w:suppressAutoHyphens w:val="0"/>
        <w:jc w:val="both"/>
        <w:rPr>
          <w:rFonts w:eastAsiaTheme="minorHAnsi" w:cstheme="minorBidi"/>
          <w:szCs w:val="22"/>
          <w:lang w:val="en-US" w:eastAsia="en-US"/>
        </w:rPr>
      </w:pPr>
    </w:p>
    <w:p w14:paraId="1C185339" w14:textId="77777777" w:rsidR="002039E1" w:rsidRPr="002039E1" w:rsidRDefault="002039E1" w:rsidP="002039E1">
      <w:pPr>
        <w:suppressAutoHyphens w:val="0"/>
        <w:jc w:val="both"/>
        <w:rPr>
          <w:rFonts w:eastAsiaTheme="minorHAnsi" w:cstheme="minorBidi"/>
          <w:szCs w:val="22"/>
          <w:lang w:val="en-US" w:eastAsia="en-US"/>
        </w:rPr>
      </w:pPr>
      <w:r w:rsidRPr="002039E1">
        <w:rPr>
          <w:rFonts w:eastAsiaTheme="minorHAnsi" w:cstheme="minorBidi"/>
          <w:szCs w:val="22"/>
          <w:lang w:val="en-US" w:eastAsia="en-US"/>
        </w:rPr>
        <w:t>A comparison of the use patterns and resulting worst case iodine residues in milk considered within the CAR (studies considered sufficiently detailed) was performed. The studies summarised below are considered relevant to the proposed use patterns of iodine.</w:t>
      </w:r>
    </w:p>
    <w:p w14:paraId="6C3D6508" w14:textId="77777777" w:rsidR="002039E1" w:rsidRPr="002039E1" w:rsidRDefault="002039E1" w:rsidP="002039E1">
      <w:pPr>
        <w:suppressAutoHyphens w:val="0"/>
        <w:jc w:val="both"/>
        <w:rPr>
          <w:rFonts w:asciiTheme="minorHAnsi" w:eastAsiaTheme="minorHAnsi" w:hAnsiTheme="minorHAnsi" w:cstheme="minorBidi"/>
          <w:sz w:val="22"/>
          <w:szCs w:val="22"/>
          <w:lang w:val="en-US" w:eastAsia="en-US"/>
        </w:rPr>
      </w:pPr>
    </w:p>
    <w:p w14:paraId="0A59CE02" w14:textId="77777777" w:rsidR="002039E1" w:rsidRPr="002039E1" w:rsidRDefault="002039E1" w:rsidP="002039E1">
      <w:pPr>
        <w:suppressAutoHyphens w:val="0"/>
        <w:jc w:val="both"/>
        <w:rPr>
          <w:rFonts w:eastAsiaTheme="minorHAnsi" w:cstheme="minorBidi"/>
          <w:b/>
          <w:lang w:val="en-US" w:eastAsia="de-DE"/>
        </w:rPr>
      </w:pPr>
      <w:r w:rsidRPr="002039E1">
        <w:rPr>
          <w:rFonts w:eastAsiaTheme="minorHAnsi" w:cstheme="minorBidi"/>
          <w:b/>
          <w:lang w:val="en-US" w:eastAsia="de-DE"/>
        </w:rPr>
        <w:t xml:space="preserve">Table 1 - Residues of iodine in milk reported in iodine PT3 CAR and O’Brien studies </w:t>
      </w:r>
    </w:p>
    <w:tbl>
      <w:tblPr>
        <w:tblStyle w:val="TableGrid5"/>
        <w:tblW w:w="0" w:type="auto"/>
        <w:tblLook w:val="04A0" w:firstRow="1" w:lastRow="0" w:firstColumn="1" w:lastColumn="0" w:noHBand="0" w:noVBand="1"/>
      </w:tblPr>
      <w:tblGrid>
        <w:gridCol w:w="1475"/>
        <w:gridCol w:w="850"/>
        <w:gridCol w:w="1560"/>
        <w:gridCol w:w="1701"/>
        <w:gridCol w:w="1842"/>
        <w:gridCol w:w="8"/>
        <w:gridCol w:w="1850"/>
      </w:tblGrid>
      <w:tr w:rsidR="002039E1" w:rsidRPr="002039E1" w14:paraId="2FC4F916" w14:textId="77777777" w:rsidTr="002039E1">
        <w:tc>
          <w:tcPr>
            <w:tcW w:w="1475" w:type="dxa"/>
            <w:tcMar>
              <w:left w:w="57" w:type="dxa"/>
              <w:right w:w="57" w:type="dxa"/>
            </w:tcMar>
            <w:vAlign w:val="center"/>
          </w:tcPr>
          <w:p w14:paraId="3240DDFF" w14:textId="77777777" w:rsidR="002039E1" w:rsidRPr="002039E1" w:rsidRDefault="002039E1" w:rsidP="002039E1">
            <w:pPr>
              <w:suppressAutoHyphens w:val="0"/>
              <w:rPr>
                <w:rFonts w:cs="Times New Roman"/>
                <w:sz w:val="18"/>
                <w:lang w:eastAsia="en-GB"/>
              </w:rPr>
            </w:pPr>
            <w:r w:rsidRPr="002039E1">
              <w:rPr>
                <w:rFonts w:cs="Times New Roman"/>
                <w:sz w:val="18"/>
                <w:lang w:eastAsia="en-GB"/>
              </w:rPr>
              <w:t>CAR Study</w:t>
            </w:r>
          </w:p>
        </w:tc>
        <w:tc>
          <w:tcPr>
            <w:tcW w:w="850" w:type="dxa"/>
            <w:tcMar>
              <w:left w:w="57" w:type="dxa"/>
              <w:right w:w="57" w:type="dxa"/>
            </w:tcMar>
            <w:vAlign w:val="center"/>
          </w:tcPr>
          <w:p w14:paraId="7D914D1C"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Iodine</w:t>
            </w:r>
          </w:p>
          <w:p w14:paraId="4A482455"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w:t>
            </w:r>
          </w:p>
        </w:tc>
        <w:tc>
          <w:tcPr>
            <w:tcW w:w="1560" w:type="dxa"/>
            <w:tcMar>
              <w:left w:w="57" w:type="dxa"/>
              <w:right w:w="57" w:type="dxa"/>
            </w:tcMar>
            <w:vAlign w:val="center"/>
          </w:tcPr>
          <w:p w14:paraId="4CA69FC7"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Applications</w:t>
            </w:r>
          </w:p>
        </w:tc>
        <w:tc>
          <w:tcPr>
            <w:tcW w:w="1701" w:type="dxa"/>
            <w:tcMar>
              <w:left w:w="57" w:type="dxa"/>
              <w:right w:w="57" w:type="dxa"/>
            </w:tcMar>
            <w:vAlign w:val="center"/>
          </w:tcPr>
          <w:p w14:paraId="2F4C7966"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Mean treated residue (µg/L) [range]</w:t>
            </w:r>
          </w:p>
        </w:tc>
        <w:tc>
          <w:tcPr>
            <w:tcW w:w="1842" w:type="dxa"/>
            <w:tcMar>
              <w:left w:w="57" w:type="dxa"/>
              <w:right w:w="57" w:type="dxa"/>
            </w:tcMar>
            <w:vAlign w:val="center"/>
          </w:tcPr>
          <w:p w14:paraId="23DA0B4F"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Mean control residue (µg/L) [range]</w:t>
            </w:r>
          </w:p>
        </w:tc>
        <w:tc>
          <w:tcPr>
            <w:tcW w:w="1858" w:type="dxa"/>
            <w:gridSpan w:val="2"/>
            <w:tcMar>
              <w:left w:w="57" w:type="dxa"/>
              <w:right w:w="57" w:type="dxa"/>
            </w:tcMar>
            <w:vAlign w:val="center"/>
          </w:tcPr>
          <w:p w14:paraId="7EF09396"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Difference (additional iodine residues in milk)</w:t>
            </w:r>
          </w:p>
          <w:p w14:paraId="6E5AE30A"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(µg/L) [mean]</w:t>
            </w:r>
          </w:p>
        </w:tc>
      </w:tr>
      <w:tr w:rsidR="002039E1" w:rsidRPr="002039E1" w14:paraId="625D2605" w14:textId="77777777" w:rsidTr="002039E1">
        <w:tc>
          <w:tcPr>
            <w:tcW w:w="1475" w:type="dxa"/>
            <w:shd w:val="clear" w:color="auto" w:fill="auto"/>
            <w:tcMar>
              <w:left w:w="57" w:type="dxa"/>
              <w:right w:w="57" w:type="dxa"/>
            </w:tcMar>
            <w:vAlign w:val="center"/>
          </w:tcPr>
          <w:p w14:paraId="32947D9C"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 xml:space="preserve">Falkenberg </w:t>
            </w:r>
          </w:p>
          <w:p w14:paraId="05A3A17E"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2002</w:t>
            </w:r>
          </w:p>
        </w:tc>
        <w:tc>
          <w:tcPr>
            <w:tcW w:w="850" w:type="dxa"/>
            <w:shd w:val="clear" w:color="auto" w:fill="auto"/>
            <w:tcMar>
              <w:left w:w="57" w:type="dxa"/>
              <w:right w:w="57" w:type="dxa"/>
            </w:tcMar>
            <w:vAlign w:val="center"/>
          </w:tcPr>
          <w:p w14:paraId="71770DC0"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0.27</w:t>
            </w:r>
          </w:p>
        </w:tc>
        <w:tc>
          <w:tcPr>
            <w:tcW w:w="1560" w:type="dxa"/>
            <w:shd w:val="clear" w:color="auto" w:fill="auto"/>
            <w:tcMar>
              <w:left w:w="57" w:type="dxa"/>
              <w:right w:w="57" w:type="dxa"/>
            </w:tcMar>
            <w:vAlign w:val="center"/>
          </w:tcPr>
          <w:p w14:paraId="7F577AAE"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2x pre-milking</w:t>
            </w:r>
          </w:p>
        </w:tc>
        <w:tc>
          <w:tcPr>
            <w:tcW w:w="1701" w:type="dxa"/>
            <w:shd w:val="clear" w:color="auto" w:fill="auto"/>
            <w:tcMar>
              <w:left w:w="57" w:type="dxa"/>
              <w:right w:w="57" w:type="dxa"/>
            </w:tcMar>
            <w:vAlign w:val="center"/>
          </w:tcPr>
          <w:p w14:paraId="5A0A4FD5"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 xml:space="preserve">243.7 </w:t>
            </w:r>
          </w:p>
          <w:p w14:paraId="58A58A80"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[160 - 374]</w:t>
            </w:r>
          </w:p>
        </w:tc>
        <w:tc>
          <w:tcPr>
            <w:tcW w:w="1842" w:type="dxa"/>
            <w:shd w:val="clear" w:color="auto" w:fill="auto"/>
            <w:tcMar>
              <w:left w:w="57" w:type="dxa"/>
              <w:right w:w="57" w:type="dxa"/>
            </w:tcMar>
            <w:vAlign w:val="center"/>
          </w:tcPr>
          <w:p w14:paraId="61BF2E75"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212.7</w:t>
            </w:r>
          </w:p>
          <w:p w14:paraId="7E663629"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[124 - 300]</w:t>
            </w:r>
          </w:p>
        </w:tc>
        <w:tc>
          <w:tcPr>
            <w:tcW w:w="1858" w:type="dxa"/>
            <w:gridSpan w:val="2"/>
            <w:shd w:val="clear" w:color="auto" w:fill="auto"/>
            <w:tcMar>
              <w:left w:w="57" w:type="dxa"/>
              <w:right w:w="57" w:type="dxa"/>
            </w:tcMar>
            <w:vAlign w:val="center"/>
          </w:tcPr>
          <w:p w14:paraId="3238C62C"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31</w:t>
            </w:r>
          </w:p>
          <w:p w14:paraId="47174274"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(+14.6%)</w:t>
            </w:r>
          </w:p>
        </w:tc>
      </w:tr>
      <w:tr w:rsidR="002039E1" w:rsidRPr="002039E1" w14:paraId="75DD7CF0" w14:textId="77777777" w:rsidTr="002039E1">
        <w:tc>
          <w:tcPr>
            <w:tcW w:w="1475" w:type="dxa"/>
            <w:shd w:val="clear" w:color="auto" w:fill="auto"/>
            <w:tcMar>
              <w:left w:w="57" w:type="dxa"/>
              <w:right w:w="57" w:type="dxa"/>
            </w:tcMar>
            <w:vAlign w:val="center"/>
          </w:tcPr>
          <w:p w14:paraId="2A886B67"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Iwarsson (A)</w:t>
            </w:r>
          </w:p>
          <w:p w14:paraId="4E8D233C"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1974</w:t>
            </w:r>
          </w:p>
        </w:tc>
        <w:tc>
          <w:tcPr>
            <w:tcW w:w="850" w:type="dxa"/>
            <w:shd w:val="clear" w:color="auto" w:fill="auto"/>
            <w:tcMar>
              <w:left w:w="57" w:type="dxa"/>
              <w:right w:w="57" w:type="dxa"/>
            </w:tcMar>
            <w:vAlign w:val="center"/>
          </w:tcPr>
          <w:p w14:paraId="178DA651"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0.50</w:t>
            </w:r>
          </w:p>
        </w:tc>
        <w:tc>
          <w:tcPr>
            <w:tcW w:w="1560" w:type="dxa"/>
            <w:shd w:val="clear" w:color="auto" w:fill="auto"/>
            <w:tcMar>
              <w:left w:w="57" w:type="dxa"/>
              <w:right w:w="57" w:type="dxa"/>
            </w:tcMar>
          </w:tcPr>
          <w:p w14:paraId="30322C05"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1x post-milking</w:t>
            </w:r>
          </w:p>
          <w:p w14:paraId="0FCF974F" w14:textId="77777777" w:rsidR="002039E1" w:rsidRPr="002039E1" w:rsidRDefault="002039E1" w:rsidP="002039E1">
            <w:pPr>
              <w:suppressAutoHyphens w:val="0"/>
              <w:rPr>
                <w:rFonts w:cs="Times New Roman"/>
                <w:sz w:val="18"/>
                <w:lang w:eastAsia="en-GB"/>
              </w:rPr>
            </w:pPr>
          </w:p>
          <w:p w14:paraId="29EC5CDC"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2x post-milking</w:t>
            </w:r>
          </w:p>
        </w:tc>
        <w:tc>
          <w:tcPr>
            <w:tcW w:w="1701" w:type="dxa"/>
            <w:shd w:val="clear" w:color="auto" w:fill="auto"/>
            <w:tcMar>
              <w:left w:w="57" w:type="dxa"/>
              <w:right w:w="57" w:type="dxa"/>
            </w:tcMar>
          </w:tcPr>
          <w:p w14:paraId="6BB32F5F"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85.5</w:t>
            </w:r>
          </w:p>
          <w:p w14:paraId="542D4C57"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[46 - 125]</w:t>
            </w:r>
          </w:p>
          <w:p w14:paraId="68D6971F" w14:textId="77777777" w:rsidR="002039E1" w:rsidRPr="002039E1" w:rsidRDefault="002039E1" w:rsidP="002039E1">
            <w:pPr>
              <w:suppressAutoHyphens w:val="0"/>
              <w:jc w:val="center"/>
              <w:rPr>
                <w:rFonts w:cs="Times New Roman"/>
                <w:sz w:val="18"/>
                <w:lang w:eastAsia="en-GB"/>
              </w:rPr>
            </w:pPr>
          </w:p>
          <w:p w14:paraId="0B706139"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226.3</w:t>
            </w:r>
          </w:p>
          <w:p w14:paraId="714E7CD4"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[135 - 334]</w:t>
            </w:r>
          </w:p>
        </w:tc>
        <w:tc>
          <w:tcPr>
            <w:tcW w:w="1842" w:type="dxa"/>
            <w:shd w:val="clear" w:color="auto" w:fill="auto"/>
            <w:tcMar>
              <w:left w:w="57" w:type="dxa"/>
              <w:right w:w="57" w:type="dxa"/>
            </w:tcMar>
          </w:tcPr>
          <w:p w14:paraId="6B17C8E6" w14:textId="77777777" w:rsidR="002039E1" w:rsidRPr="002039E1" w:rsidRDefault="002039E1" w:rsidP="002039E1">
            <w:pPr>
              <w:suppressAutoHyphens w:val="0"/>
              <w:jc w:val="center"/>
              <w:rPr>
                <w:rFonts w:cs="Times New Roman"/>
                <w:sz w:val="18"/>
                <w:lang w:eastAsia="en-GB"/>
              </w:rPr>
            </w:pPr>
          </w:p>
          <w:p w14:paraId="0A831160"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64 [10 - 186]</w:t>
            </w:r>
          </w:p>
        </w:tc>
        <w:tc>
          <w:tcPr>
            <w:tcW w:w="1858" w:type="dxa"/>
            <w:gridSpan w:val="2"/>
            <w:shd w:val="clear" w:color="auto" w:fill="auto"/>
            <w:tcMar>
              <w:left w:w="57" w:type="dxa"/>
              <w:right w:w="57" w:type="dxa"/>
            </w:tcMar>
          </w:tcPr>
          <w:p w14:paraId="613E400D"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21.5</w:t>
            </w:r>
          </w:p>
          <w:p w14:paraId="2C2C2B0F"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(+33.6%)</w:t>
            </w:r>
          </w:p>
          <w:p w14:paraId="357CAD5A" w14:textId="77777777" w:rsidR="002039E1" w:rsidRPr="002039E1" w:rsidRDefault="002039E1" w:rsidP="002039E1">
            <w:pPr>
              <w:suppressAutoHyphens w:val="0"/>
              <w:jc w:val="center"/>
              <w:rPr>
                <w:rFonts w:cs="Times New Roman"/>
                <w:sz w:val="18"/>
                <w:lang w:eastAsia="en-GB"/>
              </w:rPr>
            </w:pPr>
          </w:p>
          <w:p w14:paraId="0B131371"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162.3 (+253.6%)</w:t>
            </w:r>
          </w:p>
        </w:tc>
      </w:tr>
      <w:tr w:rsidR="002039E1" w:rsidRPr="002039E1" w14:paraId="6B37AC15" w14:textId="77777777" w:rsidTr="002039E1">
        <w:tc>
          <w:tcPr>
            <w:tcW w:w="1475" w:type="dxa"/>
            <w:shd w:val="clear" w:color="auto" w:fill="auto"/>
            <w:tcMar>
              <w:left w:w="57" w:type="dxa"/>
              <w:right w:w="57" w:type="dxa"/>
            </w:tcMar>
            <w:vAlign w:val="center"/>
          </w:tcPr>
          <w:p w14:paraId="4D0EE771"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Iwarsson (B)</w:t>
            </w:r>
          </w:p>
          <w:p w14:paraId="4FD1B563"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1974</w:t>
            </w:r>
          </w:p>
        </w:tc>
        <w:tc>
          <w:tcPr>
            <w:tcW w:w="850" w:type="dxa"/>
            <w:shd w:val="clear" w:color="auto" w:fill="auto"/>
            <w:tcMar>
              <w:left w:w="57" w:type="dxa"/>
              <w:right w:w="57" w:type="dxa"/>
            </w:tcMar>
            <w:vAlign w:val="center"/>
          </w:tcPr>
          <w:p w14:paraId="3B2880EA"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0.50</w:t>
            </w:r>
          </w:p>
        </w:tc>
        <w:tc>
          <w:tcPr>
            <w:tcW w:w="1560" w:type="dxa"/>
            <w:shd w:val="clear" w:color="auto" w:fill="auto"/>
            <w:tcMar>
              <w:left w:w="57" w:type="dxa"/>
              <w:right w:w="57" w:type="dxa"/>
            </w:tcMar>
            <w:vAlign w:val="center"/>
          </w:tcPr>
          <w:p w14:paraId="1BE664B5"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2x post-milking</w:t>
            </w:r>
          </w:p>
        </w:tc>
        <w:tc>
          <w:tcPr>
            <w:tcW w:w="1701" w:type="dxa"/>
            <w:shd w:val="clear" w:color="auto" w:fill="auto"/>
            <w:tcMar>
              <w:left w:w="57" w:type="dxa"/>
              <w:right w:w="57" w:type="dxa"/>
            </w:tcMar>
            <w:vAlign w:val="center"/>
          </w:tcPr>
          <w:p w14:paraId="70B2231B"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244</w:t>
            </w:r>
          </w:p>
          <w:p w14:paraId="7CF9BB37"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[74 - 392]</w:t>
            </w:r>
          </w:p>
        </w:tc>
        <w:tc>
          <w:tcPr>
            <w:tcW w:w="1842" w:type="dxa"/>
            <w:shd w:val="clear" w:color="auto" w:fill="auto"/>
            <w:tcMar>
              <w:left w:w="57" w:type="dxa"/>
              <w:right w:w="57" w:type="dxa"/>
            </w:tcMar>
            <w:vAlign w:val="center"/>
          </w:tcPr>
          <w:p w14:paraId="1390294A"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70</w:t>
            </w:r>
          </w:p>
          <w:p w14:paraId="1C8CBC8C"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[16 - 171]</w:t>
            </w:r>
          </w:p>
        </w:tc>
        <w:tc>
          <w:tcPr>
            <w:tcW w:w="1858" w:type="dxa"/>
            <w:gridSpan w:val="2"/>
            <w:shd w:val="clear" w:color="auto" w:fill="auto"/>
            <w:tcMar>
              <w:left w:w="57" w:type="dxa"/>
              <w:right w:w="57" w:type="dxa"/>
            </w:tcMar>
            <w:vAlign w:val="center"/>
          </w:tcPr>
          <w:p w14:paraId="5E2A1755"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174</w:t>
            </w:r>
          </w:p>
          <w:p w14:paraId="0FCDF4DE"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(+248.6 %)</w:t>
            </w:r>
          </w:p>
        </w:tc>
      </w:tr>
      <w:tr w:rsidR="002039E1" w:rsidRPr="002039E1" w14:paraId="1A5C4E31" w14:textId="77777777" w:rsidTr="002039E1">
        <w:tc>
          <w:tcPr>
            <w:tcW w:w="1475" w:type="dxa"/>
            <w:shd w:val="clear" w:color="auto" w:fill="auto"/>
            <w:tcMar>
              <w:left w:w="57" w:type="dxa"/>
              <w:right w:w="57" w:type="dxa"/>
            </w:tcMar>
            <w:vAlign w:val="center"/>
          </w:tcPr>
          <w:p w14:paraId="51D18DC0"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Iwarsson (C)</w:t>
            </w:r>
          </w:p>
          <w:p w14:paraId="6F37DCC8"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1974</w:t>
            </w:r>
          </w:p>
        </w:tc>
        <w:tc>
          <w:tcPr>
            <w:tcW w:w="850" w:type="dxa"/>
            <w:shd w:val="clear" w:color="auto" w:fill="auto"/>
            <w:tcMar>
              <w:left w:w="57" w:type="dxa"/>
              <w:right w:w="57" w:type="dxa"/>
            </w:tcMar>
            <w:vAlign w:val="center"/>
          </w:tcPr>
          <w:p w14:paraId="4D1DE349"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0.25</w:t>
            </w:r>
          </w:p>
          <w:p w14:paraId="0EA54076"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0.50</w:t>
            </w:r>
          </w:p>
        </w:tc>
        <w:tc>
          <w:tcPr>
            <w:tcW w:w="1560" w:type="dxa"/>
            <w:shd w:val="clear" w:color="auto" w:fill="auto"/>
            <w:tcMar>
              <w:left w:w="57" w:type="dxa"/>
              <w:right w:w="57" w:type="dxa"/>
            </w:tcMar>
            <w:vAlign w:val="center"/>
          </w:tcPr>
          <w:p w14:paraId="74A6B9A5"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2x post-milking</w:t>
            </w:r>
          </w:p>
        </w:tc>
        <w:tc>
          <w:tcPr>
            <w:tcW w:w="1701" w:type="dxa"/>
            <w:shd w:val="clear" w:color="auto" w:fill="auto"/>
            <w:tcMar>
              <w:left w:w="57" w:type="dxa"/>
              <w:right w:w="57" w:type="dxa"/>
            </w:tcMar>
            <w:vAlign w:val="center"/>
          </w:tcPr>
          <w:p w14:paraId="3B2CD36C"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187, 176</w:t>
            </w:r>
          </w:p>
          <w:p w14:paraId="41B7A00A"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301, 334</w:t>
            </w:r>
          </w:p>
        </w:tc>
        <w:tc>
          <w:tcPr>
            <w:tcW w:w="3700" w:type="dxa"/>
            <w:gridSpan w:val="3"/>
            <w:shd w:val="clear" w:color="auto" w:fill="auto"/>
            <w:tcMar>
              <w:left w:w="57" w:type="dxa"/>
              <w:right w:w="57" w:type="dxa"/>
            </w:tcMar>
            <w:vAlign w:val="center"/>
          </w:tcPr>
          <w:p w14:paraId="3C837640"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N/A - a decrease of approx. 50 % in total iodine residues was observed when halving product iodine content</w:t>
            </w:r>
          </w:p>
        </w:tc>
      </w:tr>
      <w:tr w:rsidR="002039E1" w:rsidRPr="002039E1" w14:paraId="00264149" w14:textId="77777777" w:rsidTr="002039E1">
        <w:tc>
          <w:tcPr>
            <w:tcW w:w="1475" w:type="dxa"/>
            <w:shd w:val="clear" w:color="auto" w:fill="auto"/>
            <w:tcMar>
              <w:left w:w="57" w:type="dxa"/>
              <w:right w:w="57" w:type="dxa"/>
            </w:tcMar>
            <w:vAlign w:val="center"/>
          </w:tcPr>
          <w:p w14:paraId="62307894" w14:textId="77777777" w:rsidR="002039E1" w:rsidRPr="002039E1" w:rsidRDefault="002039E1" w:rsidP="002039E1">
            <w:pPr>
              <w:suppressAutoHyphens w:val="0"/>
              <w:rPr>
                <w:rFonts w:cs="Times New Roman"/>
                <w:i/>
                <w:sz w:val="18"/>
                <w:lang w:eastAsia="en-GB"/>
              </w:rPr>
            </w:pPr>
            <w:r w:rsidRPr="002039E1">
              <w:rPr>
                <w:rFonts w:cs="Times New Roman"/>
                <w:i/>
                <w:sz w:val="18"/>
                <w:lang w:eastAsia="en-GB"/>
              </w:rPr>
              <w:t>O’Brien 2013*</w:t>
            </w:r>
          </w:p>
        </w:tc>
        <w:tc>
          <w:tcPr>
            <w:tcW w:w="850" w:type="dxa"/>
            <w:shd w:val="clear" w:color="auto" w:fill="auto"/>
            <w:tcMar>
              <w:left w:w="57" w:type="dxa"/>
              <w:right w:w="57" w:type="dxa"/>
            </w:tcMar>
            <w:vAlign w:val="center"/>
          </w:tcPr>
          <w:p w14:paraId="788EAA3E"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0.5</w:t>
            </w:r>
          </w:p>
        </w:tc>
        <w:tc>
          <w:tcPr>
            <w:tcW w:w="1560" w:type="dxa"/>
            <w:shd w:val="clear" w:color="auto" w:fill="auto"/>
            <w:tcMar>
              <w:left w:w="57" w:type="dxa"/>
              <w:right w:w="57" w:type="dxa"/>
            </w:tcMar>
            <w:vAlign w:val="center"/>
          </w:tcPr>
          <w:p w14:paraId="1425FC9F"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2x post milking</w:t>
            </w:r>
          </w:p>
          <w:p w14:paraId="1059090D"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2x pre- and post-milking</w:t>
            </w:r>
          </w:p>
        </w:tc>
        <w:tc>
          <w:tcPr>
            <w:tcW w:w="1701" w:type="dxa"/>
            <w:shd w:val="clear" w:color="auto" w:fill="auto"/>
            <w:tcMar>
              <w:left w:w="57" w:type="dxa"/>
              <w:right w:w="57" w:type="dxa"/>
            </w:tcMar>
            <w:vAlign w:val="center"/>
          </w:tcPr>
          <w:p w14:paraId="42BCEE6C"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475</w:t>
            </w:r>
          </w:p>
          <w:p w14:paraId="65136FA3" w14:textId="77777777" w:rsidR="002039E1" w:rsidRPr="002039E1" w:rsidRDefault="002039E1" w:rsidP="002039E1">
            <w:pPr>
              <w:suppressAutoHyphens w:val="0"/>
              <w:jc w:val="center"/>
              <w:rPr>
                <w:rFonts w:cs="Times New Roman"/>
                <w:sz w:val="18"/>
                <w:lang w:eastAsia="en-GB"/>
              </w:rPr>
            </w:pPr>
          </w:p>
          <w:p w14:paraId="35AEA837"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690</w:t>
            </w:r>
          </w:p>
        </w:tc>
        <w:tc>
          <w:tcPr>
            <w:tcW w:w="1850" w:type="dxa"/>
            <w:gridSpan w:val="2"/>
            <w:shd w:val="clear" w:color="auto" w:fill="auto"/>
            <w:tcMar>
              <w:left w:w="57" w:type="dxa"/>
              <w:right w:w="57" w:type="dxa"/>
            </w:tcMar>
            <w:vAlign w:val="center"/>
          </w:tcPr>
          <w:p w14:paraId="08782452"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224</w:t>
            </w:r>
          </w:p>
        </w:tc>
        <w:tc>
          <w:tcPr>
            <w:tcW w:w="1850" w:type="dxa"/>
            <w:shd w:val="clear" w:color="auto" w:fill="auto"/>
            <w:vAlign w:val="center"/>
          </w:tcPr>
          <w:p w14:paraId="04160535"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251 (+112.1%)</w:t>
            </w:r>
          </w:p>
          <w:p w14:paraId="5BD26432" w14:textId="77777777" w:rsidR="002039E1" w:rsidRPr="002039E1" w:rsidRDefault="002039E1" w:rsidP="002039E1">
            <w:pPr>
              <w:suppressAutoHyphens w:val="0"/>
              <w:jc w:val="center"/>
              <w:rPr>
                <w:rFonts w:cs="Times New Roman"/>
                <w:sz w:val="18"/>
                <w:lang w:eastAsia="en-GB"/>
              </w:rPr>
            </w:pPr>
          </w:p>
          <w:p w14:paraId="315AB6DE" w14:textId="77777777" w:rsidR="002039E1" w:rsidRPr="002039E1" w:rsidRDefault="002039E1" w:rsidP="002039E1">
            <w:pPr>
              <w:suppressAutoHyphens w:val="0"/>
              <w:jc w:val="center"/>
              <w:rPr>
                <w:rFonts w:cs="Times New Roman"/>
                <w:sz w:val="18"/>
                <w:lang w:eastAsia="en-GB"/>
              </w:rPr>
            </w:pPr>
            <w:r w:rsidRPr="002039E1">
              <w:rPr>
                <w:rFonts w:cs="Times New Roman"/>
                <w:sz w:val="18"/>
                <w:lang w:eastAsia="en-GB"/>
              </w:rPr>
              <w:t>467 (+208.5%)</w:t>
            </w:r>
          </w:p>
        </w:tc>
      </w:tr>
    </w:tbl>
    <w:p w14:paraId="56A350CE" w14:textId="77777777" w:rsidR="002039E1" w:rsidRPr="002039E1" w:rsidRDefault="002039E1" w:rsidP="002039E1">
      <w:pPr>
        <w:suppressAutoHyphens w:val="0"/>
        <w:jc w:val="both"/>
        <w:rPr>
          <w:rFonts w:asciiTheme="minorHAnsi" w:eastAsiaTheme="minorHAnsi" w:hAnsiTheme="minorHAnsi" w:cstheme="minorBidi"/>
          <w:i/>
          <w:highlight w:val="yellow"/>
          <w:lang w:eastAsia="en-US"/>
        </w:rPr>
      </w:pPr>
      <w:r w:rsidRPr="002039E1">
        <w:rPr>
          <w:rFonts w:asciiTheme="minorHAnsi" w:eastAsiaTheme="minorHAnsi" w:hAnsiTheme="minorHAnsi" w:cstheme="minorBidi"/>
          <w:i/>
          <w:lang w:eastAsia="en-US"/>
        </w:rPr>
        <w:t>*</w:t>
      </w:r>
      <w:r w:rsidRPr="002039E1">
        <w:rPr>
          <w:rFonts w:asciiTheme="minorHAnsi" w:eastAsiaTheme="minorHAnsi" w:hAnsiTheme="minorHAnsi" w:cstheme="minorBidi"/>
          <w:sz w:val="22"/>
          <w:szCs w:val="22"/>
          <w:lang w:eastAsia="en-US"/>
        </w:rPr>
        <w:t xml:space="preserve"> </w:t>
      </w:r>
      <w:r w:rsidRPr="002039E1">
        <w:rPr>
          <w:rFonts w:asciiTheme="minorHAnsi" w:eastAsiaTheme="minorHAnsi" w:hAnsiTheme="minorHAnsi" w:cstheme="minorBidi"/>
          <w:i/>
          <w:lang w:eastAsia="en-US"/>
        </w:rPr>
        <w:t>These data were reported in µg/kg and have been converted to µg/L based on the density of whole milk being 1030 g/L</w:t>
      </w:r>
    </w:p>
    <w:p w14:paraId="525FCD05" w14:textId="77777777" w:rsidR="002039E1" w:rsidRPr="002039E1" w:rsidRDefault="002039E1" w:rsidP="002039E1">
      <w:pPr>
        <w:suppressAutoHyphens w:val="0"/>
        <w:jc w:val="both"/>
        <w:rPr>
          <w:rFonts w:asciiTheme="minorHAnsi" w:eastAsiaTheme="minorHAnsi" w:hAnsiTheme="minorHAnsi" w:cstheme="minorBidi"/>
          <w:i/>
          <w:lang w:eastAsia="en-US"/>
        </w:rPr>
      </w:pPr>
    </w:p>
    <w:p w14:paraId="40492D68" w14:textId="77777777" w:rsidR="002039E1" w:rsidRPr="002039E1" w:rsidRDefault="002039E1" w:rsidP="002039E1">
      <w:pPr>
        <w:suppressAutoHyphens w:val="0"/>
        <w:jc w:val="both"/>
        <w:rPr>
          <w:rFonts w:eastAsiaTheme="minorHAnsi" w:cstheme="minorBidi"/>
          <w:lang w:val="en-US" w:eastAsia="de-DE"/>
        </w:rPr>
      </w:pPr>
    </w:p>
    <w:p w14:paraId="525FBA88" w14:textId="12CEA52B" w:rsidR="002039E1" w:rsidRPr="002039E1" w:rsidRDefault="002039E1" w:rsidP="002039E1">
      <w:pPr>
        <w:suppressAutoHyphens w:val="0"/>
        <w:jc w:val="both"/>
        <w:rPr>
          <w:rFonts w:eastAsiaTheme="minorHAnsi" w:cstheme="minorBidi"/>
          <w:iCs/>
          <w:lang w:eastAsia="en-US"/>
        </w:rPr>
      </w:pPr>
      <w:r w:rsidRPr="002039E1">
        <w:rPr>
          <w:rFonts w:eastAsiaTheme="minorHAnsi" w:cstheme="minorBidi"/>
          <w:iCs/>
          <w:lang w:val="en-US" w:eastAsia="en-US"/>
        </w:rPr>
        <w:t>The data from O’Brien 2013</w:t>
      </w:r>
      <w:r w:rsidR="00822DF8">
        <w:rPr>
          <w:rFonts w:eastAsiaTheme="minorHAnsi" w:cstheme="minorBidi"/>
          <w:iCs/>
          <w:lang w:val="en-US" w:eastAsia="en-US"/>
        </w:rPr>
        <w:t xml:space="preserve"> </w:t>
      </w:r>
      <w:r w:rsidRPr="002039E1">
        <w:rPr>
          <w:rFonts w:eastAsiaTheme="minorHAnsi" w:cstheme="minorBidi"/>
          <w:iCs/>
          <w:lang w:val="en-US" w:eastAsia="en-US"/>
        </w:rPr>
        <w:t>in the table above have been used to support an approximately linear extrapolation of the iodine content in milk based on the concentration of iodine in a teat disinfectant solution.</w:t>
      </w:r>
      <w:r w:rsidRPr="002039E1">
        <w:rPr>
          <w:rFonts w:eastAsiaTheme="minorHAnsi" w:cstheme="minorBidi"/>
          <w:iCs/>
          <w:lang w:eastAsia="en-US"/>
        </w:rPr>
        <w:t xml:space="preserve"> The study with the highest additional iodine residues in milk has been selected representing this way a worst case scenario.</w:t>
      </w:r>
    </w:p>
    <w:p w14:paraId="3D83E5BF" w14:textId="77777777" w:rsidR="002039E1" w:rsidRPr="002039E1" w:rsidRDefault="002039E1" w:rsidP="002039E1">
      <w:pPr>
        <w:suppressAutoHyphens w:val="0"/>
        <w:jc w:val="both"/>
        <w:rPr>
          <w:rFonts w:eastAsiaTheme="minorHAnsi" w:cstheme="minorBidi"/>
          <w:iCs/>
          <w:lang w:val="en-US" w:eastAsia="en-US"/>
        </w:rPr>
      </w:pPr>
    </w:p>
    <w:p w14:paraId="0811B146" w14:textId="77777777" w:rsidR="002039E1" w:rsidRPr="002039E1" w:rsidRDefault="002039E1" w:rsidP="002039E1">
      <w:pPr>
        <w:suppressAutoHyphens w:val="0"/>
        <w:jc w:val="both"/>
        <w:rPr>
          <w:rFonts w:eastAsiaTheme="minorHAnsi" w:cstheme="minorBidi"/>
          <w:lang w:val="en-US" w:eastAsia="de-DE"/>
        </w:rPr>
      </w:pPr>
    </w:p>
    <w:p w14:paraId="29CA7896" w14:textId="1EF8703E" w:rsidR="002039E1" w:rsidRPr="002039E1" w:rsidRDefault="002039E1" w:rsidP="00784FC9">
      <w:pPr>
        <w:suppressAutoHyphens w:val="0"/>
        <w:jc w:val="both"/>
        <w:rPr>
          <w:rFonts w:eastAsiaTheme="minorHAnsi" w:cstheme="minorBidi"/>
          <w:iCs/>
          <w:lang w:val="en-US" w:eastAsia="en-US"/>
        </w:rPr>
      </w:pPr>
      <w:r w:rsidRPr="002039E1">
        <w:rPr>
          <w:rFonts w:eastAsiaTheme="minorHAnsi" w:cstheme="minorBidi"/>
          <w:iCs/>
          <w:lang w:val="en-US" w:eastAsia="en-US"/>
        </w:rPr>
        <w:t>ALGOFILM contains a maximum in-use concentration of iodine of 0.222% (a max of 0</w:t>
      </w:r>
      <w:r w:rsidR="00822DF8">
        <w:rPr>
          <w:rFonts w:eastAsiaTheme="minorHAnsi" w:cstheme="minorBidi"/>
          <w:iCs/>
          <w:lang w:val="en-US" w:eastAsia="en-US"/>
        </w:rPr>
        <w:t>.</w:t>
      </w:r>
      <w:r w:rsidRPr="002039E1">
        <w:rPr>
          <w:rFonts w:eastAsiaTheme="minorHAnsi" w:cstheme="minorBidi"/>
          <w:iCs/>
          <w:lang w:val="en-US" w:eastAsia="en-US"/>
        </w:rPr>
        <w:t>108% iodine with a min of 0</w:t>
      </w:r>
      <w:r w:rsidR="00822DF8">
        <w:rPr>
          <w:rFonts w:eastAsiaTheme="minorHAnsi" w:cstheme="minorBidi"/>
          <w:iCs/>
          <w:lang w:val="en-US" w:eastAsia="en-US"/>
        </w:rPr>
        <w:t>.</w:t>
      </w:r>
      <w:r w:rsidRPr="002039E1">
        <w:rPr>
          <w:rFonts w:eastAsiaTheme="minorHAnsi" w:cstheme="minorBidi"/>
          <w:iCs/>
          <w:lang w:val="en-US" w:eastAsia="en-US"/>
        </w:rPr>
        <w:t xml:space="preserve">045% </w:t>
      </w:r>
      <w:r w:rsidR="00823A3D" w:rsidRPr="002039E1">
        <w:rPr>
          <w:rFonts w:eastAsiaTheme="minorHAnsi" w:cstheme="minorBidi"/>
          <w:iCs/>
          <w:lang w:val="en-US" w:eastAsia="en-US"/>
        </w:rPr>
        <w:t>iod</w:t>
      </w:r>
      <w:r w:rsidR="00823A3D">
        <w:rPr>
          <w:rFonts w:eastAsiaTheme="minorHAnsi" w:cstheme="minorBidi"/>
          <w:iCs/>
          <w:lang w:val="en-US" w:eastAsia="en-US"/>
        </w:rPr>
        <w:t>ide</w:t>
      </w:r>
      <w:r w:rsidR="00823A3D" w:rsidRPr="002039E1">
        <w:rPr>
          <w:rFonts w:eastAsiaTheme="minorHAnsi" w:cstheme="minorBidi"/>
          <w:iCs/>
          <w:lang w:val="en-US" w:eastAsia="en-US"/>
        </w:rPr>
        <w:t xml:space="preserve"> </w:t>
      </w:r>
      <w:r w:rsidRPr="002039E1">
        <w:rPr>
          <w:rFonts w:eastAsiaTheme="minorHAnsi" w:cstheme="minorBidi"/>
          <w:iCs/>
          <w:lang w:val="en-US" w:eastAsia="en-US"/>
        </w:rPr>
        <w:t>and iodates from PVPi and 0</w:t>
      </w:r>
      <w:r w:rsidR="00822DF8">
        <w:rPr>
          <w:rFonts w:eastAsiaTheme="minorHAnsi" w:cstheme="minorBidi"/>
          <w:iCs/>
          <w:lang w:val="en-US" w:eastAsia="en-US"/>
        </w:rPr>
        <w:t>.</w:t>
      </w:r>
      <w:r w:rsidRPr="002039E1">
        <w:rPr>
          <w:rFonts w:eastAsiaTheme="minorHAnsi" w:cstheme="minorBidi"/>
          <w:iCs/>
          <w:lang w:val="en-US" w:eastAsia="en-US"/>
        </w:rPr>
        <w:t xml:space="preserve">069% of </w:t>
      </w:r>
      <w:r w:rsidR="00823A3D">
        <w:rPr>
          <w:rFonts w:eastAsiaTheme="minorHAnsi" w:cstheme="minorBidi"/>
          <w:iCs/>
          <w:lang w:val="en-US" w:eastAsia="en-US"/>
        </w:rPr>
        <w:t>iodide</w:t>
      </w:r>
      <w:r w:rsidR="00823A3D" w:rsidRPr="002039E1">
        <w:rPr>
          <w:rFonts w:eastAsiaTheme="minorHAnsi" w:cstheme="minorBidi"/>
          <w:iCs/>
          <w:lang w:val="en-US" w:eastAsia="en-US"/>
        </w:rPr>
        <w:t xml:space="preserve"> </w:t>
      </w:r>
      <w:r w:rsidRPr="002039E1">
        <w:rPr>
          <w:rFonts w:eastAsiaTheme="minorHAnsi" w:cstheme="minorBidi"/>
          <w:iCs/>
          <w:lang w:val="en-US" w:eastAsia="en-US"/>
        </w:rPr>
        <w:t xml:space="preserve">from </w:t>
      </w:r>
      <w:r w:rsidR="00D31714">
        <w:rPr>
          <w:rFonts w:eastAsiaTheme="minorHAnsi" w:cstheme="minorBidi"/>
          <w:iCs/>
          <w:lang w:val="en-US" w:eastAsia="en-US"/>
        </w:rPr>
        <w:t>co-formulants</w:t>
      </w:r>
      <w:r w:rsidRPr="002039E1">
        <w:rPr>
          <w:rFonts w:eastAsiaTheme="minorHAnsi" w:cstheme="minorBidi"/>
          <w:iCs/>
          <w:lang w:val="en-US" w:eastAsia="en-US"/>
        </w:rPr>
        <w:t xml:space="preserve">.  Even though it is noted that both iodine forms are equally relevant for dietary exposure (total iodine), </w:t>
      </w:r>
      <w:r w:rsidRPr="002039E1">
        <w:rPr>
          <w:rFonts w:eastAsiaTheme="minorHAnsi" w:cstheme="minorBidi"/>
          <w:iCs/>
          <w:lang w:val="en-US" w:eastAsia="en-US"/>
        </w:rPr>
        <w:lastRenderedPageBreak/>
        <w:t xml:space="preserve">as the bibliographic data are based on available iodine (0.5 % in </w:t>
      </w:r>
      <w:r w:rsidRPr="002039E1">
        <w:rPr>
          <w:rFonts w:eastAsiaTheme="minorHAnsi" w:cstheme="minorBidi"/>
          <w:i/>
          <w:lang w:val="en-US" w:eastAsia="en-US"/>
        </w:rPr>
        <w:t>O’Brien 2013)</w:t>
      </w:r>
      <w:r w:rsidRPr="002039E1">
        <w:rPr>
          <w:rFonts w:eastAsiaTheme="minorHAnsi" w:cstheme="minorBidi"/>
          <w:iCs/>
          <w:lang w:val="en-US" w:eastAsia="en-US"/>
        </w:rPr>
        <w:t xml:space="preserve"> the maximum the available iodine content has been considered in the dietary risk assessment (0.222 %).</w:t>
      </w:r>
      <w:r w:rsidR="00221142">
        <w:rPr>
          <w:rFonts w:eastAsiaTheme="minorHAnsi" w:cstheme="minorBidi"/>
          <w:iCs/>
          <w:lang w:val="en-US" w:eastAsia="en-US"/>
        </w:rPr>
        <w:t xml:space="preserve"> </w:t>
      </w:r>
      <w:r w:rsidR="00221142" w:rsidRPr="00221142">
        <w:rPr>
          <w:rFonts w:eastAsiaTheme="minorHAnsi" w:cstheme="minorBidi"/>
          <w:iCs/>
          <w:lang w:val="en-US" w:eastAsia="en-US"/>
        </w:rPr>
        <w:t xml:space="preserve">For information, the total application </w:t>
      </w:r>
      <w:r w:rsidR="00221142">
        <w:rPr>
          <w:rFonts w:eastAsiaTheme="minorHAnsi" w:cstheme="minorBidi"/>
          <w:iCs/>
          <w:lang w:val="en-US" w:eastAsia="en-US"/>
        </w:rPr>
        <w:t>rate for ALFOFILM is considered</w:t>
      </w:r>
      <w:r w:rsidR="00221142" w:rsidRPr="00221142">
        <w:rPr>
          <w:rFonts w:eastAsiaTheme="minorHAnsi" w:cstheme="minorBidi"/>
          <w:iCs/>
          <w:lang w:val="en-US" w:eastAsia="en-US"/>
        </w:rPr>
        <w:t xml:space="preserve"> 16 mL of product per animal in one day for animals with 4 teats and 8 ml of product per animal in one day for animals with 2 teats.</w:t>
      </w:r>
    </w:p>
    <w:p w14:paraId="5780E822" w14:textId="77777777" w:rsidR="002039E1" w:rsidRPr="002039E1" w:rsidRDefault="002039E1" w:rsidP="002039E1">
      <w:pPr>
        <w:suppressAutoHyphens w:val="0"/>
        <w:jc w:val="both"/>
        <w:rPr>
          <w:rFonts w:eastAsiaTheme="minorHAnsi" w:cstheme="minorBidi"/>
          <w:i/>
          <w:lang w:val="en-US" w:eastAsia="de-DE"/>
        </w:rPr>
      </w:pPr>
    </w:p>
    <w:p w14:paraId="075651CC" w14:textId="77777777" w:rsidR="002039E1" w:rsidRPr="002039E1" w:rsidRDefault="002039E1" w:rsidP="002039E1">
      <w:pPr>
        <w:suppressAutoHyphens w:val="0"/>
        <w:jc w:val="both"/>
        <w:rPr>
          <w:rFonts w:eastAsiaTheme="minorHAnsi" w:cstheme="minorBidi"/>
          <w:b/>
          <w:lang w:val="en-US" w:eastAsia="de-DE"/>
        </w:rPr>
      </w:pPr>
      <w:r w:rsidRPr="002039E1">
        <w:rPr>
          <w:rFonts w:eastAsiaTheme="minorHAnsi" w:cstheme="minorBidi"/>
          <w:b/>
          <w:lang w:val="en-US" w:eastAsia="de-DE"/>
        </w:rPr>
        <w:t>Estimated iodine residues in milk considering background</w:t>
      </w:r>
    </w:p>
    <w:p w14:paraId="158CB2BD" w14:textId="77777777" w:rsidR="002039E1" w:rsidRPr="002039E1" w:rsidRDefault="002039E1" w:rsidP="002039E1">
      <w:pPr>
        <w:suppressAutoHyphens w:val="0"/>
        <w:jc w:val="both"/>
        <w:rPr>
          <w:rFonts w:eastAsiaTheme="minorHAnsi" w:cstheme="minorBidi"/>
          <w:b/>
          <w:lang w:val="en-US" w:eastAsia="de-DE"/>
        </w:rPr>
      </w:pPr>
    </w:p>
    <w:p w14:paraId="51B1B5E8" w14:textId="77777777" w:rsidR="002039E1" w:rsidRPr="002039E1" w:rsidRDefault="002039E1" w:rsidP="002039E1">
      <w:pPr>
        <w:suppressAutoHyphens w:val="0"/>
        <w:jc w:val="both"/>
        <w:rPr>
          <w:rFonts w:eastAsiaTheme="minorHAnsi" w:cstheme="minorBidi"/>
          <w:lang w:val="en-US" w:eastAsia="de-DE"/>
        </w:rPr>
      </w:pPr>
      <w:r w:rsidRPr="002039E1">
        <w:rPr>
          <w:rFonts w:eastAsiaTheme="minorHAnsi" w:cstheme="minorBidi"/>
          <w:lang w:val="en-US" w:eastAsia="de-DE"/>
        </w:rPr>
        <w:t>It is noted that values reported by EFSA in monitoring studies conducted within the EU indicate mean levels of iodine in milk of 100 - 200 µg/L (EFSA 2005 and EFSA 2013; O’Brien, 2013). The most appropriate background level to use in the risk assessment was discussed and agreed in the WebEx meeting (October 2017), where it was concluded that the value of 200 μg/L iodine in milk was considered appropriate as an EU harmonised value.</w:t>
      </w:r>
    </w:p>
    <w:p w14:paraId="299C566E" w14:textId="77777777" w:rsidR="002039E1" w:rsidRPr="002039E1" w:rsidRDefault="002039E1" w:rsidP="002039E1">
      <w:pPr>
        <w:suppressAutoHyphens w:val="0"/>
        <w:jc w:val="both"/>
        <w:rPr>
          <w:rFonts w:eastAsiaTheme="minorHAnsi" w:cstheme="minorBidi"/>
          <w:lang w:val="en-US" w:eastAsia="de-DE"/>
        </w:rPr>
      </w:pPr>
    </w:p>
    <w:p w14:paraId="6DAC88EF" w14:textId="77777777" w:rsidR="002039E1" w:rsidRPr="002039E1" w:rsidRDefault="002039E1" w:rsidP="002039E1">
      <w:pPr>
        <w:suppressAutoHyphens w:val="0"/>
        <w:jc w:val="both"/>
        <w:rPr>
          <w:rFonts w:eastAsiaTheme="minorHAnsi" w:cstheme="minorBidi"/>
          <w:lang w:val="en-US" w:eastAsia="de-DE"/>
        </w:rPr>
      </w:pPr>
      <w:r w:rsidRPr="002039E1">
        <w:rPr>
          <w:rFonts w:eastAsiaTheme="minorHAnsi" w:cstheme="minorBidi"/>
          <w:lang w:val="en-US" w:eastAsia="de-DE"/>
        </w:rPr>
        <w:t xml:space="preserve">Based on the assumed linear relationship between iodine concentration and iodine residues in milk, and the agreed background level in milk of 200 µg/L, the estimated residues of iodine in milk have been derived and presented in Table 2.  </w:t>
      </w:r>
    </w:p>
    <w:p w14:paraId="0F0E23E6" w14:textId="77777777" w:rsidR="002039E1" w:rsidRPr="002039E1" w:rsidRDefault="002039E1" w:rsidP="002039E1">
      <w:pPr>
        <w:suppressAutoHyphens w:val="0"/>
        <w:jc w:val="both"/>
        <w:rPr>
          <w:rFonts w:eastAsiaTheme="minorHAnsi" w:cstheme="minorBidi"/>
          <w:color w:val="FF0000"/>
          <w:lang w:val="en-US" w:eastAsia="de-DE"/>
        </w:rPr>
      </w:pPr>
    </w:p>
    <w:p w14:paraId="5EFCE172" w14:textId="77777777" w:rsidR="002039E1" w:rsidRPr="002039E1" w:rsidRDefault="002039E1" w:rsidP="002039E1">
      <w:pPr>
        <w:suppressAutoHyphens w:val="0"/>
        <w:jc w:val="both"/>
        <w:rPr>
          <w:rFonts w:eastAsiaTheme="minorHAnsi" w:cstheme="minorBidi"/>
          <w:color w:val="FF0000"/>
          <w:lang w:val="en-US" w:eastAsia="de-DE"/>
        </w:rPr>
      </w:pPr>
    </w:p>
    <w:p w14:paraId="2661C08F" w14:textId="77777777" w:rsidR="002039E1" w:rsidRPr="002039E1" w:rsidRDefault="002039E1" w:rsidP="002039E1">
      <w:pPr>
        <w:suppressAutoHyphens w:val="0"/>
        <w:jc w:val="both"/>
        <w:rPr>
          <w:rFonts w:eastAsiaTheme="minorHAnsi" w:cstheme="minorBidi"/>
          <w:b/>
          <w:lang w:val="en-US" w:eastAsia="de-DE"/>
        </w:rPr>
      </w:pPr>
      <w:r w:rsidRPr="002039E1">
        <w:rPr>
          <w:rFonts w:eastAsiaTheme="minorHAnsi" w:cstheme="minorBidi"/>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25"/>
        <w:gridCol w:w="1150"/>
        <w:gridCol w:w="2464"/>
        <w:gridCol w:w="1681"/>
        <w:gridCol w:w="1678"/>
      </w:tblGrid>
      <w:tr w:rsidR="002039E1" w:rsidRPr="00784FC9" w14:paraId="5C0E1473" w14:textId="77777777" w:rsidTr="002039E1">
        <w:tc>
          <w:tcPr>
            <w:tcW w:w="2325" w:type="dxa"/>
            <w:vMerge w:val="restart"/>
            <w:tcMar>
              <w:left w:w="57" w:type="dxa"/>
              <w:right w:w="57" w:type="dxa"/>
            </w:tcMar>
            <w:vAlign w:val="center"/>
          </w:tcPr>
          <w:p w14:paraId="0F25083E" w14:textId="77777777" w:rsidR="002039E1" w:rsidRPr="00784FC9" w:rsidRDefault="002039E1" w:rsidP="002039E1">
            <w:pPr>
              <w:suppressAutoHyphens w:val="0"/>
              <w:rPr>
                <w:rFonts w:cs="Times New Roman"/>
                <w:sz w:val="20"/>
                <w:lang w:eastAsia="en-GB"/>
              </w:rPr>
            </w:pPr>
            <w:r w:rsidRPr="00784FC9">
              <w:rPr>
                <w:rFonts w:cs="Times New Roman"/>
                <w:sz w:val="20"/>
                <w:lang w:eastAsia="en-GB"/>
              </w:rPr>
              <w:t>Product</w:t>
            </w:r>
          </w:p>
        </w:tc>
        <w:tc>
          <w:tcPr>
            <w:tcW w:w="1150" w:type="dxa"/>
            <w:vMerge w:val="restart"/>
            <w:tcMar>
              <w:left w:w="57" w:type="dxa"/>
              <w:right w:w="57" w:type="dxa"/>
            </w:tcMar>
            <w:vAlign w:val="center"/>
          </w:tcPr>
          <w:p w14:paraId="1AB9E148"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Iodine</w:t>
            </w:r>
          </w:p>
          <w:p w14:paraId="680447D1"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w:t>
            </w:r>
          </w:p>
        </w:tc>
        <w:tc>
          <w:tcPr>
            <w:tcW w:w="2464" w:type="dxa"/>
            <w:vMerge w:val="restart"/>
            <w:tcMar>
              <w:left w:w="57" w:type="dxa"/>
              <w:right w:w="57" w:type="dxa"/>
            </w:tcMar>
            <w:vAlign w:val="center"/>
          </w:tcPr>
          <w:p w14:paraId="074413C4"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Applications</w:t>
            </w:r>
          </w:p>
        </w:tc>
        <w:tc>
          <w:tcPr>
            <w:tcW w:w="3359" w:type="dxa"/>
            <w:gridSpan w:val="2"/>
            <w:tcMar>
              <w:left w:w="57" w:type="dxa"/>
              <w:right w:w="57" w:type="dxa"/>
            </w:tcMar>
            <w:vAlign w:val="center"/>
          </w:tcPr>
          <w:p w14:paraId="59B6FCD3"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 xml:space="preserve">Estimated mean residues of iodine in milk (µg/L) </w:t>
            </w:r>
          </w:p>
        </w:tc>
      </w:tr>
      <w:tr w:rsidR="002039E1" w:rsidRPr="00784FC9" w14:paraId="1B844E5E" w14:textId="77777777" w:rsidTr="002039E1">
        <w:tc>
          <w:tcPr>
            <w:tcW w:w="2325" w:type="dxa"/>
            <w:vMerge/>
            <w:shd w:val="clear" w:color="auto" w:fill="auto"/>
            <w:tcMar>
              <w:left w:w="57" w:type="dxa"/>
              <w:right w:w="57" w:type="dxa"/>
            </w:tcMar>
            <w:vAlign w:val="center"/>
          </w:tcPr>
          <w:p w14:paraId="23336BE7" w14:textId="77777777" w:rsidR="002039E1" w:rsidRPr="00784FC9" w:rsidRDefault="002039E1" w:rsidP="002039E1">
            <w:pPr>
              <w:suppressAutoHyphens w:val="0"/>
              <w:rPr>
                <w:rFonts w:cs="Times New Roman"/>
                <w:i/>
                <w:sz w:val="20"/>
                <w:lang w:eastAsia="en-GB"/>
              </w:rPr>
            </w:pPr>
          </w:p>
        </w:tc>
        <w:tc>
          <w:tcPr>
            <w:tcW w:w="1150" w:type="dxa"/>
            <w:vMerge/>
            <w:shd w:val="clear" w:color="auto" w:fill="auto"/>
            <w:tcMar>
              <w:left w:w="57" w:type="dxa"/>
              <w:right w:w="57" w:type="dxa"/>
            </w:tcMar>
            <w:vAlign w:val="center"/>
          </w:tcPr>
          <w:p w14:paraId="06BF3485" w14:textId="77777777" w:rsidR="002039E1" w:rsidRPr="00784FC9" w:rsidRDefault="002039E1" w:rsidP="002039E1">
            <w:pPr>
              <w:suppressAutoHyphens w:val="0"/>
              <w:jc w:val="center"/>
              <w:rPr>
                <w:rFonts w:cs="Times New Roman"/>
                <w:sz w:val="20"/>
                <w:lang w:eastAsia="en-GB"/>
              </w:rPr>
            </w:pPr>
          </w:p>
        </w:tc>
        <w:tc>
          <w:tcPr>
            <w:tcW w:w="2464" w:type="dxa"/>
            <w:vMerge/>
            <w:shd w:val="clear" w:color="auto" w:fill="auto"/>
            <w:tcMar>
              <w:left w:w="57" w:type="dxa"/>
              <w:right w:w="57" w:type="dxa"/>
            </w:tcMar>
            <w:vAlign w:val="center"/>
          </w:tcPr>
          <w:p w14:paraId="704E7D3F" w14:textId="77777777" w:rsidR="002039E1" w:rsidRPr="00784FC9" w:rsidRDefault="002039E1" w:rsidP="002039E1">
            <w:pPr>
              <w:suppressAutoHyphens w:val="0"/>
              <w:jc w:val="center"/>
              <w:rPr>
                <w:rFonts w:cs="Times New Roman"/>
                <w:sz w:val="20"/>
                <w:lang w:eastAsia="en-GB"/>
              </w:rPr>
            </w:pPr>
          </w:p>
        </w:tc>
        <w:tc>
          <w:tcPr>
            <w:tcW w:w="1681" w:type="dxa"/>
            <w:shd w:val="clear" w:color="auto" w:fill="auto"/>
            <w:tcMar>
              <w:left w:w="57" w:type="dxa"/>
              <w:right w:w="57" w:type="dxa"/>
            </w:tcMar>
            <w:vAlign w:val="center"/>
          </w:tcPr>
          <w:p w14:paraId="0E27DD2A"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Proposed teat treatment</w:t>
            </w:r>
          </w:p>
        </w:tc>
        <w:tc>
          <w:tcPr>
            <w:tcW w:w="1678" w:type="dxa"/>
          </w:tcPr>
          <w:p w14:paraId="2A5C50BA"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TOTAL milk</w:t>
            </w:r>
          </w:p>
          <w:p w14:paraId="3291B973"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(+ 200)</w:t>
            </w:r>
          </w:p>
        </w:tc>
      </w:tr>
      <w:tr w:rsidR="002039E1" w:rsidRPr="00784FC9" w14:paraId="0E823967" w14:textId="77777777" w:rsidTr="002039E1">
        <w:tc>
          <w:tcPr>
            <w:tcW w:w="2325" w:type="dxa"/>
            <w:shd w:val="clear" w:color="auto" w:fill="auto"/>
            <w:tcMar>
              <w:left w:w="57" w:type="dxa"/>
              <w:right w:w="57" w:type="dxa"/>
            </w:tcMar>
            <w:vAlign w:val="center"/>
          </w:tcPr>
          <w:p w14:paraId="3DBF1A9B" w14:textId="77777777" w:rsidR="002039E1" w:rsidRPr="00784FC9" w:rsidRDefault="002039E1" w:rsidP="002039E1">
            <w:pPr>
              <w:suppressAutoHyphens w:val="0"/>
              <w:rPr>
                <w:rFonts w:cs="Times New Roman"/>
                <w:i/>
                <w:sz w:val="20"/>
                <w:lang w:eastAsia="en-GB"/>
              </w:rPr>
            </w:pPr>
            <w:r w:rsidRPr="00784FC9">
              <w:rPr>
                <w:rFonts w:cs="Times New Roman"/>
                <w:i/>
                <w:sz w:val="20"/>
                <w:lang w:eastAsia="en-GB"/>
              </w:rPr>
              <w:t>O’Brien 2013</w:t>
            </w:r>
          </w:p>
        </w:tc>
        <w:tc>
          <w:tcPr>
            <w:tcW w:w="1150" w:type="dxa"/>
            <w:shd w:val="clear" w:color="auto" w:fill="auto"/>
            <w:tcMar>
              <w:left w:w="57" w:type="dxa"/>
              <w:right w:w="57" w:type="dxa"/>
            </w:tcMar>
            <w:vAlign w:val="center"/>
          </w:tcPr>
          <w:p w14:paraId="676C7776"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0.500</w:t>
            </w:r>
          </w:p>
        </w:tc>
        <w:tc>
          <w:tcPr>
            <w:tcW w:w="2464" w:type="dxa"/>
            <w:shd w:val="clear" w:color="auto" w:fill="auto"/>
            <w:tcMar>
              <w:left w:w="57" w:type="dxa"/>
              <w:right w:w="57" w:type="dxa"/>
            </w:tcMar>
            <w:vAlign w:val="center"/>
          </w:tcPr>
          <w:p w14:paraId="472FCAD3"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2x post-milking</w:t>
            </w:r>
          </w:p>
        </w:tc>
        <w:tc>
          <w:tcPr>
            <w:tcW w:w="1681" w:type="dxa"/>
            <w:shd w:val="clear" w:color="auto" w:fill="auto"/>
            <w:tcMar>
              <w:left w:w="57" w:type="dxa"/>
              <w:right w:w="57" w:type="dxa"/>
            </w:tcMar>
            <w:vAlign w:val="center"/>
          </w:tcPr>
          <w:p w14:paraId="0F84DC25"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251</w:t>
            </w:r>
          </w:p>
        </w:tc>
        <w:tc>
          <w:tcPr>
            <w:tcW w:w="1678" w:type="dxa"/>
            <w:vAlign w:val="center"/>
          </w:tcPr>
          <w:p w14:paraId="76FE2299" w14:textId="77777777" w:rsidR="002039E1" w:rsidRPr="00784FC9" w:rsidDel="0002199E" w:rsidRDefault="002039E1" w:rsidP="002039E1">
            <w:pPr>
              <w:suppressAutoHyphens w:val="0"/>
              <w:jc w:val="center"/>
              <w:rPr>
                <w:rFonts w:cs="Times New Roman"/>
                <w:sz w:val="20"/>
                <w:lang w:eastAsia="en-GB"/>
              </w:rPr>
            </w:pPr>
            <w:r w:rsidRPr="00784FC9">
              <w:rPr>
                <w:rFonts w:cs="Times New Roman"/>
                <w:sz w:val="20"/>
                <w:lang w:eastAsia="en-GB"/>
              </w:rPr>
              <w:t>451</w:t>
            </w:r>
          </w:p>
        </w:tc>
      </w:tr>
      <w:tr w:rsidR="002039E1" w:rsidRPr="00784FC9" w14:paraId="61228020" w14:textId="77777777" w:rsidTr="002039E1">
        <w:tc>
          <w:tcPr>
            <w:tcW w:w="2325" w:type="dxa"/>
            <w:shd w:val="clear" w:color="auto" w:fill="auto"/>
            <w:tcMar>
              <w:left w:w="57" w:type="dxa"/>
              <w:right w:w="57" w:type="dxa"/>
            </w:tcMar>
            <w:vAlign w:val="center"/>
          </w:tcPr>
          <w:p w14:paraId="34E0D499" w14:textId="77777777" w:rsidR="002039E1" w:rsidRPr="00784FC9" w:rsidRDefault="002039E1" w:rsidP="002039E1">
            <w:pPr>
              <w:suppressAutoHyphens w:val="0"/>
              <w:rPr>
                <w:rFonts w:cs="Times New Roman"/>
                <w:i/>
                <w:sz w:val="20"/>
                <w:lang w:eastAsia="en-GB"/>
              </w:rPr>
            </w:pPr>
            <w:r w:rsidRPr="00784FC9">
              <w:rPr>
                <w:rFonts w:cs="Times New Roman"/>
                <w:i/>
                <w:sz w:val="20"/>
                <w:lang w:eastAsia="en-GB"/>
              </w:rPr>
              <w:t>ALGOFILM</w:t>
            </w:r>
          </w:p>
        </w:tc>
        <w:tc>
          <w:tcPr>
            <w:tcW w:w="1150" w:type="dxa"/>
            <w:shd w:val="clear" w:color="auto" w:fill="auto"/>
            <w:tcMar>
              <w:left w:w="57" w:type="dxa"/>
              <w:right w:w="57" w:type="dxa"/>
            </w:tcMar>
            <w:vAlign w:val="center"/>
          </w:tcPr>
          <w:p w14:paraId="3048C38E"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0.222</w:t>
            </w:r>
          </w:p>
        </w:tc>
        <w:tc>
          <w:tcPr>
            <w:tcW w:w="2464" w:type="dxa"/>
            <w:shd w:val="clear" w:color="auto" w:fill="auto"/>
            <w:tcMar>
              <w:left w:w="57" w:type="dxa"/>
              <w:right w:w="57" w:type="dxa"/>
            </w:tcMar>
            <w:vAlign w:val="center"/>
          </w:tcPr>
          <w:p w14:paraId="7282ED7C" w14:textId="77777777" w:rsidR="002039E1" w:rsidRPr="00784FC9" w:rsidRDefault="002039E1" w:rsidP="002039E1">
            <w:pPr>
              <w:suppressAutoHyphens w:val="0"/>
              <w:jc w:val="center"/>
              <w:rPr>
                <w:rFonts w:cs="Times New Roman"/>
                <w:sz w:val="20"/>
                <w:lang w:eastAsia="en-GB"/>
              </w:rPr>
            </w:pPr>
            <w:r w:rsidRPr="00784FC9">
              <w:rPr>
                <w:rFonts w:cs="Times New Roman"/>
                <w:sz w:val="20"/>
                <w:lang w:eastAsia="en-GB"/>
              </w:rPr>
              <w:t>2x post-milking</w:t>
            </w:r>
          </w:p>
        </w:tc>
        <w:tc>
          <w:tcPr>
            <w:tcW w:w="1681" w:type="dxa"/>
            <w:shd w:val="clear" w:color="auto" w:fill="auto"/>
            <w:tcMar>
              <w:left w:w="57" w:type="dxa"/>
              <w:right w:w="57" w:type="dxa"/>
            </w:tcMar>
            <w:vAlign w:val="center"/>
          </w:tcPr>
          <w:p w14:paraId="23DD9227" w14:textId="3E515594" w:rsidR="002039E1" w:rsidRPr="00784FC9" w:rsidRDefault="00CB4AE9" w:rsidP="002039E1">
            <w:pPr>
              <w:suppressAutoHyphens w:val="0"/>
              <w:jc w:val="center"/>
              <w:rPr>
                <w:rFonts w:cs="Times New Roman"/>
                <w:sz w:val="20"/>
                <w:lang w:eastAsia="en-GB"/>
              </w:rPr>
            </w:pPr>
            <w:r w:rsidRPr="00784FC9">
              <w:rPr>
                <w:rFonts w:cs="Times New Roman"/>
                <w:sz w:val="20"/>
                <w:lang w:eastAsia="en-GB"/>
              </w:rPr>
              <w:t>111.4</w:t>
            </w:r>
          </w:p>
        </w:tc>
        <w:tc>
          <w:tcPr>
            <w:tcW w:w="1678" w:type="dxa"/>
            <w:vAlign w:val="center"/>
          </w:tcPr>
          <w:p w14:paraId="063CAF6C" w14:textId="58D192D0" w:rsidR="002039E1" w:rsidRPr="00784FC9" w:rsidDel="0002199E" w:rsidRDefault="00CB4AE9" w:rsidP="002039E1">
            <w:pPr>
              <w:suppressAutoHyphens w:val="0"/>
              <w:jc w:val="center"/>
              <w:rPr>
                <w:rFonts w:cs="Times New Roman"/>
                <w:sz w:val="20"/>
                <w:lang w:eastAsia="en-GB"/>
              </w:rPr>
            </w:pPr>
            <w:r w:rsidRPr="00784FC9">
              <w:rPr>
                <w:rFonts w:cs="Times New Roman"/>
                <w:sz w:val="20"/>
                <w:lang w:eastAsia="en-GB"/>
              </w:rPr>
              <w:t>311.4</w:t>
            </w:r>
          </w:p>
        </w:tc>
      </w:tr>
    </w:tbl>
    <w:p w14:paraId="039A26D1" w14:textId="77777777" w:rsidR="002039E1" w:rsidRPr="002039E1" w:rsidRDefault="002039E1" w:rsidP="002039E1">
      <w:pPr>
        <w:suppressAutoHyphens w:val="0"/>
        <w:jc w:val="both"/>
        <w:rPr>
          <w:rFonts w:eastAsiaTheme="minorHAnsi" w:cstheme="minorBidi"/>
          <w:lang w:val="en-US" w:eastAsia="de-DE"/>
        </w:rPr>
      </w:pPr>
    </w:p>
    <w:p w14:paraId="4BCFD593" w14:textId="77777777" w:rsidR="002039E1" w:rsidRPr="002039E1" w:rsidRDefault="002039E1" w:rsidP="002039E1">
      <w:pPr>
        <w:suppressAutoHyphens w:val="0"/>
        <w:jc w:val="both"/>
        <w:rPr>
          <w:rFonts w:eastAsiaTheme="minorHAnsi" w:cstheme="minorBidi"/>
          <w:i/>
          <w:u w:val="single"/>
          <w:lang w:val="en-US" w:eastAsia="de-DE"/>
        </w:rPr>
      </w:pPr>
      <w:r w:rsidRPr="002039E1">
        <w:rPr>
          <w:rFonts w:eastAsiaTheme="minorHAnsi" w:cstheme="minorBidi"/>
          <w:i/>
          <w:u w:val="single"/>
          <w:lang w:val="en-US" w:eastAsia="de-DE"/>
        </w:rPr>
        <w:t>Calculation for 2x post-milking:</w:t>
      </w:r>
    </w:p>
    <w:p w14:paraId="7F414456" w14:textId="66DAC0A6" w:rsidR="002039E1" w:rsidRPr="002039E1" w:rsidRDefault="002039E1" w:rsidP="002039E1">
      <w:pPr>
        <w:suppressAutoHyphens w:val="0"/>
        <w:jc w:val="both"/>
        <w:rPr>
          <w:rFonts w:eastAsiaTheme="minorHAnsi" w:cstheme="minorBidi"/>
          <w:i/>
          <w:lang w:val="en-US" w:eastAsia="de-DE"/>
        </w:rPr>
      </w:pPr>
      <w:r w:rsidRPr="002039E1">
        <w:rPr>
          <w:rFonts w:eastAsiaTheme="minorHAnsi" w:cstheme="minorBidi"/>
          <w:i/>
          <w:lang w:val="en-US" w:eastAsia="de-DE"/>
        </w:rPr>
        <w:t xml:space="preserve">For 2 milkings at 0.222 % iodine intended treatment = </w:t>
      </w:r>
      <w:r>
        <w:rPr>
          <w:rFonts w:eastAsiaTheme="minorHAnsi" w:cstheme="minorBidi"/>
          <w:i/>
          <w:lang w:val="en-US" w:eastAsia="de-DE"/>
        </w:rPr>
        <w:t>251</w:t>
      </w:r>
      <w:r w:rsidRPr="002039E1">
        <w:rPr>
          <w:rFonts w:eastAsiaTheme="minorHAnsi" w:cstheme="minorBidi"/>
          <w:i/>
          <w:lang w:val="en-US" w:eastAsia="de-DE"/>
        </w:rPr>
        <w:t xml:space="preserve"> µg/L x (0.222/0.5) = 111.4 µg/L </w:t>
      </w:r>
    </w:p>
    <w:p w14:paraId="05E79294" w14:textId="77777777" w:rsidR="002039E1" w:rsidRPr="002039E1" w:rsidRDefault="002039E1" w:rsidP="002039E1">
      <w:pPr>
        <w:suppressAutoHyphens w:val="0"/>
        <w:jc w:val="both"/>
        <w:rPr>
          <w:rFonts w:eastAsiaTheme="minorHAnsi" w:cstheme="minorBidi"/>
          <w:i/>
          <w:lang w:val="en-US" w:eastAsia="de-DE"/>
        </w:rPr>
      </w:pPr>
      <w:r w:rsidRPr="002039E1">
        <w:rPr>
          <w:rFonts w:eastAsiaTheme="minorHAnsi" w:cstheme="minorBidi"/>
          <w:i/>
          <w:lang w:val="en-US" w:eastAsia="de-DE"/>
        </w:rPr>
        <w:t>For 2 milkings at 0.222 % iodine total = 111.4 µg/L + 200 µg/L = 311.4 µg/L</w:t>
      </w:r>
    </w:p>
    <w:p w14:paraId="1FEEEAA5" w14:textId="77777777" w:rsidR="002039E1" w:rsidRPr="002039E1" w:rsidRDefault="002039E1" w:rsidP="002039E1">
      <w:pPr>
        <w:suppressAutoHyphens w:val="0"/>
        <w:jc w:val="both"/>
        <w:rPr>
          <w:rFonts w:eastAsiaTheme="minorHAnsi" w:cstheme="minorBidi"/>
          <w:lang w:val="en-US" w:eastAsia="de-DE"/>
        </w:rPr>
      </w:pPr>
    </w:p>
    <w:p w14:paraId="2BAC7C3B" w14:textId="77777777" w:rsidR="002039E1" w:rsidRPr="002039E1" w:rsidRDefault="002039E1" w:rsidP="002039E1">
      <w:pPr>
        <w:suppressAutoHyphens w:val="0"/>
        <w:jc w:val="both"/>
        <w:rPr>
          <w:rFonts w:eastAsiaTheme="minorHAnsi" w:cstheme="minorBidi"/>
          <w:b/>
          <w:lang w:val="en-US" w:eastAsia="de-DE"/>
        </w:rPr>
      </w:pPr>
      <w:r w:rsidRPr="002039E1">
        <w:rPr>
          <w:rFonts w:eastAsiaTheme="minorHAnsi" w:cstheme="minorBidi"/>
          <w:b/>
          <w:lang w:val="en-US" w:eastAsia="de-DE"/>
        </w:rPr>
        <w:t>Intake values (milk consumption) for dietary risk assessment</w:t>
      </w:r>
    </w:p>
    <w:p w14:paraId="1326B76E" w14:textId="77777777" w:rsidR="002039E1" w:rsidRPr="002039E1" w:rsidRDefault="002039E1" w:rsidP="002039E1">
      <w:pPr>
        <w:suppressAutoHyphens w:val="0"/>
        <w:jc w:val="both"/>
        <w:rPr>
          <w:rFonts w:eastAsiaTheme="minorHAnsi" w:cstheme="minorBidi"/>
          <w:b/>
          <w:lang w:val="en-US" w:eastAsia="de-DE"/>
        </w:rPr>
      </w:pPr>
    </w:p>
    <w:p w14:paraId="4F57C230" w14:textId="77777777" w:rsidR="002039E1" w:rsidRPr="002039E1" w:rsidRDefault="002039E1" w:rsidP="002039E1">
      <w:pPr>
        <w:suppressAutoHyphens w:val="0"/>
        <w:jc w:val="both"/>
        <w:rPr>
          <w:rFonts w:eastAsiaTheme="minorHAnsi" w:cstheme="minorBidi"/>
          <w:lang w:val="en-US" w:eastAsia="de-DE"/>
        </w:rPr>
      </w:pPr>
      <w:r w:rsidRPr="002039E1">
        <w:rPr>
          <w:rFonts w:eastAsiaTheme="minorHAnsi" w:cstheme="minorBidi"/>
          <w:lang w:val="en-US" w:eastAsia="de-DE"/>
        </w:rPr>
        <w:t>There are several sources of milk consumption data available to undertake the consumer intake assessment. This point was discussed during 2017 WG TOX meetings and it was concluded that the values from EFSA PRIMo rev 2 are relevant.</w:t>
      </w:r>
    </w:p>
    <w:p w14:paraId="74C1935C" w14:textId="77777777" w:rsidR="002039E1" w:rsidRPr="002039E1" w:rsidRDefault="002039E1" w:rsidP="002039E1">
      <w:pPr>
        <w:suppressAutoHyphens w:val="0"/>
        <w:jc w:val="both"/>
        <w:rPr>
          <w:rFonts w:eastAsiaTheme="minorHAnsi" w:cstheme="minorBidi"/>
          <w:lang w:val="en-US" w:eastAsia="de-DE"/>
        </w:rPr>
      </w:pPr>
      <w:r w:rsidRPr="002039E1">
        <w:rPr>
          <w:rFonts w:eastAsiaTheme="minorHAnsi" w:cstheme="minorBidi"/>
          <w:lang w:val="en-US" w:eastAsia="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2039E1">
        <w:rPr>
          <w:rFonts w:eastAsiaTheme="minorHAnsi" w:cstheme="minorBidi"/>
          <w:lang w:val="en-US" w:eastAsia="de-DE"/>
        </w:rPr>
        <w:t xml:space="preserve"> </w:t>
      </w:r>
    </w:p>
    <w:p w14:paraId="413F2E27" w14:textId="77777777" w:rsidR="002039E1" w:rsidRPr="002039E1" w:rsidRDefault="002039E1" w:rsidP="002039E1">
      <w:pPr>
        <w:suppressAutoHyphens w:val="0"/>
        <w:jc w:val="both"/>
        <w:rPr>
          <w:rFonts w:eastAsiaTheme="minorHAnsi" w:cstheme="minorBidi"/>
          <w:lang w:val="en-US" w:eastAsia="de-DE"/>
        </w:rPr>
      </w:pPr>
      <w:r w:rsidRPr="002039E1">
        <w:rPr>
          <w:rFonts w:eastAsiaTheme="minorHAnsi" w:cstheme="minorBidi"/>
          <w:lang w:val="en-US" w:eastAsia="de-DE"/>
        </w:rPr>
        <w:t>As only a chronic risk assessment (see section ‘</w:t>
      </w:r>
      <w:r w:rsidRPr="002039E1">
        <w:rPr>
          <w:rFonts w:eastAsiaTheme="minorHAnsi" w:cstheme="minorBidi"/>
          <w:iCs/>
          <w:lang w:val="en-US" w:eastAsia="en-GB"/>
        </w:rPr>
        <w:t>Toxicological reference values for iodine’</w:t>
      </w:r>
      <w:r w:rsidRPr="002039E1">
        <w:rPr>
          <w:rFonts w:eastAsiaTheme="minorHAnsi" w:cstheme="minorBidi"/>
          <w:lang w:val="en-US" w:eastAsia="de-DE"/>
        </w:rPr>
        <w:t>) is being undertaken,  the intake values from the EFSA PRIMo rev 2 (</w:t>
      </w:r>
      <w:r w:rsidRPr="002039E1">
        <w:rPr>
          <w:rFonts w:eastAsiaTheme="minorHAnsi" w:cstheme="minorBidi"/>
          <w:b/>
          <w:lang w:val="en-US" w:eastAsia="de-DE"/>
        </w:rPr>
        <w:t>0.45 L adult and 0.46 L toddler</w:t>
      </w:r>
      <w:r w:rsidRPr="002039E1">
        <w:rPr>
          <w:rFonts w:eastAsiaTheme="minorHAnsi" w:cstheme="minorBidi"/>
          <w:lang w:val="en-US" w:eastAsia="de-DE"/>
        </w:rPr>
        <w:t>) have been used to estimate the dietary exposure of adults and toddlers to iodine. These values have been agreed at WG TOX IV 2017.  Chronic intake values from the EFSA PRIMo rev 3.1 have not been considered in the framework of this application as they do not greatly differ from the ones agreed at WG TOX IV 2017 (</w:t>
      </w:r>
      <w:r w:rsidRPr="002039E1">
        <w:rPr>
          <w:rFonts w:eastAsiaTheme="minorHAnsi" w:cstheme="minorBidi"/>
          <w:b/>
          <w:lang w:val="en-US" w:eastAsia="de-DE"/>
        </w:rPr>
        <w:t>0.54 L adult and 0.58 L toddler</w:t>
      </w:r>
      <w:r w:rsidRPr="002039E1">
        <w:rPr>
          <w:rFonts w:eastAsiaTheme="minorHAnsi" w:cstheme="minorBidi"/>
          <w:lang w:val="en-US" w:eastAsia="de-DE"/>
        </w:rPr>
        <w:t>). The estimated dietary exposure results are presented in Table 3.</w:t>
      </w:r>
    </w:p>
    <w:p w14:paraId="67A9F3D9" w14:textId="7DECD7A8" w:rsidR="002039E1" w:rsidRPr="002039E1" w:rsidRDefault="002039E1" w:rsidP="002039E1">
      <w:pPr>
        <w:suppressAutoHyphens w:val="0"/>
        <w:jc w:val="both"/>
        <w:rPr>
          <w:rFonts w:eastAsiaTheme="minorHAnsi" w:cstheme="minorBidi"/>
          <w:b/>
          <w:lang w:val="en-US" w:eastAsia="de-DE"/>
        </w:rPr>
      </w:pPr>
    </w:p>
    <w:p w14:paraId="7DFCABD0" w14:textId="77777777" w:rsidR="002039E1" w:rsidRPr="002039E1" w:rsidRDefault="002039E1" w:rsidP="002039E1">
      <w:pPr>
        <w:suppressAutoHyphens w:val="0"/>
        <w:jc w:val="both"/>
        <w:rPr>
          <w:rFonts w:eastAsiaTheme="minorHAnsi" w:cstheme="minorBidi"/>
          <w:b/>
          <w:lang w:val="en-US" w:eastAsia="de-DE"/>
        </w:rPr>
      </w:pPr>
    </w:p>
    <w:p w14:paraId="61583E8D" w14:textId="77777777" w:rsidR="002039E1" w:rsidRPr="002039E1" w:rsidRDefault="002039E1" w:rsidP="002039E1">
      <w:pPr>
        <w:suppressAutoHyphens w:val="0"/>
        <w:jc w:val="both"/>
        <w:rPr>
          <w:rFonts w:eastAsiaTheme="minorHAnsi" w:cstheme="minorBidi"/>
          <w:lang w:val="en-US" w:eastAsia="en-US"/>
        </w:rPr>
      </w:pPr>
      <w:r w:rsidRPr="002039E1">
        <w:rPr>
          <w:rFonts w:eastAsiaTheme="minorHAnsi" w:cstheme="minorBidi"/>
          <w:b/>
          <w:lang w:val="en-US" w:eastAsia="de-DE"/>
        </w:rPr>
        <w:t>Intake values (from diet except milk consumption) for dietary risk assessment</w:t>
      </w:r>
      <w:r w:rsidRPr="002039E1">
        <w:rPr>
          <w:rFonts w:eastAsiaTheme="minorHAnsi" w:cstheme="minorBidi"/>
          <w:lang w:val="en-US" w:eastAsia="en-US"/>
        </w:rPr>
        <w:t xml:space="preserve"> </w:t>
      </w:r>
    </w:p>
    <w:p w14:paraId="116487F5" w14:textId="77777777" w:rsidR="002039E1" w:rsidRPr="002039E1" w:rsidRDefault="002039E1" w:rsidP="002039E1">
      <w:pPr>
        <w:suppressAutoHyphens w:val="0"/>
        <w:jc w:val="both"/>
        <w:rPr>
          <w:rFonts w:eastAsiaTheme="minorHAnsi" w:cstheme="minorBidi"/>
          <w:lang w:val="en-US" w:eastAsia="en-US"/>
        </w:rPr>
      </w:pPr>
    </w:p>
    <w:p w14:paraId="58C08896" w14:textId="77777777" w:rsidR="002039E1" w:rsidRPr="002039E1" w:rsidRDefault="002039E1" w:rsidP="002039E1">
      <w:pPr>
        <w:widowControl w:val="0"/>
        <w:suppressAutoHyphens w:val="0"/>
        <w:rPr>
          <w:rFonts w:cs="Times New Roman"/>
          <w:snapToGrid w:val="0"/>
          <w:lang w:eastAsia="fi-FI"/>
        </w:rPr>
      </w:pPr>
      <w:r w:rsidRPr="002039E1">
        <w:rPr>
          <w:rFonts w:cs="Times New Roman"/>
          <w:snapToGrid w:val="0"/>
          <w:lang w:eastAsia="fi-FI"/>
        </w:rPr>
        <w:t>Iodine dietary intake for sources other than milk was included in the third calculation.</w:t>
      </w:r>
    </w:p>
    <w:p w14:paraId="6D44C060" w14:textId="77777777" w:rsidR="002039E1" w:rsidRPr="002039E1" w:rsidRDefault="002039E1" w:rsidP="002039E1">
      <w:pPr>
        <w:widowControl w:val="0"/>
        <w:suppressAutoHyphens w:val="0"/>
        <w:jc w:val="both"/>
        <w:rPr>
          <w:rFonts w:cs="Times New Roman"/>
          <w:snapToGrid w:val="0"/>
          <w:lang w:eastAsia="fi-FI"/>
        </w:rPr>
      </w:pPr>
      <w:r w:rsidRPr="002039E1">
        <w:rPr>
          <w:rFonts w:cs="Times New Roman"/>
          <w:snapToGrid w:val="0"/>
          <w:lang w:eastAsia="fi-FI"/>
        </w:rPr>
        <w:t xml:space="preserve">The iodine exposure via food was measured in different dietary commodities in framework of EU </w:t>
      </w:r>
      <w:r w:rsidRPr="002039E1">
        <w:rPr>
          <w:rFonts w:cs="Times New Roman"/>
          <w:snapToGrid w:val="0"/>
          <w:lang w:eastAsia="fi-FI"/>
        </w:rPr>
        <w:lastRenderedPageBreak/>
        <w:t>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14:paraId="01951392" w14:textId="77777777" w:rsidR="002039E1" w:rsidRPr="002039E1" w:rsidRDefault="002039E1" w:rsidP="002039E1">
      <w:pPr>
        <w:suppressAutoHyphens w:val="0"/>
        <w:jc w:val="both"/>
        <w:rPr>
          <w:rFonts w:eastAsiaTheme="minorHAnsi" w:cstheme="minorBidi"/>
          <w:lang w:val="en-US" w:eastAsia="en-US"/>
        </w:rPr>
      </w:pPr>
    </w:p>
    <w:p w14:paraId="4F1C82B5" w14:textId="77777777" w:rsidR="002039E1" w:rsidRPr="002039E1" w:rsidRDefault="002039E1" w:rsidP="002039E1">
      <w:pPr>
        <w:suppressAutoHyphens w:val="0"/>
        <w:jc w:val="both"/>
        <w:rPr>
          <w:rFonts w:eastAsiaTheme="minorHAnsi" w:cstheme="minorBidi"/>
          <w:b/>
          <w:lang w:val="en-US" w:eastAsia="de-DE"/>
        </w:rPr>
      </w:pPr>
      <w:r w:rsidRPr="002039E1">
        <w:rPr>
          <w:rFonts w:eastAsiaTheme="minorHAnsi" w:cstheme="minorBidi"/>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039E1" w:rsidRPr="002039E1" w14:paraId="232D4E29" w14:textId="77777777" w:rsidTr="002039E1">
        <w:tc>
          <w:tcPr>
            <w:tcW w:w="3080" w:type="dxa"/>
            <w:shd w:val="clear" w:color="auto" w:fill="auto"/>
          </w:tcPr>
          <w:p w14:paraId="13CF3C37" w14:textId="77777777" w:rsidR="002039E1" w:rsidRPr="002039E1" w:rsidRDefault="002039E1" w:rsidP="002039E1">
            <w:pPr>
              <w:suppressAutoHyphens w:val="0"/>
              <w:jc w:val="both"/>
              <w:rPr>
                <w:rFonts w:eastAsiaTheme="minorHAnsi" w:cstheme="minorBidi"/>
                <w:b/>
                <w:lang w:val="en-US" w:eastAsia="en-US"/>
              </w:rPr>
            </w:pPr>
          </w:p>
        </w:tc>
        <w:tc>
          <w:tcPr>
            <w:tcW w:w="3081" w:type="dxa"/>
            <w:shd w:val="clear" w:color="auto" w:fill="auto"/>
          </w:tcPr>
          <w:p w14:paraId="1045BC7C" w14:textId="77777777" w:rsidR="002039E1" w:rsidRPr="002039E1" w:rsidRDefault="002039E1" w:rsidP="002039E1">
            <w:pPr>
              <w:suppressAutoHyphens w:val="0"/>
              <w:jc w:val="both"/>
              <w:rPr>
                <w:rFonts w:eastAsiaTheme="minorHAnsi" w:cstheme="minorBidi"/>
                <w:b/>
                <w:lang w:val="fr-FR" w:eastAsia="en-US"/>
              </w:rPr>
            </w:pPr>
            <w:r w:rsidRPr="002039E1">
              <w:rPr>
                <w:rFonts w:eastAsiaTheme="minorHAnsi" w:cstheme="minorBidi"/>
                <w:b/>
                <w:lang w:val="fr-FR" w:eastAsia="en-US"/>
              </w:rPr>
              <w:t>Adults (0.45 L/day)</w:t>
            </w:r>
          </w:p>
        </w:tc>
        <w:tc>
          <w:tcPr>
            <w:tcW w:w="3081" w:type="dxa"/>
            <w:shd w:val="clear" w:color="auto" w:fill="auto"/>
          </w:tcPr>
          <w:p w14:paraId="5E5CA4DB" w14:textId="77777777" w:rsidR="002039E1" w:rsidRPr="002039E1" w:rsidRDefault="002039E1" w:rsidP="002039E1">
            <w:pPr>
              <w:suppressAutoHyphens w:val="0"/>
              <w:jc w:val="both"/>
              <w:rPr>
                <w:rFonts w:eastAsiaTheme="minorHAnsi" w:cstheme="minorBidi"/>
                <w:b/>
                <w:lang w:val="en-US" w:eastAsia="en-US"/>
              </w:rPr>
            </w:pPr>
            <w:r w:rsidRPr="002039E1">
              <w:rPr>
                <w:rFonts w:eastAsiaTheme="minorHAnsi" w:cstheme="minorBidi"/>
                <w:b/>
                <w:lang w:val="fr-FR" w:eastAsia="en-US"/>
              </w:rPr>
              <w:t>Toddler (0.46 L/day)</w:t>
            </w:r>
          </w:p>
        </w:tc>
      </w:tr>
      <w:tr w:rsidR="002039E1" w:rsidRPr="002039E1" w14:paraId="564CD6AA" w14:textId="77777777" w:rsidTr="002039E1">
        <w:tc>
          <w:tcPr>
            <w:tcW w:w="3080" w:type="dxa"/>
            <w:shd w:val="clear" w:color="auto" w:fill="auto"/>
          </w:tcPr>
          <w:p w14:paraId="1C1C4440" w14:textId="77777777" w:rsidR="002039E1" w:rsidRPr="002039E1" w:rsidRDefault="002039E1" w:rsidP="002039E1">
            <w:pPr>
              <w:suppressAutoHyphens w:val="0"/>
              <w:jc w:val="both"/>
              <w:rPr>
                <w:rFonts w:eastAsiaTheme="minorHAnsi" w:cstheme="minorBidi"/>
                <w:b/>
                <w:lang w:val="en-US" w:eastAsia="en-US"/>
              </w:rPr>
            </w:pPr>
          </w:p>
        </w:tc>
        <w:tc>
          <w:tcPr>
            <w:tcW w:w="3081" w:type="dxa"/>
            <w:shd w:val="clear" w:color="auto" w:fill="auto"/>
          </w:tcPr>
          <w:p w14:paraId="03731E6D" w14:textId="77777777" w:rsidR="002039E1" w:rsidRPr="002039E1" w:rsidRDefault="002039E1" w:rsidP="002039E1">
            <w:pPr>
              <w:suppressAutoHyphens w:val="0"/>
              <w:jc w:val="both"/>
              <w:rPr>
                <w:rFonts w:eastAsiaTheme="minorHAnsi" w:cstheme="minorBidi"/>
                <w:b/>
                <w:lang w:val="en-US" w:eastAsia="en-US"/>
              </w:rPr>
            </w:pPr>
            <w:r w:rsidRPr="002039E1">
              <w:rPr>
                <w:rFonts w:eastAsiaTheme="minorHAnsi" w:cstheme="minorBidi"/>
                <w:b/>
                <w:lang w:val="en-US" w:eastAsia="en-US"/>
              </w:rPr>
              <w:t xml:space="preserve">Estimated daily intake (µg/day) </w:t>
            </w:r>
          </w:p>
        </w:tc>
        <w:tc>
          <w:tcPr>
            <w:tcW w:w="3081" w:type="dxa"/>
            <w:shd w:val="clear" w:color="auto" w:fill="auto"/>
          </w:tcPr>
          <w:p w14:paraId="7262E089" w14:textId="77777777" w:rsidR="002039E1" w:rsidRPr="002039E1" w:rsidRDefault="002039E1" w:rsidP="002039E1">
            <w:pPr>
              <w:suppressAutoHyphens w:val="0"/>
              <w:jc w:val="both"/>
              <w:rPr>
                <w:rFonts w:eastAsiaTheme="minorHAnsi" w:cstheme="minorBidi"/>
                <w:b/>
                <w:lang w:val="en-US" w:eastAsia="en-US"/>
              </w:rPr>
            </w:pPr>
            <w:r w:rsidRPr="002039E1">
              <w:rPr>
                <w:rFonts w:eastAsiaTheme="minorHAnsi" w:cstheme="minorBidi"/>
                <w:b/>
                <w:lang w:val="en-US" w:eastAsia="en-US"/>
              </w:rPr>
              <w:t xml:space="preserve">Estimated daily intake (µg/day) </w:t>
            </w:r>
          </w:p>
        </w:tc>
      </w:tr>
      <w:tr w:rsidR="002039E1" w:rsidRPr="002039E1" w14:paraId="4DB6F7A2" w14:textId="77777777" w:rsidTr="002039E1">
        <w:tc>
          <w:tcPr>
            <w:tcW w:w="9242" w:type="dxa"/>
            <w:gridSpan w:val="3"/>
            <w:shd w:val="clear" w:color="auto" w:fill="auto"/>
          </w:tcPr>
          <w:p w14:paraId="5CD40B00" w14:textId="77777777" w:rsidR="002039E1" w:rsidRPr="002039E1" w:rsidRDefault="002039E1" w:rsidP="002039E1">
            <w:pPr>
              <w:suppressAutoHyphens w:val="0"/>
              <w:rPr>
                <w:rFonts w:eastAsiaTheme="minorHAnsi" w:cstheme="minorBidi"/>
                <w:b/>
                <w:lang w:val="en-US" w:eastAsia="en-US"/>
              </w:rPr>
            </w:pPr>
            <w:r w:rsidRPr="002039E1">
              <w:rPr>
                <w:rFonts w:eastAsiaTheme="minorHAnsi" w:cstheme="minorBidi"/>
                <w:b/>
                <w:lang w:val="en-US" w:eastAsia="en-US"/>
              </w:rPr>
              <w:t>2x post-milking teat disinfection (0.222% available iodine)</w:t>
            </w:r>
          </w:p>
        </w:tc>
      </w:tr>
      <w:tr w:rsidR="002039E1" w:rsidRPr="002039E1" w14:paraId="76739BE1" w14:textId="77777777" w:rsidTr="002039E1">
        <w:tc>
          <w:tcPr>
            <w:tcW w:w="3080" w:type="dxa"/>
            <w:shd w:val="clear" w:color="auto" w:fill="auto"/>
            <w:vAlign w:val="center"/>
          </w:tcPr>
          <w:p w14:paraId="7F46EC9F" w14:textId="77777777" w:rsidR="002039E1" w:rsidRPr="002039E1" w:rsidRDefault="002039E1" w:rsidP="002039E1">
            <w:pPr>
              <w:suppressAutoHyphens w:val="0"/>
              <w:rPr>
                <w:rFonts w:eastAsiaTheme="minorHAnsi" w:cstheme="minorBidi"/>
                <w:vertAlign w:val="superscript"/>
                <w:lang w:val="en-US" w:eastAsia="en-US"/>
              </w:rPr>
            </w:pPr>
            <w:r w:rsidRPr="002039E1">
              <w:rPr>
                <w:rFonts w:eastAsiaTheme="minorHAnsi" w:cstheme="minorBidi"/>
                <w:lang w:val="en-US" w:eastAsia="en-US"/>
              </w:rPr>
              <w:t>Intake from milk due to teat treatment</w:t>
            </w:r>
            <w:r w:rsidRPr="002039E1">
              <w:rPr>
                <w:rFonts w:eastAsiaTheme="minorHAnsi" w:cstheme="minorBidi"/>
                <w:vertAlign w:val="superscript"/>
                <w:lang w:val="en-US" w:eastAsia="en-US"/>
              </w:rPr>
              <w:t>1</w:t>
            </w:r>
          </w:p>
        </w:tc>
        <w:tc>
          <w:tcPr>
            <w:tcW w:w="3081" w:type="dxa"/>
            <w:shd w:val="clear" w:color="auto" w:fill="auto"/>
          </w:tcPr>
          <w:p w14:paraId="5EF089BE" w14:textId="77777777" w:rsidR="002039E1" w:rsidRPr="002039E1" w:rsidRDefault="002039E1" w:rsidP="002039E1">
            <w:pPr>
              <w:suppressAutoHyphens w:val="0"/>
              <w:jc w:val="center"/>
              <w:rPr>
                <w:rFonts w:eastAsiaTheme="minorHAnsi" w:cstheme="minorBidi"/>
                <w:lang w:val="fr-FR" w:eastAsia="en-US"/>
              </w:rPr>
            </w:pPr>
            <w:r w:rsidRPr="002039E1">
              <w:rPr>
                <w:rFonts w:eastAsiaTheme="minorHAnsi" w:cstheme="minorBidi"/>
                <w:lang w:val="fr-FR" w:eastAsia="en-US"/>
              </w:rPr>
              <w:t>50</w:t>
            </w:r>
          </w:p>
        </w:tc>
        <w:tc>
          <w:tcPr>
            <w:tcW w:w="3081" w:type="dxa"/>
            <w:shd w:val="clear" w:color="auto" w:fill="auto"/>
          </w:tcPr>
          <w:p w14:paraId="4CE13323" w14:textId="77777777" w:rsidR="002039E1" w:rsidRPr="002039E1" w:rsidRDefault="002039E1" w:rsidP="002039E1">
            <w:pPr>
              <w:suppressAutoHyphens w:val="0"/>
              <w:jc w:val="center"/>
              <w:rPr>
                <w:rFonts w:eastAsiaTheme="minorHAnsi" w:cstheme="minorBidi"/>
                <w:lang w:val="fr-FR" w:eastAsia="en-US"/>
              </w:rPr>
            </w:pPr>
            <w:r w:rsidRPr="002039E1">
              <w:rPr>
                <w:rFonts w:eastAsiaTheme="minorHAnsi" w:cstheme="minorBidi"/>
                <w:lang w:val="fr-FR" w:eastAsia="en-US"/>
              </w:rPr>
              <w:t>51</w:t>
            </w:r>
          </w:p>
        </w:tc>
      </w:tr>
      <w:tr w:rsidR="002039E1" w:rsidRPr="002039E1" w14:paraId="0C28E471" w14:textId="77777777" w:rsidTr="002039E1">
        <w:tc>
          <w:tcPr>
            <w:tcW w:w="3080" w:type="dxa"/>
            <w:shd w:val="clear" w:color="auto" w:fill="auto"/>
            <w:vAlign w:val="center"/>
          </w:tcPr>
          <w:p w14:paraId="4C300298" w14:textId="77777777" w:rsidR="002039E1" w:rsidRPr="002039E1" w:rsidRDefault="002039E1" w:rsidP="002039E1">
            <w:pPr>
              <w:suppressAutoHyphens w:val="0"/>
              <w:rPr>
                <w:rFonts w:eastAsiaTheme="minorHAnsi" w:cstheme="minorBidi"/>
                <w:lang w:val="fr-FR" w:eastAsia="en-US"/>
              </w:rPr>
            </w:pPr>
            <w:r w:rsidRPr="002039E1">
              <w:rPr>
                <w:rFonts w:eastAsiaTheme="minorHAnsi" w:cstheme="minorBidi"/>
                <w:lang w:val="fr-FR" w:eastAsia="en-US"/>
              </w:rPr>
              <w:t>Total milk intake</w:t>
            </w:r>
            <w:r w:rsidRPr="002039E1">
              <w:rPr>
                <w:rFonts w:eastAsiaTheme="minorHAnsi" w:cstheme="minorBidi"/>
                <w:vertAlign w:val="superscript"/>
                <w:lang w:val="fr-FR" w:eastAsia="en-US"/>
              </w:rPr>
              <w:t>2</w:t>
            </w:r>
            <w:r w:rsidRPr="002039E1">
              <w:rPr>
                <w:rFonts w:eastAsiaTheme="minorHAnsi" w:cstheme="minorBidi"/>
                <w:lang w:val="fr-FR" w:eastAsia="en-US"/>
              </w:rPr>
              <w:t xml:space="preserve"> </w:t>
            </w:r>
          </w:p>
        </w:tc>
        <w:tc>
          <w:tcPr>
            <w:tcW w:w="3081" w:type="dxa"/>
            <w:shd w:val="clear" w:color="auto" w:fill="auto"/>
          </w:tcPr>
          <w:p w14:paraId="68E064CC" w14:textId="27E46582" w:rsidR="002039E1" w:rsidRPr="002039E1" w:rsidRDefault="00C141FC" w:rsidP="002039E1">
            <w:pPr>
              <w:suppressAutoHyphens w:val="0"/>
              <w:jc w:val="center"/>
              <w:rPr>
                <w:rFonts w:eastAsiaTheme="minorHAnsi" w:cstheme="minorBidi"/>
                <w:lang w:val="fr-FR" w:eastAsia="en-US"/>
              </w:rPr>
            </w:pPr>
            <w:r>
              <w:rPr>
                <w:rFonts w:eastAsiaTheme="minorHAnsi" w:cstheme="minorBidi"/>
                <w:lang w:val="fr-FR" w:eastAsia="en-US"/>
              </w:rPr>
              <w:t>140</w:t>
            </w:r>
          </w:p>
        </w:tc>
        <w:tc>
          <w:tcPr>
            <w:tcW w:w="3081" w:type="dxa"/>
            <w:shd w:val="clear" w:color="auto" w:fill="auto"/>
          </w:tcPr>
          <w:p w14:paraId="0387CF50" w14:textId="4551274A" w:rsidR="002039E1" w:rsidRPr="002039E1" w:rsidRDefault="00C141FC" w:rsidP="002039E1">
            <w:pPr>
              <w:suppressAutoHyphens w:val="0"/>
              <w:jc w:val="center"/>
              <w:rPr>
                <w:rFonts w:eastAsiaTheme="minorHAnsi" w:cstheme="minorBidi"/>
                <w:lang w:val="fr-FR" w:eastAsia="en-US"/>
              </w:rPr>
            </w:pPr>
            <w:r>
              <w:rPr>
                <w:rFonts w:eastAsiaTheme="minorHAnsi" w:cstheme="minorBidi"/>
                <w:lang w:val="fr-FR" w:eastAsia="en-US"/>
              </w:rPr>
              <w:t>143</w:t>
            </w:r>
          </w:p>
        </w:tc>
      </w:tr>
      <w:tr w:rsidR="002039E1" w:rsidRPr="002039E1" w14:paraId="770CB0C9" w14:textId="77777777" w:rsidTr="002039E1">
        <w:tc>
          <w:tcPr>
            <w:tcW w:w="3080" w:type="dxa"/>
            <w:shd w:val="clear" w:color="auto" w:fill="auto"/>
            <w:vAlign w:val="center"/>
          </w:tcPr>
          <w:p w14:paraId="17D07541" w14:textId="77777777" w:rsidR="002039E1" w:rsidRPr="002039E1" w:rsidRDefault="002039E1" w:rsidP="002039E1">
            <w:pPr>
              <w:suppressAutoHyphens w:val="0"/>
              <w:rPr>
                <w:rFonts w:eastAsiaTheme="minorHAnsi" w:cstheme="minorBidi"/>
                <w:lang w:val="fr-FR" w:eastAsia="en-US"/>
              </w:rPr>
            </w:pPr>
            <w:r w:rsidRPr="002039E1">
              <w:rPr>
                <w:rFonts w:eastAsiaTheme="minorHAnsi" w:cstheme="minorBidi"/>
                <w:lang w:val="fr-FR" w:eastAsia="en-US"/>
              </w:rPr>
              <w:t>Total dietary intake</w:t>
            </w:r>
            <w:r w:rsidRPr="002039E1">
              <w:rPr>
                <w:rFonts w:eastAsiaTheme="minorHAnsi" w:cstheme="minorBidi"/>
                <w:vertAlign w:val="superscript"/>
                <w:lang w:val="fr-FR" w:eastAsia="en-US"/>
              </w:rPr>
              <w:t>3</w:t>
            </w:r>
          </w:p>
        </w:tc>
        <w:tc>
          <w:tcPr>
            <w:tcW w:w="3081" w:type="dxa"/>
            <w:shd w:val="clear" w:color="auto" w:fill="auto"/>
          </w:tcPr>
          <w:p w14:paraId="332F0CEA" w14:textId="1E46DD64" w:rsidR="002039E1" w:rsidRPr="002039E1" w:rsidRDefault="00C141FC" w:rsidP="002039E1">
            <w:pPr>
              <w:suppressAutoHyphens w:val="0"/>
              <w:jc w:val="center"/>
              <w:rPr>
                <w:rFonts w:eastAsiaTheme="minorHAnsi" w:cstheme="minorBidi"/>
                <w:lang w:val="en-US" w:eastAsia="en-US"/>
              </w:rPr>
            </w:pPr>
            <w:r>
              <w:rPr>
                <w:rFonts w:eastAsiaTheme="minorHAnsi" w:cstheme="minorBidi"/>
                <w:lang w:val="en-US" w:eastAsia="en-US"/>
              </w:rPr>
              <w:t>325</w:t>
            </w:r>
          </w:p>
        </w:tc>
        <w:tc>
          <w:tcPr>
            <w:tcW w:w="3081" w:type="dxa"/>
            <w:shd w:val="clear" w:color="auto" w:fill="auto"/>
          </w:tcPr>
          <w:p w14:paraId="2F0F3FBB" w14:textId="08750083" w:rsidR="002039E1" w:rsidRPr="002039E1" w:rsidRDefault="00C141FC" w:rsidP="002039E1">
            <w:pPr>
              <w:suppressAutoHyphens w:val="0"/>
              <w:jc w:val="center"/>
              <w:rPr>
                <w:rFonts w:eastAsiaTheme="minorHAnsi" w:cstheme="minorBidi"/>
                <w:lang w:val="en-US" w:eastAsia="en-US"/>
              </w:rPr>
            </w:pPr>
            <w:r>
              <w:rPr>
                <w:rFonts w:eastAsiaTheme="minorHAnsi" w:cstheme="minorBidi"/>
                <w:lang w:val="en-US" w:eastAsia="en-US"/>
              </w:rPr>
              <w:t>239</w:t>
            </w:r>
          </w:p>
        </w:tc>
      </w:tr>
    </w:tbl>
    <w:p w14:paraId="3CE716A4" w14:textId="4E340BA7" w:rsidR="002039E1" w:rsidRPr="002039E1" w:rsidRDefault="002039E1" w:rsidP="002039E1">
      <w:pPr>
        <w:suppressAutoHyphens w:val="0"/>
        <w:rPr>
          <w:rFonts w:eastAsiaTheme="minorHAnsi" w:cstheme="minorBidi"/>
          <w:sz w:val="16"/>
          <w:lang w:eastAsia="en-US"/>
        </w:rPr>
      </w:pPr>
      <w:r w:rsidRPr="002039E1">
        <w:rPr>
          <w:rFonts w:eastAsiaTheme="minorHAnsi" w:cstheme="minorBidi"/>
          <w:sz w:val="18"/>
          <w:vertAlign w:val="superscript"/>
          <w:lang w:val="en-US" w:eastAsia="en-US"/>
        </w:rPr>
        <w:t>1</w:t>
      </w:r>
      <w:r w:rsidRPr="002039E1">
        <w:rPr>
          <w:rFonts w:eastAsiaTheme="minorHAnsi" w:cstheme="minorBidi"/>
          <w:sz w:val="18"/>
          <w:lang w:val="en-US" w:eastAsia="en-US"/>
        </w:rPr>
        <w:t xml:space="preserve"> </w:t>
      </w:r>
      <w:r w:rsidRPr="002039E1">
        <w:rPr>
          <w:rFonts w:eastAsiaTheme="minorHAnsi" w:cstheme="minorBidi"/>
          <w:sz w:val="16"/>
          <w:lang w:val="en-US" w:eastAsia="en-US"/>
        </w:rPr>
        <w:t xml:space="preserve">Iodine intake from milk due to teat treatment is derived from BP specific residue values (based on </w:t>
      </w:r>
      <w:r w:rsidR="00C141FC" w:rsidRPr="00C141FC">
        <w:rPr>
          <w:rFonts w:eastAsiaTheme="minorHAnsi" w:cstheme="minorBidi"/>
          <w:sz w:val="16"/>
          <w:lang w:val="en-US" w:eastAsia="en-US"/>
        </w:rPr>
        <w:t>O’Brien 2013</w:t>
      </w:r>
      <w:r w:rsidRPr="002039E1">
        <w:rPr>
          <w:rFonts w:eastAsiaTheme="minorHAnsi" w:cstheme="minorBidi"/>
          <w:sz w:val="16"/>
          <w:lang w:val="en-US" w:eastAsia="en-US"/>
        </w:rPr>
        <w:t xml:space="preserve">). [Additional iodine residues in milk (µg/L)/ iodine (%), </w:t>
      </w:r>
      <w:r w:rsidRPr="002039E1">
        <w:rPr>
          <w:rFonts w:eastAsiaTheme="minorHAnsi" w:cstheme="minorBidi"/>
          <w:sz w:val="16"/>
          <w:lang w:eastAsia="en-US"/>
        </w:rPr>
        <w:t>O’Brien 2013</w:t>
      </w:r>
      <w:r w:rsidRPr="002039E1">
        <w:rPr>
          <w:rFonts w:eastAsiaTheme="minorHAnsi" w:cstheme="minorBidi"/>
          <w:sz w:val="16"/>
          <w:lang w:val="en-US" w:eastAsia="en-US"/>
        </w:rPr>
        <w:t>] x iodine (%) in ALGOFILM x milk consumption (L)</w:t>
      </w:r>
    </w:p>
    <w:p w14:paraId="085C62BB" w14:textId="77777777" w:rsidR="002039E1" w:rsidRPr="002039E1" w:rsidRDefault="002039E1" w:rsidP="002039E1">
      <w:pPr>
        <w:suppressAutoHyphens w:val="0"/>
        <w:rPr>
          <w:rFonts w:eastAsiaTheme="minorHAnsi" w:cstheme="minorBidi"/>
          <w:sz w:val="16"/>
          <w:lang w:val="en-US" w:eastAsia="en-US"/>
        </w:rPr>
      </w:pPr>
      <w:r w:rsidRPr="002039E1">
        <w:rPr>
          <w:rFonts w:eastAsiaTheme="minorHAnsi" w:cstheme="minorBidi"/>
          <w:sz w:val="16"/>
          <w:vertAlign w:val="superscript"/>
          <w:lang w:val="en-US" w:eastAsia="en-US"/>
        </w:rPr>
        <w:t>2</w:t>
      </w:r>
      <w:r w:rsidRPr="002039E1">
        <w:rPr>
          <w:rFonts w:eastAsiaTheme="minorHAnsi" w:cstheme="minorBidi"/>
          <w:sz w:val="16"/>
          <w:lang w:val="en-US" w:eastAsia="en-US"/>
        </w:rPr>
        <w:t xml:space="preserve"> Total milk intake is the sum of the estimated additional iodine intake resulting from the transfer into milk following teat disinfection and the iodine background in milk of 200 µg/l.</w:t>
      </w:r>
    </w:p>
    <w:p w14:paraId="5B44488B" w14:textId="77777777" w:rsidR="002039E1" w:rsidRPr="002039E1" w:rsidRDefault="002039E1" w:rsidP="002039E1">
      <w:pPr>
        <w:suppressAutoHyphens w:val="0"/>
        <w:jc w:val="both"/>
        <w:rPr>
          <w:rFonts w:eastAsiaTheme="minorHAnsi" w:cstheme="minorBidi"/>
          <w:sz w:val="18"/>
          <w:lang w:val="en-US" w:eastAsia="en-US"/>
        </w:rPr>
      </w:pPr>
      <w:r w:rsidRPr="002039E1">
        <w:rPr>
          <w:rFonts w:eastAsiaTheme="minorHAnsi" w:cstheme="minorBidi"/>
          <w:sz w:val="16"/>
          <w:vertAlign w:val="superscript"/>
          <w:lang w:val="en-US" w:eastAsia="en-US"/>
        </w:rPr>
        <w:t>3</w:t>
      </w:r>
      <w:r w:rsidRPr="002039E1">
        <w:rPr>
          <w:rFonts w:eastAsiaTheme="minorHAnsi" w:cstheme="minorBidi"/>
          <w:sz w:val="16"/>
          <w:lang w:val="en-US" w:eastAsia="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r w:rsidRPr="002039E1">
        <w:rPr>
          <w:rFonts w:eastAsiaTheme="minorHAnsi" w:cstheme="minorBidi"/>
          <w:sz w:val="18"/>
          <w:lang w:val="en-US" w:eastAsia="en-US"/>
        </w:rPr>
        <w:t>.</w:t>
      </w:r>
    </w:p>
    <w:p w14:paraId="659FE791" w14:textId="77777777" w:rsidR="002039E1" w:rsidRPr="002039E1" w:rsidRDefault="002039E1" w:rsidP="002039E1">
      <w:pPr>
        <w:suppressAutoHyphens w:val="0"/>
        <w:jc w:val="both"/>
        <w:rPr>
          <w:rFonts w:eastAsiaTheme="minorHAnsi" w:cstheme="minorBidi"/>
          <w:lang w:val="en-US" w:eastAsia="en-US"/>
        </w:rPr>
      </w:pPr>
    </w:p>
    <w:p w14:paraId="4283952B" w14:textId="77777777" w:rsidR="002039E1" w:rsidRPr="002039E1" w:rsidRDefault="002039E1" w:rsidP="002039E1">
      <w:pPr>
        <w:suppressAutoHyphens w:val="0"/>
        <w:jc w:val="both"/>
        <w:rPr>
          <w:rFonts w:eastAsiaTheme="minorHAnsi" w:cstheme="minorBidi"/>
          <w:lang w:val="en-US" w:eastAsia="en-US"/>
        </w:rPr>
      </w:pPr>
    </w:p>
    <w:p w14:paraId="4CFE7740" w14:textId="77777777" w:rsidR="002039E1" w:rsidRPr="002039E1" w:rsidRDefault="002039E1" w:rsidP="002039E1">
      <w:pPr>
        <w:suppressAutoHyphens w:val="0"/>
        <w:jc w:val="both"/>
        <w:rPr>
          <w:rFonts w:eastAsiaTheme="minorHAnsi" w:cstheme="minorBidi"/>
          <w:lang w:val="en-US" w:eastAsia="en-US"/>
        </w:rPr>
      </w:pPr>
      <w:r w:rsidRPr="002039E1">
        <w:rPr>
          <w:rFonts w:eastAsiaTheme="minorHAnsi" w:cstheme="minorBidi"/>
          <w:b/>
          <w:lang w:val="en-US" w:eastAsia="de-DE"/>
        </w:rPr>
        <w:t>Conclusion for dietary exposure assessment</w:t>
      </w:r>
      <w:r w:rsidRPr="002039E1">
        <w:rPr>
          <w:rFonts w:eastAsiaTheme="minorHAnsi" w:cstheme="minorBidi"/>
          <w:lang w:val="en-US" w:eastAsia="en-US"/>
        </w:rPr>
        <w:t xml:space="preserve"> </w:t>
      </w:r>
    </w:p>
    <w:p w14:paraId="5931A9EA" w14:textId="77777777" w:rsidR="002039E1" w:rsidRPr="002039E1" w:rsidRDefault="002039E1" w:rsidP="002039E1">
      <w:pPr>
        <w:suppressAutoHyphens w:val="0"/>
        <w:jc w:val="both"/>
        <w:rPr>
          <w:rFonts w:eastAsiaTheme="minorHAnsi" w:cstheme="minorBidi"/>
          <w:lang w:val="en-US" w:eastAsia="en-US"/>
        </w:rPr>
      </w:pPr>
      <w:r w:rsidRPr="002039E1">
        <w:rPr>
          <w:rFonts w:eastAsiaTheme="minorHAnsi" w:cstheme="minorBidi"/>
          <w:lang w:val="en-US" w:eastAsia="en-US"/>
        </w:rPr>
        <w:t>The dietary exposure has been discussed in various WG TOX and WebEx meetings for iodine-based union authorisations. This EU iodine PT3 approach considered the following default values / decisions for the determination of the worst-case consumer exposure estimate (WCCE):</w:t>
      </w:r>
    </w:p>
    <w:p w14:paraId="615063C7" w14:textId="77777777" w:rsidR="002039E1" w:rsidRPr="002039E1" w:rsidRDefault="002039E1" w:rsidP="00635273">
      <w:pPr>
        <w:numPr>
          <w:ilvl w:val="0"/>
          <w:numId w:val="20"/>
        </w:numPr>
        <w:suppressAutoHyphens w:val="0"/>
        <w:spacing w:line="276" w:lineRule="auto"/>
        <w:jc w:val="both"/>
        <w:rPr>
          <w:rFonts w:eastAsiaTheme="minorHAnsi" w:cstheme="minorBidi"/>
          <w:lang w:val="en-US" w:eastAsia="en-US"/>
        </w:rPr>
      </w:pPr>
      <w:r w:rsidRPr="002039E1">
        <w:rPr>
          <w:rFonts w:eastAsiaTheme="minorHAnsi" w:cstheme="minorBidi"/>
          <w:lang w:val="en-US" w:eastAsia="en-US"/>
        </w:rPr>
        <w:t>2 manual milkings per day where the product may be used either pre- or post milking</w:t>
      </w:r>
    </w:p>
    <w:p w14:paraId="6410A71A" w14:textId="77777777" w:rsidR="002039E1" w:rsidRPr="002039E1" w:rsidRDefault="002039E1" w:rsidP="00635273">
      <w:pPr>
        <w:numPr>
          <w:ilvl w:val="0"/>
          <w:numId w:val="20"/>
        </w:numPr>
        <w:suppressAutoHyphens w:val="0"/>
        <w:spacing w:line="276" w:lineRule="auto"/>
        <w:jc w:val="both"/>
        <w:rPr>
          <w:rFonts w:eastAsiaTheme="minorHAnsi" w:cstheme="minorBidi"/>
          <w:lang w:val="en-US" w:eastAsia="en-US"/>
        </w:rPr>
      </w:pPr>
      <w:r w:rsidRPr="002039E1">
        <w:rPr>
          <w:rFonts w:eastAsiaTheme="minorHAnsi" w:cstheme="minorBidi"/>
          <w:lang w:val="en-US" w:eastAsia="en-US"/>
        </w:rPr>
        <w:t>total daily milk intake of 0.45 l for adults and 0.46 l for toddlers</w:t>
      </w:r>
    </w:p>
    <w:p w14:paraId="6DE77A2B" w14:textId="77777777" w:rsidR="002039E1" w:rsidRPr="002039E1" w:rsidRDefault="002039E1" w:rsidP="00635273">
      <w:pPr>
        <w:numPr>
          <w:ilvl w:val="0"/>
          <w:numId w:val="20"/>
        </w:numPr>
        <w:suppressAutoHyphens w:val="0"/>
        <w:spacing w:line="276" w:lineRule="auto"/>
        <w:jc w:val="both"/>
        <w:rPr>
          <w:rFonts w:eastAsiaTheme="minorHAnsi" w:cstheme="minorBidi"/>
          <w:lang w:val="en-US" w:eastAsia="en-US"/>
        </w:rPr>
      </w:pPr>
      <w:r w:rsidRPr="002039E1">
        <w:rPr>
          <w:rFonts w:eastAsiaTheme="minorHAnsi" w:cstheme="minorBidi"/>
          <w:lang w:val="en-US" w:eastAsia="en-US"/>
        </w:rPr>
        <w:t>background iodine concentration in milk of 200 µg/l</w:t>
      </w:r>
    </w:p>
    <w:p w14:paraId="6446A8C6" w14:textId="77777777" w:rsidR="002039E1" w:rsidRPr="002039E1" w:rsidRDefault="002039E1" w:rsidP="00635273">
      <w:pPr>
        <w:numPr>
          <w:ilvl w:val="0"/>
          <w:numId w:val="20"/>
        </w:numPr>
        <w:suppressAutoHyphens w:val="0"/>
        <w:spacing w:line="276" w:lineRule="auto"/>
        <w:jc w:val="both"/>
        <w:rPr>
          <w:rFonts w:eastAsiaTheme="minorHAnsi" w:cstheme="minorBidi"/>
          <w:lang w:val="en-US" w:eastAsia="en-US"/>
        </w:rPr>
      </w:pPr>
      <w:r w:rsidRPr="002039E1">
        <w:rPr>
          <w:rFonts w:eastAsiaTheme="minorHAnsi" w:cstheme="minorBidi"/>
          <w:lang w:val="en-US" w:eastAsia="en-US"/>
        </w:rPr>
        <w:t>intake of iodine from dietary sources other than milk : 185 µg/day for adults and 96 µg/day for toddlers</w:t>
      </w:r>
    </w:p>
    <w:p w14:paraId="05C5962A" w14:textId="77777777" w:rsidR="002039E1" w:rsidRPr="002039E1" w:rsidRDefault="002039E1" w:rsidP="002039E1">
      <w:pPr>
        <w:suppressAutoHyphens w:val="0"/>
        <w:spacing w:after="200" w:line="276" w:lineRule="auto"/>
        <w:rPr>
          <w:rFonts w:asciiTheme="minorHAnsi" w:eastAsia="Calibri" w:hAnsiTheme="minorHAnsi" w:cstheme="minorBidi"/>
          <w:sz w:val="22"/>
          <w:szCs w:val="22"/>
          <w:lang w:eastAsia="en-US"/>
        </w:rPr>
      </w:pPr>
    </w:p>
    <w:p w14:paraId="081E81C2" w14:textId="77777777" w:rsidR="002039E1" w:rsidRPr="00F15A9D" w:rsidRDefault="002039E1" w:rsidP="00AB1CDB">
      <w:pPr>
        <w:jc w:val="both"/>
        <w:rPr>
          <w:rFonts w:eastAsia="Calibri"/>
          <w:b/>
          <w:lang w:eastAsia="sv-SE"/>
        </w:rPr>
      </w:pPr>
      <w:r w:rsidRPr="00F15A9D">
        <w:rPr>
          <w:rFonts w:eastAsia="Calibri"/>
          <w:b/>
          <w:lang w:eastAsia="sv-SE"/>
        </w:rPr>
        <w:t xml:space="preserve">L(+) </w:t>
      </w:r>
      <w:r w:rsidRPr="00A17623">
        <w:rPr>
          <w:rFonts w:eastAsia="Calibri"/>
          <w:b/>
          <w:lang w:eastAsia="sv-SE"/>
        </w:rPr>
        <w:t>lactic acid residues</w:t>
      </w:r>
    </w:p>
    <w:p w14:paraId="1564A14F" w14:textId="77777777" w:rsidR="002039E1" w:rsidRPr="00AB1CDB" w:rsidRDefault="002039E1" w:rsidP="00AB1CDB">
      <w:pPr>
        <w:jc w:val="both"/>
        <w:rPr>
          <w:rFonts w:eastAsiaTheme="minorHAnsi" w:cstheme="minorBidi"/>
          <w:lang w:val="en-US" w:eastAsia="en-US"/>
        </w:rPr>
      </w:pPr>
      <w:r w:rsidRPr="00AB1CDB">
        <w:rPr>
          <w:rFonts w:eastAsiaTheme="minorHAnsi" w:cstheme="minorBidi"/>
          <w:lang w:val="en-US" w:eastAsia="en-US"/>
        </w:rPr>
        <w:t>Because of the very low systemic toxicity of L(+) lactic acid, derivation of any systemic toxicological reference dose was regarded unnecessary. Considering the intended uses, exposure is estimated to be clearly below endogenous production (&gt;100 g/person/day) and dietary exposure (&gt;1 g/person/day). Therefore, neither an ADI nor an ARfD have been set. Likewise, L-(+)-lactic acid has been approved in the EU as a food additive without an ADI or upper limit (quantum satis; Dir. 95/2/EC), as a cosmetics ingredient, and as veterinary medicinal product without the requirement for MRL setting (EMEA 2008).</w:t>
      </w:r>
    </w:p>
    <w:p w14:paraId="508CFF28" w14:textId="77777777" w:rsidR="002039E1" w:rsidRPr="00AB1CDB" w:rsidRDefault="002039E1" w:rsidP="00AB1CDB">
      <w:pPr>
        <w:jc w:val="both"/>
        <w:rPr>
          <w:rFonts w:eastAsiaTheme="minorHAnsi" w:cstheme="minorBidi"/>
          <w:lang w:val="en-US" w:eastAsia="en-US"/>
        </w:rPr>
      </w:pPr>
    </w:p>
    <w:p w14:paraId="4C2588DB" w14:textId="77777777" w:rsidR="002039E1" w:rsidRPr="00AB1CDB" w:rsidRDefault="002039E1" w:rsidP="00AB1CDB">
      <w:pPr>
        <w:jc w:val="both"/>
        <w:rPr>
          <w:rFonts w:eastAsiaTheme="minorHAnsi" w:cstheme="minorBidi"/>
          <w:lang w:val="en-US" w:eastAsia="en-US"/>
        </w:rPr>
      </w:pPr>
      <w:r w:rsidRPr="00AB1CDB">
        <w:rPr>
          <w:rFonts w:eastAsiaTheme="minorHAnsi" w:cstheme="minorBidi"/>
          <w:lang w:val="en-US" w:eastAsia="en-US"/>
        </w:rPr>
        <w:t>Furthermore, according to the assessment report of L(+) lactic acid, residues in food and feed from the intended use PT3 in biocidal products are not expected. Therefore, dietary exposure of humans from the use of lactic acid as a biocide of PT3 can be excluded.</w:t>
      </w:r>
    </w:p>
    <w:p w14:paraId="570025E7" w14:textId="77777777" w:rsidR="002039E1" w:rsidRPr="00784FC9" w:rsidRDefault="002039E1" w:rsidP="00784FC9">
      <w:pPr>
        <w:suppressAutoHyphens w:val="0"/>
        <w:jc w:val="both"/>
        <w:rPr>
          <w:rFonts w:eastAsiaTheme="minorHAnsi" w:cstheme="minorBidi"/>
          <w:color w:val="00B050"/>
          <w:lang w:val="en-US" w:eastAsia="en-US"/>
        </w:rPr>
      </w:pPr>
    </w:p>
    <w:p w14:paraId="3BBB01C9" w14:textId="77777777" w:rsidR="002039E1" w:rsidRPr="00784FC9" w:rsidRDefault="002039E1" w:rsidP="00784FC9">
      <w:pPr>
        <w:suppressAutoHyphens w:val="0"/>
        <w:jc w:val="both"/>
        <w:rPr>
          <w:rFonts w:eastAsia="Calibri" w:cstheme="minorBidi"/>
          <w:lang w:val="en-US" w:eastAsia="en-US"/>
        </w:rPr>
      </w:pPr>
    </w:p>
    <w:p w14:paraId="104040F5" w14:textId="77777777" w:rsidR="002039E1" w:rsidRPr="00784FC9" w:rsidRDefault="002039E1" w:rsidP="00784FC9">
      <w:pPr>
        <w:suppressAutoHyphens w:val="0"/>
        <w:jc w:val="both"/>
        <w:rPr>
          <w:rFonts w:eastAsia="Calibri" w:cstheme="minorBidi"/>
          <w:i/>
          <w:u w:val="single"/>
          <w:lang w:val="en-US" w:eastAsia="en-US"/>
        </w:rPr>
      </w:pPr>
      <w:r w:rsidRPr="00784FC9">
        <w:rPr>
          <w:rFonts w:eastAsia="Calibri" w:cstheme="minorBidi"/>
          <w:i/>
          <w:u w:val="single"/>
          <w:lang w:val="en-US" w:eastAsia="en-US"/>
        </w:rPr>
        <w:t>Estimating transfer of biocidal active substances into foods as a result of professional and/or industrial application(s)</w:t>
      </w:r>
    </w:p>
    <w:p w14:paraId="0C08AEAE" w14:textId="77777777" w:rsidR="002039E1" w:rsidRPr="00784FC9" w:rsidRDefault="002039E1" w:rsidP="00784FC9">
      <w:pPr>
        <w:suppressAutoHyphens w:val="0"/>
        <w:jc w:val="both"/>
        <w:rPr>
          <w:rFonts w:eastAsia="Calibri" w:cstheme="minorHAnsi"/>
          <w:iCs/>
          <w:lang w:val="en-US" w:eastAsia="en-US"/>
        </w:rPr>
      </w:pPr>
      <w:r w:rsidRPr="00784FC9">
        <w:rPr>
          <w:rFonts w:eastAsia="Calibri" w:cstheme="minorHAnsi"/>
          <w:iCs/>
          <w:lang w:val="en-US" w:eastAsia="en-US"/>
        </w:rPr>
        <w:t>Regarding the intended uses, no direct exposure of food is expected.</w:t>
      </w:r>
    </w:p>
    <w:p w14:paraId="4421FB1D" w14:textId="77777777" w:rsidR="002039E1" w:rsidRPr="00784FC9" w:rsidRDefault="002039E1" w:rsidP="00784FC9">
      <w:pPr>
        <w:suppressAutoHyphens w:val="0"/>
        <w:jc w:val="both"/>
        <w:rPr>
          <w:rFonts w:eastAsia="Calibri" w:cs="Times New Roman"/>
          <w:i/>
          <w:iCs/>
          <w:lang w:val="en-US" w:eastAsia="en-US"/>
        </w:rPr>
      </w:pPr>
    </w:p>
    <w:p w14:paraId="66AB6053" w14:textId="77777777" w:rsidR="002039E1" w:rsidRPr="00784FC9" w:rsidRDefault="002039E1" w:rsidP="00784FC9">
      <w:pPr>
        <w:suppressAutoHyphens w:val="0"/>
        <w:jc w:val="both"/>
        <w:rPr>
          <w:rFonts w:eastAsia="Calibri" w:cstheme="minorBidi"/>
          <w:b/>
          <w:i/>
          <w:u w:val="single"/>
          <w:lang w:val="en-US" w:eastAsia="en-US"/>
        </w:rPr>
      </w:pPr>
      <w:r w:rsidRPr="00784FC9">
        <w:rPr>
          <w:rFonts w:eastAsia="Calibri" w:cstheme="minorBidi"/>
          <w:i/>
          <w:u w:val="single"/>
          <w:lang w:val="en-US" w:eastAsia="en-US"/>
        </w:rPr>
        <w:t>Estimating transfer of biocidal active substances into foods as a result of non-professional use</w:t>
      </w:r>
    </w:p>
    <w:p w14:paraId="55A75C71" w14:textId="44860A0A" w:rsidR="002039E1" w:rsidRPr="00635273" w:rsidRDefault="002039E1" w:rsidP="00DA6BCF">
      <w:pPr>
        <w:suppressAutoHyphens w:val="0"/>
        <w:jc w:val="both"/>
        <w:rPr>
          <w:rFonts w:eastAsia="Calibri" w:cs="Times New Roman"/>
          <w:i/>
          <w:iCs/>
          <w:lang w:eastAsia="en-US"/>
        </w:rPr>
      </w:pPr>
      <w:r w:rsidRPr="00784FC9">
        <w:rPr>
          <w:rFonts w:eastAsia="Calibri" w:cstheme="minorHAnsi"/>
          <w:iCs/>
          <w:lang w:val="en-US" w:eastAsia="en-US"/>
        </w:rPr>
        <w:t>Non-professional use is not intended.</w:t>
      </w:r>
    </w:p>
    <w:p w14:paraId="3CB254B7" w14:textId="77777777" w:rsidR="009D0C0B" w:rsidRPr="00635273" w:rsidRDefault="009D0C0B">
      <w:pPr>
        <w:spacing w:line="260" w:lineRule="atLeast"/>
        <w:rPr>
          <w:rFonts w:eastAsia="Calibri"/>
          <w:lang w:eastAsia="en-US"/>
        </w:rPr>
      </w:pPr>
    </w:p>
    <w:p w14:paraId="29D51C4A" w14:textId="63E2B315" w:rsidR="009D0C0B" w:rsidRDefault="007E0648">
      <w:pPr>
        <w:pStyle w:val="Titre4"/>
        <w:pageBreakBefore/>
      </w:pPr>
      <w:r>
        <w:lastRenderedPageBreak/>
        <w:t xml:space="preserve"> </w:t>
      </w:r>
      <w:bookmarkStart w:id="72" w:name="_Toc74732492"/>
      <w:r w:rsidR="00FA480B">
        <w:t xml:space="preserve">Risk characterisation </w:t>
      </w:r>
      <w:r w:rsidR="00B52618">
        <w:t>for consumers</w:t>
      </w:r>
      <w:bookmarkEnd w:id="72"/>
    </w:p>
    <w:p w14:paraId="3EEA2BBB" w14:textId="77777777" w:rsidR="009D0C0B" w:rsidRDefault="009D0C0B">
      <w:pPr>
        <w:spacing w:line="260" w:lineRule="atLeast"/>
        <w:rPr>
          <w:rFonts w:eastAsia="Calibri"/>
          <w:lang w:eastAsia="en-US"/>
        </w:rPr>
      </w:pPr>
    </w:p>
    <w:p w14:paraId="389C85E4"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1C48F021" w14:textId="77777777" w:rsidR="0068010E" w:rsidRPr="0068010E" w:rsidRDefault="0068010E" w:rsidP="0068010E">
      <w:pPr>
        <w:suppressAutoHyphens w:val="0"/>
        <w:spacing w:before="240" w:after="60" w:line="276" w:lineRule="auto"/>
        <w:ind w:left="1304"/>
        <w:outlineLvl w:val="5"/>
        <w:rPr>
          <w:rFonts w:eastAsia="Calibri" w:cs="Times New Roman"/>
          <w:b/>
          <w:iCs/>
          <w:lang w:val="en-US" w:eastAsia="sv-SE"/>
        </w:rPr>
      </w:pPr>
      <w:r w:rsidRPr="0068010E">
        <w:rPr>
          <w:rFonts w:eastAsia="Calibri" w:cs="Times New Roman"/>
          <w:b/>
          <w:iCs/>
          <w:lang w:val="en-US" w:eastAsia="sv-SE"/>
        </w:rPr>
        <w:t>Iodine residues</w:t>
      </w:r>
    </w:p>
    <w:p w14:paraId="3530E2BA" w14:textId="77777777" w:rsidR="0068010E" w:rsidRPr="0068010E" w:rsidRDefault="0068010E" w:rsidP="0068010E">
      <w:pPr>
        <w:suppressAutoHyphens w:val="0"/>
        <w:jc w:val="both"/>
        <w:rPr>
          <w:rFonts w:eastAsiaTheme="minorHAnsi" w:cstheme="minorHAnsi"/>
          <w:lang w:val="en-US" w:eastAsia="en-US"/>
        </w:rPr>
      </w:pPr>
      <w:r w:rsidRPr="0068010E">
        <w:rPr>
          <w:rFonts w:eastAsiaTheme="minorHAnsi" w:cstheme="minorHAnsi"/>
          <w:lang w:val="en-US" w:eastAsia="en-US"/>
        </w:rPr>
        <w:t xml:space="preserve">The estimated dietary intakes of iodine have been compared to the relevant UL for adults (600 µg/d) and infants/toddlers (200 µg/d) and presented in the table below. </w:t>
      </w:r>
    </w:p>
    <w:p w14:paraId="2F76D103" w14:textId="77777777" w:rsidR="0068010E" w:rsidRPr="0068010E" w:rsidRDefault="0068010E" w:rsidP="0068010E">
      <w:pPr>
        <w:suppressAutoHyphens w:val="0"/>
        <w:jc w:val="both"/>
        <w:rPr>
          <w:rFonts w:eastAsiaTheme="minorHAnsi" w:cstheme="minorHAnsi"/>
          <w:lang w:val="en-US" w:eastAsia="en-US"/>
        </w:rPr>
      </w:pPr>
    </w:p>
    <w:p w14:paraId="7C3D38F4" w14:textId="77777777" w:rsidR="0068010E" w:rsidRPr="0068010E" w:rsidRDefault="0068010E" w:rsidP="0068010E">
      <w:pPr>
        <w:suppressAutoHyphens w:val="0"/>
        <w:jc w:val="both"/>
        <w:rPr>
          <w:rFonts w:eastAsiaTheme="minorHAnsi" w:cstheme="minorHAnsi"/>
          <w:lang w:val="en-US" w:eastAsia="en-US"/>
        </w:rPr>
      </w:pPr>
      <w:r w:rsidRPr="0068010E">
        <w:rPr>
          <w:rFonts w:eastAsiaTheme="minorHAnsi" w:cstheme="minorHAnsi"/>
          <w:lang w:val="en-US" w:eastAsia="en-US"/>
        </w:rPr>
        <w:t>Considering the above mentioned decisions, estimated daily iodine intakes were calculated for the ALGOFILM biocide product (0.222% available iodine).</w:t>
      </w:r>
      <w:r w:rsidRPr="0068010E">
        <w:rPr>
          <w:rFonts w:eastAsiaTheme="minorHAnsi" w:cstheme="minorHAnsi"/>
          <w:lang w:val="en-US" w:eastAsia="de-DE"/>
        </w:rPr>
        <w:t xml:space="preserve"> Intakes which exceed the respective UL are highlighted in red text.</w:t>
      </w:r>
    </w:p>
    <w:p w14:paraId="53BED2D0" w14:textId="77777777" w:rsidR="0068010E" w:rsidRPr="0068010E" w:rsidRDefault="0068010E" w:rsidP="0068010E">
      <w:pPr>
        <w:suppressAutoHyphens w:val="0"/>
        <w:rPr>
          <w:rFonts w:eastAsiaTheme="minorHAnsi" w:cstheme="minorHAnsi"/>
          <w:lang w:val="en-US" w:eastAsia="en-US"/>
        </w:rPr>
      </w:pPr>
    </w:p>
    <w:p w14:paraId="5AAA5E3C" w14:textId="77777777" w:rsidR="0068010E" w:rsidRPr="0068010E" w:rsidRDefault="0068010E" w:rsidP="0068010E">
      <w:pPr>
        <w:suppressAutoHyphens w:val="0"/>
        <w:jc w:val="both"/>
        <w:rPr>
          <w:rFonts w:eastAsiaTheme="minorHAnsi" w:cstheme="minorHAnsi"/>
          <w:lang w:val="en-US" w:eastAsia="en-US"/>
        </w:rPr>
      </w:pPr>
      <w:r w:rsidRPr="0068010E">
        <w:rPr>
          <w:rFonts w:eastAsiaTheme="minorHAnsi" w:cstheme="minorHAnsi"/>
          <w:b/>
          <w:lang w:val="en-US" w:eastAsia="de-DE"/>
        </w:rPr>
        <w:t>Table 4 – Iodine Dietary risk assessment estimations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68010E" w:rsidRPr="0068010E" w14:paraId="141825DA" w14:textId="77777777" w:rsidTr="00447134">
        <w:tc>
          <w:tcPr>
            <w:tcW w:w="3080" w:type="dxa"/>
            <w:shd w:val="clear" w:color="auto" w:fill="auto"/>
          </w:tcPr>
          <w:p w14:paraId="54EE1A7B" w14:textId="77777777" w:rsidR="0068010E" w:rsidRPr="0068010E" w:rsidRDefault="0068010E" w:rsidP="0068010E">
            <w:pPr>
              <w:suppressAutoHyphens w:val="0"/>
              <w:jc w:val="both"/>
              <w:rPr>
                <w:rFonts w:eastAsiaTheme="minorHAnsi" w:cstheme="minorHAnsi"/>
                <w:b/>
                <w:lang w:val="en-US" w:eastAsia="en-US"/>
              </w:rPr>
            </w:pPr>
          </w:p>
        </w:tc>
        <w:tc>
          <w:tcPr>
            <w:tcW w:w="3081" w:type="dxa"/>
            <w:shd w:val="clear" w:color="auto" w:fill="auto"/>
          </w:tcPr>
          <w:p w14:paraId="4D7AD619" w14:textId="77777777" w:rsidR="0068010E" w:rsidRPr="0068010E" w:rsidRDefault="0068010E" w:rsidP="0068010E">
            <w:pPr>
              <w:suppressAutoHyphens w:val="0"/>
              <w:jc w:val="both"/>
              <w:rPr>
                <w:rFonts w:eastAsiaTheme="minorHAnsi" w:cstheme="minorHAnsi"/>
                <w:b/>
                <w:lang w:val="fr-FR" w:eastAsia="en-US"/>
              </w:rPr>
            </w:pPr>
            <w:r w:rsidRPr="0068010E">
              <w:rPr>
                <w:rFonts w:eastAsiaTheme="minorHAnsi" w:cstheme="minorHAnsi"/>
                <w:b/>
                <w:lang w:val="fr-FR" w:eastAsia="en-US"/>
              </w:rPr>
              <w:t>Adults (0.45 L/day)</w:t>
            </w:r>
          </w:p>
        </w:tc>
        <w:tc>
          <w:tcPr>
            <w:tcW w:w="3081" w:type="dxa"/>
            <w:shd w:val="clear" w:color="auto" w:fill="auto"/>
          </w:tcPr>
          <w:p w14:paraId="7C7448C2" w14:textId="77777777" w:rsidR="0068010E" w:rsidRPr="0068010E" w:rsidRDefault="0068010E" w:rsidP="0068010E">
            <w:pPr>
              <w:suppressAutoHyphens w:val="0"/>
              <w:jc w:val="both"/>
              <w:rPr>
                <w:rFonts w:eastAsiaTheme="minorHAnsi" w:cstheme="minorHAnsi"/>
                <w:b/>
                <w:lang w:val="fr-FR" w:eastAsia="en-US"/>
              </w:rPr>
            </w:pPr>
            <w:r w:rsidRPr="0068010E">
              <w:rPr>
                <w:rFonts w:eastAsiaTheme="minorHAnsi" w:cstheme="minorHAnsi"/>
                <w:b/>
                <w:lang w:val="fr-FR" w:eastAsia="en-US"/>
              </w:rPr>
              <w:t>Toddler (0.46 L/day)</w:t>
            </w:r>
          </w:p>
        </w:tc>
      </w:tr>
      <w:tr w:rsidR="0068010E" w:rsidRPr="0068010E" w14:paraId="0468251A" w14:textId="77777777" w:rsidTr="00447134">
        <w:tc>
          <w:tcPr>
            <w:tcW w:w="3080" w:type="dxa"/>
            <w:shd w:val="clear" w:color="auto" w:fill="auto"/>
          </w:tcPr>
          <w:p w14:paraId="7D70DAE8" w14:textId="77777777" w:rsidR="0068010E" w:rsidRPr="0068010E" w:rsidRDefault="0068010E" w:rsidP="0068010E">
            <w:pPr>
              <w:suppressAutoHyphens w:val="0"/>
              <w:jc w:val="both"/>
              <w:rPr>
                <w:rFonts w:eastAsiaTheme="minorHAnsi" w:cstheme="minorHAnsi"/>
                <w:b/>
                <w:lang w:val="fr-FR" w:eastAsia="en-US"/>
              </w:rPr>
            </w:pPr>
          </w:p>
        </w:tc>
        <w:tc>
          <w:tcPr>
            <w:tcW w:w="3081" w:type="dxa"/>
            <w:shd w:val="clear" w:color="auto" w:fill="auto"/>
          </w:tcPr>
          <w:p w14:paraId="6D8AF7C1" w14:textId="77777777" w:rsidR="0068010E" w:rsidRPr="0068010E" w:rsidRDefault="0068010E" w:rsidP="0068010E">
            <w:pPr>
              <w:suppressAutoHyphens w:val="0"/>
              <w:jc w:val="both"/>
              <w:rPr>
                <w:rFonts w:eastAsiaTheme="minorHAnsi" w:cstheme="minorHAnsi"/>
                <w:lang w:val="en-US" w:eastAsia="de-DE"/>
              </w:rPr>
            </w:pPr>
            <w:r w:rsidRPr="0068010E">
              <w:rPr>
                <w:rFonts w:eastAsiaTheme="minorHAnsi" w:cstheme="minorHAnsi"/>
                <w:b/>
                <w:lang w:val="en-US" w:eastAsia="en-US"/>
              </w:rPr>
              <w:t xml:space="preserve">Estimated daily intake (µg/day) </w:t>
            </w:r>
          </w:p>
          <w:p w14:paraId="074FA286" w14:textId="77777777" w:rsidR="0068010E" w:rsidRPr="0068010E" w:rsidRDefault="0068010E" w:rsidP="0068010E">
            <w:pPr>
              <w:suppressAutoHyphens w:val="0"/>
              <w:jc w:val="both"/>
              <w:rPr>
                <w:rFonts w:eastAsiaTheme="minorHAnsi" w:cstheme="minorHAnsi"/>
                <w:b/>
                <w:lang w:val="en-US" w:eastAsia="en-US"/>
              </w:rPr>
            </w:pPr>
            <w:r w:rsidRPr="0068010E">
              <w:rPr>
                <w:rFonts w:eastAsiaTheme="minorHAnsi" w:cstheme="minorHAnsi"/>
                <w:lang w:val="fr-FR" w:eastAsia="de-DE"/>
              </w:rPr>
              <w:t>[% of UL]</w:t>
            </w:r>
          </w:p>
        </w:tc>
        <w:tc>
          <w:tcPr>
            <w:tcW w:w="3081" w:type="dxa"/>
            <w:shd w:val="clear" w:color="auto" w:fill="auto"/>
          </w:tcPr>
          <w:p w14:paraId="151AA874" w14:textId="77777777" w:rsidR="0068010E" w:rsidRPr="0068010E" w:rsidRDefault="0068010E" w:rsidP="0068010E">
            <w:pPr>
              <w:suppressAutoHyphens w:val="0"/>
              <w:jc w:val="both"/>
              <w:rPr>
                <w:rFonts w:eastAsiaTheme="minorHAnsi" w:cstheme="minorHAnsi"/>
                <w:b/>
                <w:lang w:val="en-US" w:eastAsia="en-US"/>
              </w:rPr>
            </w:pPr>
            <w:r w:rsidRPr="0068010E">
              <w:rPr>
                <w:rFonts w:eastAsiaTheme="minorHAnsi" w:cstheme="minorHAnsi"/>
                <w:b/>
                <w:lang w:val="en-US" w:eastAsia="en-US"/>
              </w:rPr>
              <w:t xml:space="preserve">Estimated daily intake (µg/day) </w:t>
            </w:r>
          </w:p>
          <w:p w14:paraId="3ABD1F57" w14:textId="77777777" w:rsidR="0068010E" w:rsidRPr="0068010E" w:rsidRDefault="0068010E" w:rsidP="0068010E">
            <w:pPr>
              <w:suppressAutoHyphens w:val="0"/>
              <w:jc w:val="both"/>
              <w:rPr>
                <w:rFonts w:eastAsiaTheme="minorHAnsi" w:cstheme="minorHAnsi"/>
                <w:b/>
                <w:lang w:val="en-US" w:eastAsia="en-US"/>
              </w:rPr>
            </w:pPr>
            <w:r w:rsidRPr="0068010E">
              <w:rPr>
                <w:rFonts w:eastAsiaTheme="minorHAnsi" w:cstheme="minorHAnsi"/>
                <w:lang w:val="fr-FR" w:eastAsia="de-DE"/>
              </w:rPr>
              <w:t>[% of UL]</w:t>
            </w:r>
          </w:p>
        </w:tc>
      </w:tr>
      <w:tr w:rsidR="0068010E" w:rsidRPr="0068010E" w14:paraId="58177459" w14:textId="77777777" w:rsidTr="00447134">
        <w:tc>
          <w:tcPr>
            <w:tcW w:w="9242" w:type="dxa"/>
            <w:gridSpan w:val="3"/>
            <w:shd w:val="clear" w:color="auto" w:fill="auto"/>
          </w:tcPr>
          <w:p w14:paraId="2A63F76A" w14:textId="77777777" w:rsidR="0068010E" w:rsidRPr="0068010E" w:rsidRDefault="0068010E" w:rsidP="0068010E">
            <w:pPr>
              <w:suppressAutoHyphens w:val="0"/>
              <w:rPr>
                <w:rFonts w:eastAsiaTheme="minorHAnsi" w:cstheme="minorHAnsi"/>
                <w:b/>
                <w:lang w:val="en-US" w:eastAsia="en-US"/>
              </w:rPr>
            </w:pPr>
            <w:r w:rsidRPr="0068010E">
              <w:rPr>
                <w:rFonts w:eastAsiaTheme="minorHAnsi" w:cstheme="minorHAnsi"/>
                <w:b/>
                <w:lang w:val="en-US" w:eastAsia="en-US"/>
              </w:rPr>
              <w:t>2x post-milking teat disinfection (0.222% available iodine)</w:t>
            </w:r>
          </w:p>
        </w:tc>
      </w:tr>
      <w:tr w:rsidR="0068010E" w:rsidRPr="0068010E" w14:paraId="62FFE699" w14:textId="77777777" w:rsidTr="00447134">
        <w:tc>
          <w:tcPr>
            <w:tcW w:w="3080" w:type="dxa"/>
            <w:shd w:val="clear" w:color="auto" w:fill="auto"/>
            <w:vAlign w:val="center"/>
          </w:tcPr>
          <w:p w14:paraId="16D7682E" w14:textId="77777777" w:rsidR="0068010E" w:rsidRPr="0068010E" w:rsidRDefault="0068010E" w:rsidP="0068010E">
            <w:pPr>
              <w:suppressAutoHyphens w:val="0"/>
              <w:rPr>
                <w:rFonts w:eastAsiaTheme="minorHAnsi" w:cstheme="minorHAnsi"/>
                <w:vertAlign w:val="superscript"/>
                <w:lang w:val="en-US" w:eastAsia="en-US"/>
              </w:rPr>
            </w:pPr>
            <w:r w:rsidRPr="0068010E">
              <w:rPr>
                <w:rFonts w:eastAsiaTheme="minorHAnsi" w:cstheme="minorHAnsi"/>
                <w:lang w:val="en-US" w:eastAsia="en-US"/>
              </w:rPr>
              <w:t>Intake from milk due to teat treatment</w:t>
            </w:r>
            <w:r w:rsidRPr="0068010E">
              <w:rPr>
                <w:rFonts w:eastAsiaTheme="minorHAnsi" w:cstheme="minorHAnsi"/>
                <w:vertAlign w:val="superscript"/>
                <w:lang w:val="en-US" w:eastAsia="en-US"/>
              </w:rPr>
              <w:t>1</w:t>
            </w:r>
          </w:p>
        </w:tc>
        <w:tc>
          <w:tcPr>
            <w:tcW w:w="3081" w:type="dxa"/>
            <w:shd w:val="clear" w:color="auto" w:fill="auto"/>
          </w:tcPr>
          <w:p w14:paraId="60C46B20" w14:textId="77777777" w:rsidR="0068010E" w:rsidRPr="0068010E" w:rsidRDefault="0068010E" w:rsidP="0068010E">
            <w:pPr>
              <w:suppressAutoHyphens w:val="0"/>
              <w:jc w:val="center"/>
              <w:rPr>
                <w:rFonts w:eastAsiaTheme="minorHAnsi" w:cstheme="minorHAnsi"/>
                <w:lang w:val="en-US" w:eastAsia="en-US"/>
              </w:rPr>
            </w:pPr>
            <w:r w:rsidRPr="0068010E">
              <w:rPr>
                <w:rFonts w:eastAsiaTheme="minorHAnsi" w:cstheme="minorHAnsi"/>
                <w:lang w:val="en-US" w:eastAsia="en-US"/>
              </w:rPr>
              <w:t xml:space="preserve">50 </w:t>
            </w:r>
            <w:r w:rsidRPr="0068010E">
              <w:rPr>
                <w:rFonts w:eastAsiaTheme="minorHAnsi" w:cstheme="minorHAnsi"/>
                <w:lang w:val="en-US" w:eastAsia="de-DE"/>
              </w:rPr>
              <w:t>[8 % UL]</w:t>
            </w:r>
          </w:p>
        </w:tc>
        <w:tc>
          <w:tcPr>
            <w:tcW w:w="3081" w:type="dxa"/>
            <w:shd w:val="clear" w:color="auto" w:fill="auto"/>
          </w:tcPr>
          <w:p w14:paraId="6A4E903A" w14:textId="77777777" w:rsidR="0068010E" w:rsidRPr="0068010E" w:rsidRDefault="0068010E" w:rsidP="0068010E">
            <w:pPr>
              <w:suppressAutoHyphens w:val="0"/>
              <w:jc w:val="center"/>
              <w:rPr>
                <w:rFonts w:eastAsiaTheme="minorHAnsi" w:cstheme="minorHAnsi"/>
                <w:lang w:val="en-US" w:eastAsia="en-US"/>
              </w:rPr>
            </w:pPr>
            <w:r w:rsidRPr="0068010E">
              <w:rPr>
                <w:rFonts w:eastAsiaTheme="minorHAnsi" w:cstheme="minorHAnsi"/>
                <w:lang w:val="en-US" w:eastAsia="en-US"/>
              </w:rPr>
              <w:t xml:space="preserve">51 </w:t>
            </w:r>
            <w:r w:rsidRPr="0068010E">
              <w:rPr>
                <w:rFonts w:eastAsiaTheme="minorHAnsi" w:cstheme="minorHAnsi"/>
                <w:lang w:val="en-US" w:eastAsia="de-DE"/>
              </w:rPr>
              <w:t>[26 % UL]</w:t>
            </w:r>
          </w:p>
        </w:tc>
      </w:tr>
      <w:tr w:rsidR="0068010E" w:rsidRPr="0068010E" w14:paraId="17ED037D" w14:textId="77777777" w:rsidTr="00447134">
        <w:tc>
          <w:tcPr>
            <w:tcW w:w="3080" w:type="dxa"/>
            <w:shd w:val="clear" w:color="auto" w:fill="auto"/>
            <w:vAlign w:val="center"/>
          </w:tcPr>
          <w:p w14:paraId="0E3E5A25" w14:textId="77777777" w:rsidR="0068010E" w:rsidRPr="0068010E" w:rsidRDefault="0068010E" w:rsidP="0068010E">
            <w:pPr>
              <w:suppressAutoHyphens w:val="0"/>
              <w:rPr>
                <w:rFonts w:eastAsiaTheme="minorHAnsi" w:cstheme="minorHAnsi"/>
                <w:lang w:val="en-US" w:eastAsia="en-US"/>
              </w:rPr>
            </w:pPr>
            <w:r w:rsidRPr="0068010E">
              <w:rPr>
                <w:rFonts w:eastAsiaTheme="minorHAnsi" w:cstheme="minorHAnsi"/>
                <w:lang w:val="en-US" w:eastAsia="en-US"/>
              </w:rPr>
              <w:t>Total milk intake</w:t>
            </w:r>
            <w:r w:rsidRPr="0068010E">
              <w:rPr>
                <w:rFonts w:eastAsiaTheme="minorHAnsi" w:cstheme="minorHAnsi"/>
                <w:vertAlign w:val="superscript"/>
                <w:lang w:val="en-US" w:eastAsia="en-US"/>
              </w:rPr>
              <w:t>2</w:t>
            </w:r>
            <w:r w:rsidRPr="0068010E">
              <w:rPr>
                <w:rFonts w:eastAsiaTheme="minorHAnsi" w:cstheme="minorHAnsi"/>
                <w:lang w:val="en-US" w:eastAsia="en-US"/>
              </w:rPr>
              <w:t xml:space="preserve"> </w:t>
            </w:r>
          </w:p>
        </w:tc>
        <w:tc>
          <w:tcPr>
            <w:tcW w:w="3081" w:type="dxa"/>
            <w:shd w:val="clear" w:color="auto" w:fill="auto"/>
          </w:tcPr>
          <w:p w14:paraId="0914F9C3" w14:textId="5C272823" w:rsidR="0068010E" w:rsidRPr="0068010E" w:rsidRDefault="00CE0695" w:rsidP="00CE0695">
            <w:pPr>
              <w:suppressAutoHyphens w:val="0"/>
              <w:jc w:val="center"/>
              <w:rPr>
                <w:rFonts w:eastAsiaTheme="minorHAnsi" w:cstheme="minorHAnsi"/>
                <w:lang w:val="en-US" w:eastAsia="en-US"/>
              </w:rPr>
            </w:pPr>
            <w:r>
              <w:rPr>
                <w:rFonts w:eastAsiaTheme="minorHAnsi" w:cstheme="minorHAnsi"/>
                <w:lang w:val="en-US" w:eastAsia="en-US"/>
              </w:rPr>
              <w:t>140</w:t>
            </w:r>
            <w:r w:rsidRPr="0068010E">
              <w:rPr>
                <w:rFonts w:eastAsiaTheme="minorHAnsi" w:cstheme="minorHAnsi"/>
                <w:lang w:val="en-US" w:eastAsia="en-US"/>
              </w:rPr>
              <w:t xml:space="preserve"> </w:t>
            </w:r>
            <w:r w:rsidR="0068010E" w:rsidRPr="0068010E">
              <w:rPr>
                <w:rFonts w:eastAsiaTheme="minorHAnsi" w:cstheme="minorHAnsi"/>
                <w:lang w:val="en-US" w:eastAsia="de-DE"/>
              </w:rPr>
              <w:t>[</w:t>
            </w:r>
            <w:r>
              <w:rPr>
                <w:rFonts w:eastAsiaTheme="minorHAnsi" w:cstheme="minorHAnsi"/>
                <w:lang w:val="en-US" w:eastAsia="de-DE"/>
              </w:rPr>
              <w:t>23</w:t>
            </w:r>
            <w:r w:rsidRPr="0068010E">
              <w:rPr>
                <w:rFonts w:eastAsiaTheme="minorHAnsi" w:cstheme="minorHAnsi"/>
                <w:lang w:val="en-US" w:eastAsia="de-DE"/>
              </w:rPr>
              <w:t xml:space="preserve"> </w:t>
            </w:r>
            <w:r w:rsidR="0068010E" w:rsidRPr="0068010E">
              <w:rPr>
                <w:rFonts w:eastAsiaTheme="minorHAnsi" w:cstheme="minorHAnsi"/>
                <w:lang w:val="en-US" w:eastAsia="de-DE"/>
              </w:rPr>
              <w:t>% UL]</w:t>
            </w:r>
          </w:p>
        </w:tc>
        <w:tc>
          <w:tcPr>
            <w:tcW w:w="3081" w:type="dxa"/>
            <w:shd w:val="clear" w:color="auto" w:fill="auto"/>
          </w:tcPr>
          <w:p w14:paraId="04BE69C9" w14:textId="5F3DB929" w:rsidR="0068010E" w:rsidRPr="0068010E" w:rsidRDefault="00CE0695" w:rsidP="00CE0695">
            <w:pPr>
              <w:suppressAutoHyphens w:val="0"/>
              <w:jc w:val="center"/>
              <w:rPr>
                <w:rFonts w:eastAsiaTheme="minorHAnsi" w:cstheme="minorHAnsi"/>
                <w:lang w:val="en-US" w:eastAsia="en-US"/>
              </w:rPr>
            </w:pPr>
            <w:r>
              <w:rPr>
                <w:rFonts w:eastAsiaTheme="minorHAnsi" w:cstheme="minorHAnsi"/>
                <w:lang w:val="en-US" w:eastAsia="en-US"/>
              </w:rPr>
              <w:t>143</w:t>
            </w:r>
            <w:r w:rsidRPr="0068010E">
              <w:rPr>
                <w:rFonts w:eastAsiaTheme="minorHAnsi" w:cstheme="minorHAnsi"/>
                <w:lang w:val="en-US" w:eastAsia="en-US"/>
              </w:rPr>
              <w:t xml:space="preserve"> </w:t>
            </w:r>
            <w:r w:rsidR="0068010E" w:rsidRPr="0068010E">
              <w:rPr>
                <w:rFonts w:eastAsiaTheme="minorHAnsi" w:cstheme="minorHAnsi"/>
                <w:lang w:val="en-US" w:eastAsia="de-DE"/>
              </w:rPr>
              <w:t>[</w:t>
            </w:r>
            <w:r w:rsidRPr="00CE0695">
              <w:rPr>
                <w:rFonts w:eastAsiaTheme="minorHAnsi" w:cstheme="minorHAnsi"/>
                <w:lang w:val="en-US" w:eastAsia="de-DE"/>
              </w:rPr>
              <w:t xml:space="preserve">72 </w:t>
            </w:r>
            <w:r w:rsidR="0068010E" w:rsidRPr="00CE0695">
              <w:rPr>
                <w:rFonts w:eastAsiaTheme="minorHAnsi" w:cstheme="minorHAnsi"/>
                <w:lang w:val="en-US" w:eastAsia="de-DE"/>
              </w:rPr>
              <w:t>% UL]</w:t>
            </w:r>
          </w:p>
        </w:tc>
      </w:tr>
      <w:tr w:rsidR="0068010E" w:rsidRPr="0068010E" w14:paraId="3C47F14B" w14:textId="77777777" w:rsidTr="00447134">
        <w:tc>
          <w:tcPr>
            <w:tcW w:w="3080" w:type="dxa"/>
            <w:shd w:val="clear" w:color="auto" w:fill="auto"/>
            <w:vAlign w:val="center"/>
          </w:tcPr>
          <w:p w14:paraId="7AAB801D" w14:textId="77777777" w:rsidR="0068010E" w:rsidRPr="0068010E" w:rsidRDefault="0068010E" w:rsidP="0068010E">
            <w:pPr>
              <w:suppressAutoHyphens w:val="0"/>
              <w:rPr>
                <w:rFonts w:eastAsiaTheme="minorHAnsi" w:cstheme="minorHAnsi"/>
                <w:lang w:val="en-US" w:eastAsia="en-US"/>
              </w:rPr>
            </w:pPr>
            <w:r w:rsidRPr="0068010E">
              <w:rPr>
                <w:rFonts w:eastAsiaTheme="minorHAnsi" w:cstheme="minorHAnsi"/>
                <w:lang w:val="en-US" w:eastAsia="en-US"/>
              </w:rPr>
              <w:t>Total dietary intake</w:t>
            </w:r>
            <w:r w:rsidRPr="0068010E">
              <w:rPr>
                <w:rFonts w:eastAsiaTheme="minorHAnsi" w:cstheme="minorHAnsi"/>
                <w:vertAlign w:val="superscript"/>
                <w:lang w:val="en-US" w:eastAsia="en-US"/>
              </w:rPr>
              <w:t>3</w:t>
            </w:r>
          </w:p>
        </w:tc>
        <w:tc>
          <w:tcPr>
            <w:tcW w:w="3081" w:type="dxa"/>
            <w:shd w:val="clear" w:color="auto" w:fill="auto"/>
          </w:tcPr>
          <w:p w14:paraId="205ED119" w14:textId="34CEDC29" w:rsidR="0068010E" w:rsidRPr="0068010E" w:rsidRDefault="00CE0695" w:rsidP="00CE0695">
            <w:pPr>
              <w:suppressAutoHyphens w:val="0"/>
              <w:jc w:val="center"/>
              <w:rPr>
                <w:rFonts w:eastAsiaTheme="minorHAnsi" w:cstheme="minorHAnsi"/>
                <w:lang w:val="en-US" w:eastAsia="en-US"/>
              </w:rPr>
            </w:pPr>
            <w:r>
              <w:rPr>
                <w:rFonts w:eastAsiaTheme="minorHAnsi" w:cstheme="minorHAnsi"/>
                <w:lang w:val="en-US" w:eastAsia="en-US"/>
              </w:rPr>
              <w:t>325</w:t>
            </w:r>
            <w:r w:rsidRPr="0068010E">
              <w:rPr>
                <w:rFonts w:eastAsiaTheme="minorHAnsi" w:cstheme="minorHAnsi"/>
                <w:lang w:val="en-US" w:eastAsia="en-US"/>
              </w:rPr>
              <w:t xml:space="preserve"> </w:t>
            </w:r>
            <w:r w:rsidR="0068010E" w:rsidRPr="0068010E">
              <w:rPr>
                <w:rFonts w:eastAsiaTheme="minorHAnsi" w:cstheme="minorHAnsi"/>
                <w:lang w:val="en-US" w:eastAsia="de-DE"/>
              </w:rPr>
              <w:t>[</w:t>
            </w:r>
            <w:r>
              <w:rPr>
                <w:rFonts w:eastAsiaTheme="minorHAnsi" w:cstheme="minorHAnsi"/>
                <w:lang w:val="en-US" w:eastAsia="de-DE"/>
              </w:rPr>
              <w:t>54</w:t>
            </w:r>
            <w:r w:rsidRPr="0068010E">
              <w:rPr>
                <w:rFonts w:eastAsiaTheme="minorHAnsi" w:cstheme="minorHAnsi"/>
                <w:lang w:val="en-US" w:eastAsia="de-DE"/>
              </w:rPr>
              <w:t xml:space="preserve"> </w:t>
            </w:r>
            <w:r w:rsidR="0068010E" w:rsidRPr="0068010E">
              <w:rPr>
                <w:rFonts w:eastAsiaTheme="minorHAnsi" w:cstheme="minorHAnsi"/>
                <w:lang w:val="en-US" w:eastAsia="de-DE"/>
              </w:rPr>
              <w:t>% UL]</w:t>
            </w:r>
          </w:p>
        </w:tc>
        <w:tc>
          <w:tcPr>
            <w:tcW w:w="3081" w:type="dxa"/>
            <w:shd w:val="clear" w:color="auto" w:fill="auto"/>
          </w:tcPr>
          <w:p w14:paraId="70886998" w14:textId="60677267" w:rsidR="0068010E" w:rsidRPr="0068010E" w:rsidRDefault="00CE0695" w:rsidP="00CE0695">
            <w:pPr>
              <w:suppressAutoHyphens w:val="0"/>
              <w:jc w:val="center"/>
              <w:rPr>
                <w:rFonts w:eastAsiaTheme="minorHAnsi" w:cstheme="minorHAnsi"/>
                <w:lang w:val="en-US" w:eastAsia="en-US"/>
              </w:rPr>
            </w:pPr>
            <w:r>
              <w:rPr>
                <w:rFonts w:eastAsiaTheme="minorHAnsi" w:cstheme="minorHAnsi"/>
                <w:lang w:val="en-US" w:eastAsia="en-US"/>
              </w:rPr>
              <w:t>239</w:t>
            </w:r>
            <w:r w:rsidRPr="0068010E">
              <w:rPr>
                <w:rFonts w:eastAsiaTheme="minorHAnsi" w:cstheme="minorHAnsi"/>
                <w:lang w:val="en-US" w:eastAsia="en-US"/>
              </w:rPr>
              <w:t xml:space="preserve"> </w:t>
            </w:r>
            <w:r w:rsidR="0068010E" w:rsidRPr="0068010E">
              <w:rPr>
                <w:rFonts w:eastAsiaTheme="minorHAnsi" w:cstheme="minorHAnsi"/>
                <w:lang w:val="en-US" w:eastAsia="de-DE"/>
              </w:rPr>
              <w:t>[</w:t>
            </w:r>
            <w:r>
              <w:rPr>
                <w:rFonts w:eastAsiaTheme="minorHAnsi" w:cstheme="minorHAnsi"/>
                <w:color w:val="FF0000"/>
                <w:lang w:val="en-US" w:eastAsia="de-DE"/>
              </w:rPr>
              <w:t>120</w:t>
            </w:r>
            <w:r w:rsidRPr="0068010E">
              <w:rPr>
                <w:rFonts w:eastAsiaTheme="minorHAnsi" w:cstheme="minorHAnsi"/>
                <w:color w:val="FF0000"/>
                <w:lang w:val="en-US" w:eastAsia="de-DE"/>
              </w:rPr>
              <w:t xml:space="preserve"> </w:t>
            </w:r>
            <w:r w:rsidR="0068010E" w:rsidRPr="0068010E">
              <w:rPr>
                <w:rFonts w:eastAsiaTheme="minorHAnsi" w:cstheme="minorHAnsi"/>
                <w:color w:val="FF0000"/>
                <w:lang w:val="en-US" w:eastAsia="de-DE"/>
              </w:rPr>
              <w:t>% UL</w:t>
            </w:r>
            <w:r w:rsidR="0068010E" w:rsidRPr="0068010E">
              <w:rPr>
                <w:rFonts w:eastAsiaTheme="minorHAnsi" w:cstheme="minorHAnsi"/>
                <w:lang w:val="en-US" w:eastAsia="de-DE"/>
              </w:rPr>
              <w:t>]</w:t>
            </w:r>
          </w:p>
        </w:tc>
      </w:tr>
    </w:tbl>
    <w:p w14:paraId="2F009480" w14:textId="0178A2D4" w:rsidR="0068010E" w:rsidRPr="0068010E" w:rsidRDefault="0068010E" w:rsidP="00AB1CDB">
      <w:pPr>
        <w:suppressAutoHyphens w:val="0"/>
        <w:jc w:val="both"/>
        <w:rPr>
          <w:rFonts w:eastAsiaTheme="minorHAnsi" w:cstheme="minorBidi"/>
          <w:sz w:val="18"/>
          <w:lang w:val="en-US" w:eastAsia="en-US"/>
        </w:rPr>
      </w:pPr>
      <w:r w:rsidRPr="0068010E">
        <w:rPr>
          <w:rFonts w:eastAsiaTheme="minorHAnsi" w:cstheme="minorHAnsi"/>
          <w:vertAlign w:val="superscript"/>
          <w:lang w:val="en-US" w:eastAsia="en-US"/>
        </w:rPr>
        <w:t>1</w:t>
      </w:r>
      <w:r w:rsidRPr="0068010E">
        <w:rPr>
          <w:rFonts w:eastAsiaTheme="minorHAnsi" w:cstheme="minorHAnsi"/>
          <w:lang w:val="en-US" w:eastAsia="en-US"/>
        </w:rPr>
        <w:t xml:space="preserve"> </w:t>
      </w:r>
      <w:r w:rsidRPr="0068010E">
        <w:rPr>
          <w:rFonts w:eastAsiaTheme="minorHAnsi" w:cstheme="minorBidi"/>
          <w:sz w:val="18"/>
          <w:lang w:val="en-US" w:eastAsia="en-US"/>
        </w:rPr>
        <w:t xml:space="preserve">Iodine intake from milk due to teat treatment is derived from BP specific residue values (based </w:t>
      </w:r>
      <w:r w:rsidR="00CE0695" w:rsidRPr="00CE0695">
        <w:rPr>
          <w:rFonts w:eastAsiaTheme="minorHAnsi" w:cstheme="minorBidi"/>
          <w:sz w:val="18"/>
          <w:lang w:val="en-US" w:eastAsia="en-US"/>
        </w:rPr>
        <w:t>O’Brien 2013</w:t>
      </w:r>
      <w:r w:rsidRPr="0068010E">
        <w:rPr>
          <w:rFonts w:eastAsiaTheme="minorHAnsi" w:cstheme="minorBidi"/>
          <w:sz w:val="18"/>
          <w:lang w:val="en-US" w:eastAsia="en-US"/>
        </w:rPr>
        <w:t xml:space="preserve">). [Additional iodine residues in milk (µg/L)/ iodine (%), </w:t>
      </w:r>
      <w:r w:rsidRPr="0068010E">
        <w:rPr>
          <w:rFonts w:eastAsiaTheme="minorHAnsi" w:cstheme="minorBidi"/>
          <w:sz w:val="18"/>
          <w:lang w:eastAsia="en-US"/>
        </w:rPr>
        <w:t>O’Brien 2013</w:t>
      </w:r>
      <w:r w:rsidRPr="0068010E">
        <w:rPr>
          <w:rFonts w:eastAsiaTheme="minorHAnsi" w:cstheme="minorBidi"/>
          <w:sz w:val="18"/>
          <w:lang w:val="en-US" w:eastAsia="en-US"/>
        </w:rPr>
        <w:t>] x iodine (%) in ALGOFILM x milk consumption (L)</w:t>
      </w:r>
    </w:p>
    <w:p w14:paraId="444DCC90" w14:textId="77777777" w:rsidR="0068010E" w:rsidRPr="0068010E" w:rsidRDefault="0068010E" w:rsidP="00AB1CDB">
      <w:pPr>
        <w:suppressAutoHyphens w:val="0"/>
        <w:jc w:val="both"/>
        <w:rPr>
          <w:rFonts w:eastAsiaTheme="minorHAnsi" w:cstheme="minorBidi"/>
          <w:sz w:val="18"/>
          <w:lang w:val="en-US" w:eastAsia="en-US"/>
        </w:rPr>
      </w:pPr>
      <w:r w:rsidRPr="0068010E">
        <w:rPr>
          <w:rFonts w:eastAsiaTheme="minorHAnsi" w:cstheme="minorBidi"/>
          <w:sz w:val="18"/>
          <w:vertAlign w:val="superscript"/>
          <w:lang w:val="en-US" w:eastAsia="en-US"/>
        </w:rPr>
        <w:t>2</w:t>
      </w:r>
      <w:r w:rsidRPr="0068010E">
        <w:rPr>
          <w:rFonts w:eastAsiaTheme="minorHAnsi" w:cstheme="minorBidi"/>
          <w:sz w:val="18"/>
          <w:lang w:val="en-US" w:eastAsia="en-US"/>
        </w:rPr>
        <w:t xml:space="preserve"> Total milk intake is the sum of the estimated additional iodine intake resulting from the transfer into milk following teat disinfection and the iodine background in milk of 200 µg/l.</w:t>
      </w:r>
    </w:p>
    <w:p w14:paraId="77AD96E3" w14:textId="77777777" w:rsidR="0068010E" w:rsidRPr="0068010E" w:rsidRDefault="0068010E">
      <w:pPr>
        <w:suppressAutoHyphens w:val="0"/>
        <w:jc w:val="both"/>
        <w:rPr>
          <w:rFonts w:eastAsiaTheme="minorHAnsi" w:cstheme="minorBidi"/>
          <w:sz w:val="18"/>
          <w:lang w:val="en-US" w:eastAsia="en-US"/>
        </w:rPr>
      </w:pPr>
      <w:r w:rsidRPr="0068010E">
        <w:rPr>
          <w:rFonts w:eastAsiaTheme="minorHAnsi" w:cstheme="minorBidi"/>
          <w:sz w:val="18"/>
          <w:vertAlign w:val="superscript"/>
          <w:lang w:val="en-US" w:eastAsia="en-US"/>
        </w:rPr>
        <w:t>3</w:t>
      </w:r>
      <w:r w:rsidRPr="0068010E">
        <w:rPr>
          <w:rFonts w:eastAsiaTheme="minorHAnsi" w:cstheme="minorBidi"/>
          <w:sz w:val="18"/>
          <w:lang w:val="en-US" w:eastAsia="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14:paraId="598275DA" w14:textId="77777777" w:rsidR="0068010E" w:rsidRPr="0068010E" w:rsidRDefault="0068010E" w:rsidP="0068010E">
      <w:pPr>
        <w:suppressAutoHyphens w:val="0"/>
        <w:jc w:val="both"/>
        <w:rPr>
          <w:rFonts w:eastAsiaTheme="minorHAnsi" w:cstheme="minorHAnsi"/>
          <w:sz w:val="18"/>
          <w:lang w:val="en-US" w:eastAsia="en-US"/>
        </w:rPr>
      </w:pPr>
    </w:p>
    <w:p w14:paraId="7CF021E7" w14:textId="77777777" w:rsidR="0068010E" w:rsidRPr="0068010E" w:rsidRDefault="0068010E" w:rsidP="0068010E">
      <w:pPr>
        <w:suppressAutoHyphens w:val="0"/>
        <w:jc w:val="both"/>
        <w:rPr>
          <w:rFonts w:eastAsiaTheme="minorHAnsi" w:cstheme="minorHAnsi"/>
          <w:i/>
          <w:u w:val="single"/>
          <w:lang w:val="en-US" w:eastAsia="de-DE"/>
        </w:rPr>
      </w:pPr>
      <w:r w:rsidRPr="0068010E">
        <w:rPr>
          <w:rFonts w:eastAsiaTheme="minorHAnsi" w:cstheme="minorHAnsi"/>
          <w:i/>
          <w:u w:val="single"/>
          <w:lang w:val="en-US" w:eastAsia="de-DE"/>
        </w:rPr>
        <w:t>Calculation for 2x post-milking applications:</w:t>
      </w:r>
    </w:p>
    <w:p w14:paraId="56FA58F5" w14:textId="77777777" w:rsidR="006808A0" w:rsidRPr="00257A27" w:rsidRDefault="006808A0" w:rsidP="006808A0">
      <w:pPr>
        <w:rPr>
          <w:rFonts w:cstheme="minorHAnsi"/>
          <w:i/>
          <w:lang w:val="en-US" w:eastAsia="de-DE"/>
        </w:rPr>
      </w:pPr>
      <w:r w:rsidRPr="00257A27">
        <w:rPr>
          <w:rFonts w:cstheme="minorHAnsi"/>
          <w:i/>
          <w:lang w:val="en-US" w:eastAsia="de-DE"/>
        </w:rPr>
        <w:t>Percentage UL for adult= (</w:t>
      </w:r>
      <w:r>
        <w:rPr>
          <w:rFonts w:cstheme="minorHAnsi"/>
          <w:i/>
          <w:lang w:val="en-US" w:eastAsia="de-DE"/>
        </w:rPr>
        <w:t>50</w:t>
      </w:r>
      <w:r w:rsidRPr="00257A27">
        <w:rPr>
          <w:rFonts w:cstheme="minorHAnsi"/>
          <w:i/>
          <w:lang w:val="en-US" w:eastAsia="de-DE"/>
        </w:rPr>
        <w:t xml:space="preserve">/600) = </w:t>
      </w:r>
      <w:r>
        <w:rPr>
          <w:rFonts w:cstheme="minorHAnsi"/>
          <w:i/>
          <w:lang w:val="en-US" w:eastAsia="de-DE"/>
        </w:rPr>
        <w:t>8</w:t>
      </w:r>
      <w:r w:rsidRPr="00257A27">
        <w:rPr>
          <w:rFonts w:cstheme="minorHAnsi"/>
          <w:i/>
          <w:lang w:val="en-US" w:eastAsia="de-DE"/>
        </w:rPr>
        <w:t xml:space="preserve"> % or (</w:t>
      </w:r>
      <w:r>
        <w:rPr>
          <w:rFonts w:cstheme="minorHAnsi"/>
          <w:i/>
          <w:lang w:val="en-US" w:eastAsia="de-DE"/>
        </w:rPr>
        <w:t>140</w:t>
      </w:r>
      <w:r w:rsidRPr="00257A27">
        <w:rPr>
          <w:rFonts w:cstheme="minorHAnsi"/>
          <w:i/>
          <w:lang w:val="en-US" w:eastAsia="de-DE"/>
        </w:rPr>
        <w:t xml:space="preserve">/600) = </w:t>
      </w:r>
      <w:r>
        <w:rPr>
          <w:rFonts w:cstheme="minorHAnsi"/>
          <w:i/>
          <w:lang w:val="en-US" w:eastAsia="de-DE"/>
        </w:rPr>
        <w:t>23</w:t>
      </w:r>
      <w:r w:rsidRPr="00257A27">
        <w:rPr>
          <w:rFonts w:cstheme="minorHAnsi"/>
          <w:i/>
          <w:lang w:val="en-US" w:eastAsia="de-DE"/>
        </w:rPr>
        <w:t xml:space="preserve"> % or (</w:t>
      </w:r>
      <w:r>
        <w:rPr>
          <w:rFonts w:cstheme="minorHAnsi"/>
          <w:i/>
          <w:lang w:val="en-US" w:eastAsia="de-DE"/>
        </w:rPr>
        <w:t>325</w:t>
      </w:r>
      <w:r w:rsidRPr="00257A27">
        <w:rPr>
          <w:rFonts w:cstheme="minorHAnsi"/>
          <w:i/>
          <w:lang w:val="en-US" w:eastAsia="de-DE"/>
        </w:rPr>
        <w:t xml:space="preserve">/600) = </w:t>
      </w:r>
      <w:r>
        <w:rPr>
          <w:rFonts w:cstheme="minorHAnsi"/>
          <w:i/>
          <w:lang w:val="en-US" w:eastAsia="de-DE"/>
        </w:rPr>
        <w:t>54</w:t>
      </w:r>
      <w:r w:rsidRPr="00257A27">
        <w:rPr>
          <w:rFonts w:cstheme="minorHAnsi"/>
          <w:i/>
          <w:lang w:val="en-US" w:eastAsia="de-DE"/>
        </w:rPr>
        <w:t xml:space="preserve"> %</w:t>
      </w:r>
    </w:p>
    <w:p w14:paraId="5D339C2C" w14:textId="77777777" w:rsidR="006808A0" w:rsidRDefault="006808A0" w:rsidP="006808A0">
      <w:pPr>
        <w:rPr>
          <w:rFonts w:cstheme="minorHAnsi"/>
          <w:i/>
          <w:lang w:val="en-US" w:eastAsia="de-DE"/>
        </w:rPr>
      </w:pPr>
      <w:r w:rsidRPr="00257A27">
        <w:rPr>
          <w:rFonts w:cstheme="minorHAnsi"/>
          <w:i/>
          <w:lang w:val="en-US" w:eastAsia="de-DE"/>
        </w:rPr>
        <w:t>Percentag</w:t>
      </w:r>
      <w:r>
        <w:rPr>
          <w:rFonts w:cstheme="minorHAnsi"/>
          <w:i/>
          <w:lang w:val="en-US" w:eastAsia="de-DE"/>
        </w:rPr>
        <w:t>e UL for children= (51</w:t>
      </w:r>
      <w:r w:rsidRPr="00257A27">
        <w:rPr>
          <w:rFonts w:cstheme="minorHAnsi"/>
          <w:i/>
          <w:lang w:val="en-US" w:eastAsia="de-DE"/>
        </w:rPr>
        <w:t xml:space="preserve">/200) = </w:t>
      </w:r>
      <w:r>
        <w:rPr>
          <w:rFonts w:cstheme="minorHAnsi"/>
          <w:i/>
          <w:lang w:val="en-US" w:eastAsia="de-DE"/>
        </w:rPr>
        <w:t>26</w:t>
      </w:r>
      <w:r w:rsidRPr="00257A27">
        <w:rPr>
          <w:rFonts w:cstheme="minorHAnsi"/>
          <w:i/>
          <w:lang w:val="en-US" w:eastAsia="de-DE"/>
        </w:rPr>
        <w:t xml:space="preserve"> % or (</w:t>
      </w:r>
      <w:r>
        <w:rPr>
          <w:rFonts w:cstheme="minorHAnsi"/>
          <w:i/>
          <w:lang w:val="en-US" w:eastAsia="de-DE"/>
        </w:rPr>
        <w:t>143</w:t>
      </w:r>
      <w:r w:rsidRPr="00257A27">
        <w:rPr>
          <w:rFonts w:cstheme="minorHAnsi"/>
          <w:i/>
          <w:lang w:val="en-US" w:eastAsia="de-DE"/>
        </w:rPr>
        <w:t xml:space="preserve">/200) = </w:t>
      </w:r>
      <w:r>
        <w:rPr>
          <w:rFonts w:cstheme="minorHAnsi"/>
          <w:i/>
          <w:lang w:val="en-US" w:eastAsia="de-DE"/>
        </w:rPr>
        <w:t>72</w:t>
      </w:r>
      <w:r w:rsidRPr="00257A27">
        <w:rPr>
          <w:rFonts w:cstheme="minorHAnsi"/>
          <w:i/>
          <w:lang w:val="en-US" w:eastAsia="de-DE"/>
        </w:rPr>
        <w:t xml:space="preserve"> % or (</w:t>
      </w:r>
      <w:r>
        <w:rPr>
          <w:rFonts w:cstheme="minorHAnsi"/>
          <w:i/>
          <w:lang w:val="en-US" w:eastAsia="de-DE"/>
        </w:rPr>
        <w:t>239</w:t>
      </w:r>
      <w:r w:rsidRPr="00257A27">
        <w:rPr>
          <w:rFonts w:cstheme="minorHAnsi"/>
          <w:i/>
          <w:lang w:val="en-US" w:eastAsia="de-DE"/>
        </w:rPr>
        <w:t xml:space="preserve">/200) = </w:t>
      </w:r>
      <w:r>
        <w:rPr>
          <w:rFonts w:cstheme="minorHAnsi"/>
          <w:i/>
          <w:lang w:val="en-US" w:eastAsia="de-DE"/>
        </w:rPr>
        <w:t>120</w:t>
      </w:r>
      <w:r w:rsidRPr="00257A27">
        <w:rPr>
          <w:rFonts w:cstheme="minorHAnsi"/>
          <w:i/>
          <w:lang w:val="en-US" w:eastAsia="de-DE"/>
        </w:rPr>
        <w:t xml:space="preserve"> %</w:t>
      </w:r>
    </w:p>
    <w:p w14:paraId="7BE9ACF1" w14:textId="77777777" w:rsidR="0068010E" w:rsidRPr="0068010E" w:rsidRDefault="0068010E" w:rsidP="0068010E">
      <w:pPr>
        <w:suppressAutoHyphens w:val="0"/>
        <w:rPr>
          <w:rFonts w:eastAsiaTheme="minorHAnsi" w:cstheme="minorHAnsi"/>
          <w:i/>
          <w:lang w:val="en-US" w:eastAsia="de-DE"/>
        </w:rPr>
      </w:pPr>
    </w:p>
    <w:p w14:paraId="4E9CA418" w14:textId="77777777" w:rsidR="0068010E" w:rsidRPr="0068010E" w:rsidRDefault="0068010E" w:rsidP="0068010E">
      <w:pPr>
        <w:suppressAutoHyphens w:val="0"/>
        <w:jc w:val="both"/>
        <w:rPr>
          <w:rFonts w:eastAsiaTheme="minorHAnsi" w:cstheme="minorHAnsi"/>
          <w:lang w:val="en-US" w:eastAsia="en-US"/>
        </w:rPr>
      </w:pPr>
      <w:r w:rsidRPr="0068010E">
        <w:rPr>
          <w:rFonts w:eastAsiaTheme="minorHAnsi" w:cstheme="minorHAnsi"/>
          <w:lang w:val="en-US" w:eastAsia="en-US"/>
        </w:rPr>
        <w:t>As stated before, if chronic milk intake values are calculated using milk consumption values from the EFSA PRIMo rev 3.1, there will be no significant differences to the above estimations.</w:t>
      </w:r>
    </w:p>
    <w:p w14:paraId="6A500103" w14:textId="70C06323" w:rsidR="0068010E" w:rsidRPr="0068010E" w:rsidRDefault="0068010E" w:rsidP="0068010E">
      <w:pPr>
        <w:suppressAutoHyphens w:val="0"/>
        <w:jc w:val="both"/>
        <w:rPr>
          <w:rFonts w:eastAsiaTheme="minorHAnsi" w:cstheme="minorHAnsi"/>
          <w:lang w:val="en-US" w:eastAsia="en-US"/>
        </w:rPr>
      </w:pPr>
      <w:r w:rsidRPr="0068010E">
        <w:rPr>
          <w:rFonts w:eastAsiaTheme="minorHAnsi" w:cstheme="minorHAnsi"/>
          <w:lang w:val="en-US" w:eastAsia="en-US"/>
        </w:rPr>
        <w:t xml:space="preserve">An exceedance of the Upper Intake Level (UL) for infant, toddler and children cannot be excluded based on the available data. At this stage, no additional refinement can be </w:t>
      </w:r>
      <w:r w:rsidR="006808A0" w:rsidRPr="0068010E">
        <w:rPr>
          <w:rFonts w:eastAsiaTheme="minorHAnsi" w:cstheme="minorHAnsi"/>
          <w:lang w:val="en-US" w:eastAsia="en-US"/>
        </w:rPr>
        <w:t>realized</w:t>
      </w:r>
      <w:r w:rsidRPr="0068010E">
        <w:rPr>
          <w:rFonts w:eastAsiaTheme="minorHAnsi" w:cstheme="minorHAnsi"/>
          <w:lang w:val="en-US" w:eastAsia="en-US"/>
        </w:rPr>
        <w:t xml:space="preserve"> without any measurements of iodine residue in milk. </w:t>
      </w:r>
    </w:p>
    <w:p w14:paraId="1A43B732" w14:textId="77777777" w:rsidR="0068010E" w:rsidRPr="0068010E" w:rsidRDefault="0068010E" w:rsidP="0068010E">
      <w:pPr>
        <w:suppressAutoHyphens w:val="0"/>
        <w:jc w:val="both"/>
        <w:rPr>
          <w:rFonts w:eastAsiaTheme="minorHAnsi" w:cstheme="minorHAnsi"/>
          <w:highlight w:val="lightGray"/>
          <w:lang w:val="en-US" w:eastAsia="en-US"/>
        </w:rPr>
      </w:pPr>
    </w:p>
    <w:p w14:paraId="32D7AA3E" w14:textId="77777777" w:rsidR="0068010E" w:rsidRPr="0068010E" w:rsidRDefault="0068010E" w:rsidP="0068010E">
      <w:pPr>
        <w:suppressAutoHyphens w:val="0"/>
        <w:jc w:val="both"/>
        <w:rPr>
          <w:rFonts w:eastAsiaTheme="minorHAnsi" w:cstheme="minorHAnsi"/>
          <w:lang w:val="en-US" w:eastAsia="en-US"/>
        </w:rPr>
      </w:pPr>
      <w:r w:rsidRPr="0068010E">
        <w:rPr>
          <w:rFonts w:eastAsiaTheme="minorHAnsi" w:cstheme="minorHAnsi"/>
          <w:lang w:val="en-US" w:eastAsia="en-US"/>
        </w:rPr>
        <w:t xml:space="preserve">The Upper Intake Level (UL) is a reference value considered to compare the exposure via food estimated for the uses of ALGOFILM. As stated above, the UL is an indicative upper value exposure, but does not represent a threshold directly linked to a toxicological risk. </w:t>
      </w:r>
    </w:p>
    <w:p w14:paraId="16AAE564" w14:textId="77777777" w:rsidR="0068010E" w:rsidRPr="0068010E" w:rsidRDefault="0068010E" w:rsidP="0068010E">
      <w:pPr>
        <w:suppressAutoHyphens w:val="0"/>
        <w:jc w:val="both"/>
        <w:rPr>
          <w:rFonts w:eastAsiaTheme="minorHAnsi" w:cstheme="minorHAnsi"/>
          <w:lang w:val="en-US" w:eastAsia="en-US"/>
        </w:rPr>
      </w:pPr>
    </w:p>
    <w:p w14:paraId="352EF124" w14:textId="77777777" w:rsidR="0068010E" w:rsidRPr="0068010E" w:rsidRDefault="0068010E" w:rsidP="0068010E">
      <w:pPr>
        <w:suppressAutoHyphens w:val="0"/>
        <w:jc w:val="both"/>
        <w:rPr>
          <w:rFonts w:eastAsiaTheme="minorHAnsi" w:cstheme="minorHAnsi"/>
          <w:lang w:val="en-US" w:eastAsia="en-US"/>
        </w:rPr>
      </w:pPr>
      <w:r w:rsidRPr="0068010E">
        <w:rPr>
          <w:rFonts w:eastAsiaTheme="minorHAnsi" w:cstheme="minorHAnsi"/>
          <w:b/>
          <w:bCs/>
          <w:lang w:val="en-US" w:eastAsia="en-US"/>
        </w:rPr>
        <w:t>Conclusion</w:t>
      </w:r>
    </w:p>
    <w:p w14:paraId="64E5B450" w14:textId="7CBA5E2B" w:rsidR="0068010E" w:rsidRPr="0068010E" w:rsidRDefault="0068010E" w:rsidP="0068010E">
      <w:pPr>
        <w:suppressAutoHyphens w:val="0"/>
        <w:jc w:val="both"/>
        <w:rPr>
          <w:rFonts w:eastAsiaTheme="minorHAnsi" w:cstheme="minorHAnsi"/>
          <w:lang w:val="en-US" w:eastAsia="en-US"/>
        </w:rPr>
      </w:pPr>
      <w:r w:rsidRPr="0068010E">
        <w:rPr>
          <w:rFonts w:eastAsiaTheme="minorHAnsi" w:cstheme="minorHAnsi"/>
          <w:lang w:val="en-US" w:eastAsia="en-US"/>
        </w:rPr>
        <w:t>The estimation of iodine contamination in milk is performed considering the worst case situation. Human health risk is acceptable for all milking applications based on estimated intakes, except for toddlers, where total daily intake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5B4350C7" w14:textId="3B53B02C" w:rsidR="0068010E" w:rsidRDefault="0068010E" w:rsidP="0068010E">
      <w:pPr>
        <w:suppressAutoHyphens w:val="0"/>
        <w:rPr>
          <w:rFonts w:eastAsiaTheme="minorHAnsi" w:cstheme="minorBidi"/>
          <w:color w:val="00B050"/>
          <w:lang w:val="en-US" w:eastAsia="en-US"/>
        </w:rPr>
      </w:pPr>
    </w:p>
    <w:p w14:paraId="3FCA17D1" w14:textId="17B412F9" w:rsidR="00CA08ED" w:rsidRPr="00CA08ED" w:rsidRDefault="00CA08ED" w:rsidP="00CA08ED">
      <w:pPr>
        <w:suppressAutoHyphens w:val="0"/>
        <w:rPr>
          <w:rFonts w:eastAsiaTheme="minorHAnsi" w:cstheme="minorBidi"/>
          <w:lang w:val="en-US" w:eastAsia="en-US"/>
        </w:rPr>
      </w:pPr>
      <w:r w:rsidRPr="00CA08ED">
        <w:rPr>
          <w:rFonts w:eastAsiaTheme="minorHAnsi" w:cstheme="minorBidi"/>
          <w:lang w:val="en-US" w:eastAsia="en-US"/>
        </w:rPr>
        <w:lastRenderedPageBreak/>
        <w:t>To minimize the iodine contamination in milk the following risk mitigation measure should be added:</w:t>
      </w:r>
    </w:p>
    <w:p w14:paraId="149A5038" w14:textId="69624D55" w:rsidR="00CA08ED" w:rsidRPr="00CA08ED" w:rsidRDefault="00CA08ED" w:rsidP="00CA08ED">
      <w:pPr>
        <w:pStyle w:val="Paragraphedeliste"/>
        <w:numPr>
          <w:ilvl w:val="0"/>
          <w:numId w:val="24"/>
        </w:numPr>
        <w:suppressAutoHyphens w:val="0"/>
        <w:rPr>
          <w:rFonts w:eastAsiaTheme="minorHAnsi" w:cstheme="minorBidi"/>
          <w:lang w:val="en-US" w:eastAsia="en-US"/>
        </w:rPr>
      </w:pPr>
      <w:r w:rsidRPr="00CA08ED">
        <w:rPr>
          <w:rFonts w:eastAsiaTheme="minorHAnsi" w:cstheme="minorBidi"/>
          <w:lang w:val="en-US" w:eastAsia="en-US"/>
        </w:rPr>
        <w:t>In case a combination of pre- and post-milking disinfection is necessary, using another product not containing iodine has to be considered for pre-milking disinfection</w:t>
      </w:r>
    </w:p>
    <w:p w14:paraId="407EDBD4" w14:textId="77777777" w:rsidR="0068010E" w:rsidRPr="0068010E" w:rsidRDefault="0068010E" w:rsidP="0068010E">
      <w:pPr>
        <w:suppressAutoHyphens w:val="0"/>
        <w:spacing w:before="240" w:after="60" w:line="276" w:lineRule="auto"/>
        <w:ind w:left="1304"/>
        <w:outlineLvl w:val="5"/>
        <w:rPr>
          <w:rFonts w:eastAsia="Calibri" w:cs="Times New Roman"/>
          <w:b/>
          <w:iCs/>
          <w:lang w:val="en-US" w:eastAsia="sv-SE"/>
        </w:rPr>
      </w:pPr>
      <w:r w:rsidRPr="0068010E">
        <w:rPr>
          <w:rFonts w:eastAsia="Calibri" w:cs="Times New Roman"/>
          <w:b/>
          <w:iCs/>
          <w:lang w:val="en-US" w:eastAsia="sv-SE"/>
        </w:rPr>
        <w:t xml:space="preserve">L(+) lactic acid residues </w:t>
      </w:r>
    </w:p>
    <w:p w14:paraId="5DC41F51" w14:textId="663D3EAD" w:rsidR="0068010E" w:rsidRPr="0068010E" w:rsidRDefault="0068010E" w:rsidP="0068010E">
      <w:pPr>
        <w:suppressAutoHyphens w:val="0"/>
        <w:spacing w:after="200" w:line="276" w:lineRule="auto"/>
        <w:rPr>
          <w:rFonts w:eastAsia="Calibri" w:cstheme="minorBidi"/>
          <w:i/>
          <w:lang w:eastAsia="en-US"/>
        </w:rPr>
      </w:pPr>
      <w:r w:rsidRPr="0068010E">
        <w:rPr>
          <w:rFonts w:eastAsiaTheme="minorHAnsi" w:cstheme="minorBidi"/>
          <w:lang w:val="en-US" w:eastAsia="en-US"/>
        </w:rPr>
        <w:t xml:space="preserve">See exposure evaluation for lactic acid </w:t>
      </w:r>
      <w:r w:rsidRPr="0068010E">
        <w:rPr>
          <w:rFonts w:eastAsiaTheme="minorHAnsi" w:cstheme="minorBidi"/>
          <w:lang w:eastAsia="en-US"/>
        </w:rPr>
        <w:t xml:space="preserve">(section </w:t>
      </w:r>
      <w:r w:rsidR="009B1AFD">
        <w:rPr>
          <w:rFonts w:eastAsiaTheme="minorHAnsi" w:cstheme="minorBidi"/>
          <w:lang w:eastAsia="en-US"/>
        </w:rPr>
        <w:t>2.2.6.2.5</w:t>
      </w:r>
      <w:r w:rsidRPr="0068010E">
        <w:rPr>
          <w:rFonts w:eastAsiaTheme="minorHAnsi" w:cstheme="minorBidi"/>
          <w:lang w:eastAsia="en-US"/>
        </w:rPr>
        <w:t>, lactic acid)</w:t>
      </w:r>
      <w:r w:rsidRPr="0068010E">
        <w:rPr>
          <w:rFonts w:eastAsiaTheme="minorHAnsi" w:cstheme="minorBidi"/>
          <w:lang w:val="en-US" w:eastAsia="en-US"/>
        </w:rPr>
        <w:t>.</w:t>
      </w:r>
    </w:p>
    <w:p w14:paraId="02CECD2D" w14:textId="77777777" w:rsidR="00662B97" w:rsidRDefault="00662B97" w:rsidP="00662B97">
      <w:pPr>
        <w:spacing w:line="260" w:lineRule="atLeast"/>
        <w:contextualSpacing/>
        <w:jc w:val="both"/>
        <w:rPr>
          <w:rFonts w:eastAsia="Calibri" w:cs="Arial"/>
          <w:b/>
          <w:color w:val="000000"/>
          <w:lang w:eastAsia="en-GB"/>
        </w:rPr>
      </w:pPr>
      <w:r w:rsidRPr="005272CD">
        <w:rPr>
          <w:rFonts w:eastAsia="Calibri" w:cs="Arial"/>
          <w:b/>
          <w:color w:val="000000"/>
          <w:lang w:eastAsia="en-GB"/>
        </w:rPr>
        <w:t>Conclusion on indirect exposure via residues in food</w:t>
      </w:r>
    </w:p>
    <w:p w14:paraId="52A1F04B" w14:textId="77777777" w:rsidR="00662B97" w:rsidRPr="00616DEE" w:rsidRDefault="00662B97" w:rsidP="00662B97">
      <w:pPr>
        <w:spacing w:line="260" w:lineRule="atLeast"/>
        <w:contextualSpacing/>
        <w:jc w:val="both"/>
        <w:rPr>
          <w:rFonts w:cs="Arial"/>
          <w:lang w:val="en-US"/>
        </w:rPr>
      </w:pPr>
    </w:p>
    <w:p w14:paraId="5DB0010D" w14:textId="585E8BA8" w:rsidR="003653F3" w:rsidRPr="005272CD" w:rsidRDefault="00662B97" w:rsidP="00662B97">
      <w:pPr>
        <w:spacing w:line="260" w:lineRule="atLeast"/>
        <w:contextualSpacing/>
        <w:jc w:val="both"/>
        <w:rPr>
          <w:rFonts w:eastAsia="Calibri" w:cs="Arial"/>
          <w:color w:val="000000"/>
          <w:lang w:eastAsia="en-GB"/>
        </w:rPr>
      </w:pPr>
      <w:r w:rsidRPr="005272CD">
        <w:rPr>
          <w:rFonts w:eastAsia="Calibri" w:cs="Arial"/>
          <w:color w:val="000000"/>
          <w:lang w:eastAsia="en-GB"/>
        </w:rPr>
        <w:t>Considering the intended use of ALGOFILM and based on overall available information</w:t>
      </w:r>
      <w:r w:rsidR="003653F3">
        <w:rPr>
          <w:rFonts w:eastAsia="Calibri" w:cs="Arial"/>
          <w:color w:val="000000"/>
          <w:lang w:eastAsia="en-GB"/>
        </w:rPr>
        <w:t xml:space="preserve"> with a very worst case scenario</w:t>
      </w:r>
      <w:r w:rsidRPr="005272CD">
        <w:rPr>
          <w:rFonts w:eastAsia="Calibri" w:cs="Arial"/>
          <w:color w:val="000000"/>
          <w:lang w:eastAsia="en-GB"/>
        </w:rPr>
        <w:t xml:space="preserve">, a risk via food cannot be </w:t>
      </w:r>
      <w:r w:rsidR="003653F3">
        <w:rPr>
          <w:rFonts w:eastAsia="Calibri" w:cs="Arial"/>
          <w:color w:val="000000"/>
          <w:lang w:eastAsia="en-GB"/>
        </w:rPr>
        <w:t xml:space="preserve">formally </w:t>
      </w:r>
      <w:r w:rsidRPr="005272CD">
        <w:rPr>
          <w:rFonts w:eastAsia="Calibri" w:cs="Arial"/>
          <w:color w:val="000000"/>
          <w:lang w:eastAsia="en-GB"/>
        </w:rPr>
        <w:t>excluded for children</w:t>
      </w:r>
      <w:r w:rsidR="003653F3">
        <w:rPr>
          <w:rFonts w:eastAsia="Calibri" w:cs="Arial"/>
          <w:color w:val="000000"/>
          <w:lang w:eastAsia="en-GB"/>
        </w:rPr>
        <w:t>, for which to</w:t>
      </w:r>
      <w:r w:rsidR="003653F3" w:rsidRPr="0068010E">
        <w:rPr>
          <w:rFonts w:eastAsiaTheme="minorHAnsi" w:cstheme="minorHAnsi"/>
          <w:lang w:val="en-US" w:eastAsia="en-US"/>
        </w:rPr>
        <w:t>tal daily intake exceeds the UL.</w:t>
      </w:r>
    </w:p>
    <w:p w14:paraId="1C3FCA2D" w14:textId="77777777" w:rsidR="00662B97" w:rsidRDefault="00662B97" w:rsidP="00662B97">
      <w:pPr>
        <w:spacing w:line="260" w:lineRule="atLeast"/>
        <w:contextualSpacing/>
        <w:jc w:val="both"/>
        <w:rPr>
          <w:rFonts w:eastAsia="Calibri" w:cs="Arial"/>
          <w:color w:val="000000"/>
          <w:lang w:eastAsia="en-GB"/>
        </w:rPr>
      </w:pPr>
    </w:p>
    <w:p w14:paraId="05D4FC91" w14:textId="7E58DD6A" w:rsidR="00662B97" w:rsidRDefault="00662B97" w:rsidP="00662B97">
      <w:pPr>
        <w:spacing w:line="260" w:lineRule="atLeast"/>
        <w:contextualSpacing/>
        <w:jc w:val="both"/>
        <w:rPr>
          <w:rFonts w:eastAsia="Calibri" w:cs="Arial"/>
          <w:color w:val="000000"/>
          <w:lang w:eastAsia="en-GB"/>
        </w:rPr>
      </w:pPr>
      <w:r w:rsidRPr="005272CD">
        <w:rPr>
          <w:rFonts w:eastAsia="Calibri" w:cs="Arial"/>
          <w:color w:val="000000"/>
          <w:lang w:eastAsia="en-GB"/>
        </w:rPr>
        <w:t>Iodine exposure pathways that are not a consequence of 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 Therefore a wider approach to the consumer risk assessments encompassing different regulatory regimes would need to be considered.</w:t>
      </w:r>
    </w:p>
    <w:p w14:paraId="32332F28" w14:textId="739F538A" w:rsidR="00CA08ED" w:rsidRDefault="00CA08ED" w:rsidP="00662B97">
      <w:pPr>
        <w:spacing w:line="260" w:lineRule="atLeast"/>
        <w:contextualSpacing/>
        <w:jc w:val="both"/>
        <w:rPr>
          <w:rFonts w:eastAsia="Calibri" w:cs="Arial"/>
          <w:color w:val="000000"/>
          <w:lang w:eastAsia="en-GB"/>
        </w:rPr>
      </w:pPr>
    </w:p>
    <w:p w14:paraId="369F609B" w14:textId="1EFB342A" w:rsidR="00CA08ED" w:rsidRPr="00CA08ED" w:rsidRDefault="00CA08ED" w:rsidP="00CA08ED">
      <w:pPr>
        <w:suppressAutoHyphens w:val="0"/>
        <w:rPr>
          <w:rFonts w:eastAsiaTheme="minorHAnsi" w:cstheme="minorBidi"/>
          <w:lang w:val="en-US" w:eastAsia="en-US"/>
        </w:rPr>
      </w:pPr>
      <w:r w:rsidRPr="00CA08ED">
        <w:rPr>
          <w:rFonts w:eastAsiaTheme="minorHAnsi" w:cstheme="minorBidi"/>
          <w:lang w:val="en-US" w:eastAsia="en-US"/>
        </w:rPr>
        <w:t>To minimize the i</w:t>
      </w:r>
      <w:r>
        <w:rPr>
          <w:rFonts w:eastAsiaTheme="minorHAnsi" w:cstheme="minorBidi"/>
          <w:lang w:val="en-US" w:eastAsia="en-US"/>
        </w:rPr>
        <w:t xml:space="preserve">odine contamination in milk </w:t>
      </w:r>
      <w:r w:rsidRPr="00CA08ED">
        <w:rPr>
          <w:rFonts w:eastAsiaTheme="minorHAnsi" w:cstheme="minorBidi"/>
          <w:lang w:val="en-US" w:eastAsia="en-US"/>
        </w:rPr>
        <w:t>the following risk mitigation measure should be added:</w:t>
      </w:r>
    </w:p>
    <w:p w14:paraId="4254B9B0" w14:textId="2BA20B62" w:rsidR="00CA08ED" w:rsidRPr="00CA08ED" w:rsidRDefault="00CA08ED" w:rsidP="00CA08ED">
      <w:pPr>
        <w:pStyle w:val="Paragraphedeliste"/>
        <w:numPr>
          <w:ilvl w:val="0"/>
          <w:numId w:val="24"/>
        </w:numPr>
        <w:suppressAutoHyphens w:val="0"/>
        <w:rPr>
          <w:rFonts w:eastAsiaTheme="minorHAnsi" w:cstheme="minorBidi"/>
          <w:lang w:val="en-US" w:eastAsia="en-US"/>
        </w:rPr>
      </w:pPr>
      <w:r w:rsidRPr="00CA08ED">
        <w:rPr>
          <w:rFonts w:eastAsiaTheme="minorHAnsi" w:cstheme="minorBidi"/>
          <w:lang w:val="en-US" w:eastAsia="en-US"/>
        </w:rPr>
        <w:t>In case a combination of pre- and post-milking disinfection is necessary, using another product not containing iodine has to be considered for pre-milking disinfection</w:t>
      </w:r>
    </w:p>
    <w:p w14:paraId="1FD526D5" w14:textId="293F251B" w:rsidR="0068010E" w:rsidRDefault="0068010E">
      <w:pPr>
        <w:spacing w:line="260" w:lineRule="atLeast"/>
        <w:rPr>
          <w:rFonts w:ascii="Times New Roman" w:eastAsia="Calibri" w:hAnsi="Times New Roman" w:cs="Times New Roman"/>
          <w:i/>
          <w:lang w:eastAsia="en-US"/>
        </w:rPr>
      </w:pPr>
    </w:p>
    <w:p w14:paraId="2BAD9842" w14:textId="77777777" w:rsidR="009D0C0B" w:rsidRDefault="009D0C0B">
      <w:pPr>
        <w:spacing w:line="260" w:lineRule="atLeast"/>
        <w:rPr>
          <w:rFonts w:ascii="Times New Roman" w:eastAsia="Calibri" w:hAnsi="Times New Roman" w:cs="Times New Roman"/>
          <w:i/>
          <w:iCs/>
          <w:lang w:eastAsia="en-US"/>
        </w:rPr>
      </w:pPr>
    </w:p>
    <w:p w14:paraId="3DB6D958" w14:textId="77777777" w:rsidR="009D0C0B" w:rsidRDefault="009D0C0B">
      <w:pPr>
        <w:spacing w:line="260" w:lineRule="atLeast"/>
        <w:rPr>
          <w:rFonts w:ascii="Times New Roman" w:eastAsia="Calibri" w:hAnsi="Times New Roman" w:cs="Times New Roman"/>
          <w:i/>
          <w:iCs/>
          <w:lang w:eastAsia="en-US"/>
        </w:rPr>
      </w:pPr>
    </w:p>
    <w:p w14:paraId="2ABCECBF" w14:textId="77777777" w:rsidR="009D0C0B" w:rsidRDefault="00FA480B">
      <w:pPr>
        <w:pStyle w:val="Titre3"/>
        <w:rPr>
          <w:rFonts w:ascii="Times New Roman" w:eastAsia="Calibri" w:hAnsi="Times New Roman" w:cs="Times New Roman"/>
          <w:i/>
          <w:iCs/>
          <w:lang w:eastAsia="en-US"/>
        </w:rPr>
      </w:pPr>
      <w:bookmarkStart w:id="73" w:name="_Toc74732493"/>
      <w:r>
        <w:t>Risk assessment for animal health</w:t>
      </w:r>
      <w:bookmarkEnd w:id="73"/>
    </w:p>
    <w:p w14:paraId="28480E36" w14:textId="77777777" w:rsidR="00884267" w:rsidRPr="00DC12AC" w:rsidRDefault="00884267" w:rsidP="007E0648">
      <w:pPr>
        <w:spacing w:line="260" w:lineRule="atLeast"/>
        <w:jc w:val="both"/>
        <w:rPr>
          <w:iCs/>
          <w:lang w:eastAsia="en-US"/>
        </w:rPr>
      </w:pPr>
      <w:r w:rsidRPr="00DC12AC">
        <w:rPr>
          <w:iCs/>
          <w:lang w:eastAsia="en-US"/>
        </w:rPr>
        <w:t xml:space="preserve">As no guidance is currently available to assess animal health, </w:t>
      </w:r>
      <w:r>
        <w:rPr>
          <w:iCs/>
          <w:lang w:eastAsia="en-US"/>
        </w:rPr>
        <w:t>no</w:t>
      </w:r>
      <w:r w:rsidRPr="00DC12AC">
        <w:rPr>
          <w:iCs/>
          <w:lang w:eastAsia="en-US"/>
        </w:rPr>
        <w:t xml:space="preserve"> assessment for animal health</w:t>
      </w:r>
      <w:r>
        <w:rPr>
          <w:iCs/>
          <w:lang w:eastAsia="en-US"/>
        </w:rPr>
        <w:t xml:space="preserve"> has been performed</w:t>
      </w:r>
      <w:r w:rsidRPr="00DC12AC">
        <w:rPr>
          <w:iCs/>
          <w:lang w:eastAsia="en-US"/>
        </w:rPr>
        <w:t>.</w:t>
      </w:r>
    </w:p>
    <w:p w14:paraId="6F55E3CA" w14:textId="77777777" w:rsidR="00884267" w:rsidRPr="00492007" w:rsidRDefault="00884267" w:rsidP="007E0648">
      <w:pPr>
        <w:jc w:val="both"/>
        <w:rPr>
          <w:i/>
          <w:iCs/>
          <w:lang w:eastAsia="en-US"/>
        </w:rPr>
      </w:pPr>
    </w:p>
    <w:p w14:paraId="4D10A2BC" w14:textId="77777777" w:rsidR="00884267" w:rsidRPr="000D1536" w:rsidRDefault="00884267" w:rsidP="007E0648">
      <w:pPr>
        <w:widowControl w:val="0"/>
        <w:spacing w:after="120"/>
        <w:jc w:val="both"/>
        <w:rPr>
          <w:snapToGrid w:val="0"/>
          <w:lang w:eastAsia="fi-FI"/>
        </w:rPr>
      </w:pPr>
      <w:r w:rsidRPr="000D1536">
        <w:rPr>
          <w:snapToGrid w:val="0"/>
          <w:lang w:eastAsia="fi-FI"/>
        </w:rPr>
        <w:t xml:space="preserve">The Committee for Veterinary Medicinal Products (CVMP) has reviewed iodine for the use in veterinary medicine as antiseptic, sanitiser, teat dip for prevention and control of the mastitis, topical preparation for preventing wounds infections. </w:t>
      </w:r>
    </w:p>
    <w:p w14:paraId="123FE4EF" w14:textId="77777777" w:rsidR="00884267" w:rsidRPr="000D1536" w:rsidRDefault="00884267" w:rsidP="007E0648">
      <w:pPr>
        <w:widowControl w:val="0"/>
        <w:spacing w:after="120"/>
        <w:jc w:val="both"/>
        <w:rPr>
          <w:snapToGrid w:val="0"/>
          <w:lang w:eastAsia="fi-FI"/>
        </w:rPr>
      </w:pPr>
      <w:r w:rsidRPr="000D1536">
        <w:rPr>
          <w:snapToGrid w:val="0"/>
          <w:lang w:eastAsia="fi-FI"/>
        </w:rPr>
        <w:t xml:space="preserve">CVMP reported that “only small increases in serum iodine concentration were found after teat dipping indicating that the procedure had a negligible effect on tissue iodine concentrations”. </w:t>
      </w:r>
    </w:p>
    <w:p w14:paraId="383E681C" w14:textId="77777777" w:rsidR="00884267" w:rsidRPr="000D1536" w:rsidRDefault="00884267" w:rsidP="007E0648">
      <w:pPr>
        <w:widowControl w:val="0"/>
        <w:spacing w:after="120"/>
        <w:jc w:val="both"/>
        <w:rPr>
          <w:snapToGrid w:val="0"/>
          <w:lang w:eastAsia="fi-FI"/>
        </w:rPr>
      </w:pPr>
      <w:r w:rsidRPr="000D1536">
        <w:rPr>
          <w:snapToGrid w:val="0"/>
          <w:lang w:eastAsia="fi-FI"/>
        </w:rPr>
        <w:t>As teat dipping does not increase significantly the iodine concentration in animal tissues, it could be concluded that the use of iodine in teat disinfection does not raise systemic concerns for animal health.</w:t>
      </w:r>
    </w:p>
    <w:p w14:paraId="3B384011" w14:textId="32626EEC" w:rsidR="009D0C0B" w:rsidRDefault="00884267">
      <w:pPr>
        <w:spacing w:line="260" w:lineRule="atLeast"/>
        <w:ind w:left="360"/>
        <w:contextualSpacing/>
        <w:rPr>
          <w:rFonts w:ascii="Times New Roman" w:eastAsia="Calibri" w:hAnsi="Times New Roman" w:cs="Times New Roman"/>
          <w:i/>
          <w:iCs/>
          <w:lang w:eastAsia="en-US"/>
        </w:rPr>
      </w:pPr>
      <w:r w:rsidDel="00884267">
        <w:rPr>
          <w:rFonts w:ascii="Times New Roman" w:eastAsia="Calibri" w:hAnsi="Times New Roman" w:cs="Times New Roman"/>
          <w:i/>
          <w:iCs/>
          <w:lang w:eastAsia="en-US"/>
        </w:rPr>
        <w:t xml:space="preserve"> </w:t>
      </w:r>
    </w:p>
    <w:p w14:paraId="77FE935B" w14:textId="77777777" w:rsidR="009D0C0B" w:rsidRDefault="009D0C0B">
      <w:pPr>
        <w:spacing w:line="260" w:lineRule="atLeast"/>
        <w:rPr>
          <w:rFonts w:ascii="Times New Roman" w:eastAsia="Calibri" w:hAnsi="Times New Roman" w:cs="Times New Roman"/>
          <w:i/>
          <w:iCs/>
          <w:lang w:eastAsia="en-US"/>
        </w:rPr>
      </w:pPr>
    </w:p>
    <w:p w14:paraId="7C67F953" w14:textId="77777777" w:rsidR="009D0C0B" w:rsidRDefault="00FA480B">
      <w:pPr>
        <w:pStyle w:val="Titre3"/>
        <w:rPr>
          <w:rFonts w:ascii="Times New Roman" w:eastAsia="Calibri" w:hAnsi="Times New Roman" w:cs="Times New Roman"/>
          <w:i/>
          <w:iCs/>
          <w:lang w:eastAsia="en-US"/>
        </w:rPr>
      </w:pPr>
      <w:bookmarkStart w:id="74" w:name="_Toc74732494"/>
      <w:r>
        <w:t>Risk assessment for the environment</w:t>
      </w:r>
      <w:bookmarkEnd w:id="74"/>
    </w:p>
    <w:p w14:paraId="204413F2" w14:textId="0D1D2303" w:rsidR="00D53823" w:rsidRPr="002F6279" w:rsidRDefault="00D53823" w:rsidP="00D53823">
      <w:pPr>
        <w:spacing w:line="260" w:lineRule="atLeast"/>
        <w:jc w:val="both"/>
        <w:rPr>
          <w:rFonts w:eastAsia="Calibri" w:cs="Times New Roman"/>
          <w:iCs/>
          <w:lang w:eastAsia="en-US"/>
        </w:rPr>
      </w:pPr>
      <w:r w:rsidRPr="002F6279">
        <w:rPr>
          <w:rFonts w:eastAsia="Calibri" w:cs="Times New Roman"/>
          <w:iCs/>
          <w:lang w:eastAsia="en-US"/>
        </w:rPr>
        <w:t>ALGOFILM product is a PT3 disinfectant (disinfection for veterinary hygiene) containing 2 active substances: free iodine released from PVPI (Polyvinylpyrrolidone iodine</w:t>
      </w:r>
      <w:r w:rsidRPr="002F6279" w:rsidDel="007F3EE5">
        <w:rPr>
          <w:rFonts w:eastAsia="Calibri" w:cs="Times New Roman"/>
          <w:iCs/>
          <w:lang w:eastAsia="en-US"/>
        </w:rPr>
        <w:t>)</w:t>
      </w:r>
      <w:r w:rsidRPr="002F6279">
        <w:rPr>
          <w:rFonts w:eastAsia="Calibri" w:cs="Times New Roman"/>
          <w:iCs/>
          <w:lang w:eastAsia="en-US"/>
        </w:rPr>
        <w:t>, and L(+) Lactic acid. ALGOFILM product is applied by professionals for teat disinfection</w:t>
      </w:r>
      <w:r w:rsidR="007F3EE5">
        <w:rPr>
          <w:rFonts w:eastAsia="Calibri" w:cs="Times New Roman"/>
          <w:iCs/>
          <w:lang w:eastAsia="en-US"/>
        </w:rPr>
        <w:t xml:space="preserve"> </w:t>
      </w:r>
      <w:r w:rsidRPr="002F6279">
        <w:rPr>
          <w:rFonts w:eastAsia="Calibri" w:cs="Times New Roman"/>
          <w:iCs/>
          <w:lang w:eastAsia="en-US"/>
        </w:rPr>
        <w:t xml:space="preserve">after milking. The data on active substances are provided by the assessment report of Iodine (including PVP-iodine) for PT1, 3, 4, </w:t>
      </w:r>
      <w:r w:rsidRPr="002F6279">
        <w:rPr>
          <w:rFonts w:eastAsia="Calibri" w:cs="Times New Roman"/>
          <w:iCs/>
          <w:lang w:eastAsia="en-US"/>
        </w:rPr>
        <w:lastRenderedPageBreak/>
        <w:t xml:space="preserve">22 (Regulation (EU) No 528/2012 concerning the making available on the market and use of biocidal products, Assessment Report Iodine (including PVP-iodine) for PT1, 3, 4, 22, December 2013) and assessment report of L(+) Lactic acid for PT2, 3, 4 (Regulation (EU) No 528/2012 concerning the making available on the market and use of biocidal products, Assessment Report L(+) Lactic acid Product-type 2, 3 and 4, June 2017). The available ecotoxicological information and e-fate data are used for risk assessment for the environment. </w:t>
      </w:r>
    </w:p>
    <w:p w14:paraId="6EBDFD69" w14:textId="77777777" w:rsidR="00D53823" w:rsidRPr="002F6279" w:rsidRDefault="00D53823" w:rsidP="00D53823">
      <w:pPr>
        <w:spacing w:line="260" w:lineRule="atLeast"/>
        <w:jc w:val="both"/>
        <w:rPr>
          <w:rFonts w:eastAsia="Calibri" w:cs="Times New Roman"/>
          <w:iCs/>
          <w:lang w:eastAsia="en-US"/>
        </w:rPr>
      </w:pPr>
    </w:p>
    <w:p w14:paraId="39D6F028" w14:textId="0A6DF717" w:rsidR="009D0C0B" w:rsidRDefault="00D53823">
      <w:pPr>
        <w:spacing w:line="260" w:lineRule="atLeast"/>
        <w:rPr>
          <w:rFonts w:eastAsia="Calibri"/>
          <w:lang w:eastAsia="en-US"/>
        </w:rPr>
      </w:pPr>
      <w:r w:rsidRPr="002F6279">
        <w:rPr>
          <w:rFonts w:eastAsia="Calibri" w:cs="Times New Roman"/>
          <w:iCs/>
          <w:lang w:eastAsia="en-US"/>
        </w:rPr>
        <w:t>Details about the non-classification of co-formulants as substance of concern (SoC) can be found in the confidential PAR.</w:t>
      </w:r>
    </w:p>
    <w:p w14:paraId="05C80C58" w14:textId="77777777" w:rsidR="009D0C0B" w:rsidRDefault="00FA480B">
      <w:pPr>
        <w:pStyle w:val="Titre4"/>
        <w:rPr>
          <w:rFonts w:ascii="Times New Roman" w:hAnsi="Times New Roman" w:cs="Times New Roman"/>
          <w:i/>
          <w:iCs/>
          <w:lang w:eastAsia="en-US"/>
        </w:rPr>
      </w:pPr>
      <w:bookmarkStart w:id="75" w:name="_Toc74732495"/>
      <w:r>
        <w:t>Effects assessment on the environment</w:t>
      </w:r>
      <w:bookmarkEnd w:id="75"/>
    </w:p>
    <w:p w14:paraId="668E4F54" w14:textId="77777777" w:rsidR="009D0C0B" w:rsidRDefault="009D0C0B">
      <w:pPr>
        <w:spacing w:line="260" w:lineRule="atLeast"/>
        <w:contextualSpacing/>
        <w:jc w:val="both"/>
        <w:rPr>
          <w:rFonts w:ascii="Times New Roman" w:eastAsia="Calibri" w:hAnsi="Times New Roman" w:cs="Times New Roman"/>
          <w:i/>
          <w:iCs/>
          <w:lang w:eastAsia="en-US"/>
        </w:rPr>
      </w:pPr>
    </w:p>
    <w:p w14:paraId="363AA937" w14:textId="644FA1BF" w:rsidR="00D53823" w:rsidRDefault="00D53823" w:rsidP="00D53823">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037A7B8D" w14:textId="77777777" w:rsidR="00D53823" w:rsidRDefault="00D53823" w:rsidP="00D53823">
      <w:pPr>
        <w:rPr>
          <w:rFonts w:eastAsia="Calibri"/>
          <w:b/>
          <w:i/>
          <w:sz w:val="22"/>
          <w:szCs w:val="22"/>
          <w:lang w:eastAsia="en-US"/>
        </w:rPr>
      </w:pPr>
    </w:p>
    <w:p w14:paraId="0CE2782A" w14:textId="6616A996" w:rsidR="00D53823" w:rsidRDefault="00D53823" w:rsidP="00D53823">
      <w:pPr>
        <w:jc w:val="both"/>
        <w:rPr>
          <w:rFonts w:eastAsia="Calibri"/>
          <w:lang w:eastAsia="en-US"/>
        </w:rPr>
      </w:pPr>
      <w:r w:rsidRPr="008D46F8">
        <w:rPr>
          <w:rFonts w:eastAsia="Calibri"/>
          <w:lang w:eastAsia="en-US"/>
        </w:rPr>
        <w:t xml:space="preserve">No new environmental studies have been carried out with the </w:t>
      </w:r>
      <w:r>
        <w:rPr>
          <w:rFonts w:eastAsia="Calibri"/>
          <w:lang w:eastAsia="en-US"/>
        </w:rPr>
        <w:t>ALGOFILM product</w:t>
      </w:r>
      <w:r w:rsidRPr="008D46F8">
        <w:rPr>
          <w:rFonts w:eastAsia="Calibri"/>
          <w:lang w:eastAsia="en-US"/>
        </w:rPr>
        <w:t xml:space="preserve">. </w:t>
      </w:r>
      <w:r w:rsidR="006544F1">
        <w:rPr>
          <w:rFonts w:eastAsia="Calibri"/>
          <w:lang w:eastAsia="en-US"/>
        </w:rPr>
        <w:t xml:space="preserve">No substance of concern is defined for the environment. </w:t>
      </w:r>
      <w:r w:rsidRPr="008D46F8">
        <w:rPr>
          <w:rFonts w:eastAsia="Calibri"/>
          <w:lang w:eastAsia="en-US"/>
        </w:rPr>
        <w:t>All data pertaining to the active substance</w:t>
      </w:r>
      <w:r>
        <w:rPr>
          <w:rFonts w:eastAsia="Calibri"/>
          <w:lang w:eastAsia="en-US"/>
        </w:rPr>
        <w:t>s</w:t>
      </w:r>
      <w:r w:rsidRPr="008D46F8">
        <w:rPr>
          <w:rFonts w:eastAsia="Calibri"/>
          <w:lang w:eastAsia="en-US"/>
        </w:rPr>
        <w:t xml:space="preserve"> </w:t>
      </w:r>
      <w:r>
        <w:rPr>
          <w:rFonts w:eastAsia="Calibri"/>
          <w:lang w:eastAsia="en-US"/>
        </w:rPr>
        <w:t>are</w:t>
      </w:r>
      <w:r w:rsidRPr="008D46F8">
        <w:rPr>
          <w:rFonts w:eastAsia="Calibri"/>
          <w:lang w:eastAsia="en-US"/>
        </w:rPr>
        <w:t xml:space="preserve"> therefore derived from the</w:t>
      </w:r>
      <w:r w:rsidRPr="00513B20">
        <w:t xml:space="preserve"> </w:t>
      </w:r>
      <w:r w:rsidRPr="00513B20">
        <w:rPr>
          <w:rFonts w:eastAsia="Calibri"/>
          <w:lang w:eastAsia="en-US"/>
        </w:rPr>
        <w:t xml:space="preserve">Iodine (including PVP-iodine) </w:t>
      </w:r>
      <w:r>
        <w:rPr>
          <w:rFonts w:eastAsia="Calibri"/>
          <w:lang w:eastAsia="en-US"/>
        </w:rPr>
        <w:t>assessment report (</w:t>
      </w:r>
      <w:r w:rsidRPr="00513B20">
        <w:rPr>
          <w:rFonts w:eastAsia="Calibri"/>
          <w:lang w:eastAsia="en-US"/>
        </w:rPr>
        <w:t>PT1, 3, 4, 22</w:t>
      </w:r>
      <w:r>
        <w:rPr>
          <w:rFonts w:eastAsia="Calibri"/>
          <w:lang w:eastAsia="en-US"/>
        </w:rPr>
        <w:t>, December 2013) and the</w:t>
      </w:r>
      <w:r w:rsidRPr="00513B20">
        <w:rPr>
          <w:rFonts w:eastAsia="Calibri"/>
          <w:lang w:eastAsia="en-US"/>
        </w:rPr>
        <w:t xml:space="preserve"> </w:t>
      </w:r>
      <w:r w:rsidRPr="00B9230B">
        <w:rPr>
          <w:rFonts w:eastAsia="Calibri"/>
          <w:lang w:eastAsia="en-US"/>
        </w:rPr>
        <w:t>L(+) Lactic acid</w:t>
      </w:r>
      <w:r w:rsidRPr="008D46F8">
        <w:rPr>
          <w:rFonts w:eastAsia="Calibri"/>
          <w:lang w:eastAsia="en-US"/>
        </w:rPr>
        <w:t xml:space="preserve"> assessment report</w:t>
      </w:r>
      <w:r>
        <w:rPr>
          <w:rFonts w:eastAsia="Calibri"/>
          <w:lang w:eastAsia="en-US"/>
        </w:rPr>
        <w:t xml:space="preserve"> (PT2, 3, 4, June 2017)</w:t>
      </w:r>
      <w:r w:rsidRPr="006C2ABA">
        <w:rPr>
          <w:rFonts w:eastAsia="Calibri"/>
          <w:lang w:eastAsia="en-US"/>
        </w:rPr>
        <w:t xml:space="preserve">. </w:t>
      </w:r>
    </w:p>
    <w:p w14:paraId="67288F9D" w14:textId="77777777" w:rsidR="00D53823" w:rsidRDefault="00D53823" w:rsidP="00D53823">
      <w:pPr>
        <w:jc w:val="both"/>
        <w:rPr>
          <w:rFonts w:eastAsia="Calibri"/>
          <w:lang w:eastAsia="en-US"/>
        </w:rPr>
      </w:pPr>
    </w:p>
    <w:p w14:paraId="5B466643" w14:textId="203EEDCC" w:rsidR="00865129" w:rsidRDefault="005A3864" w:rsidP="00865129">
      <w:pPr>
        <w:jc w:val="both"/>
        <w:rPr>
          <w:rFonts w:eastAsia="Calibri"/>
          <w:lang w:eastAsia="en-US"/>
        </w:rPr>
      </w:pPr>
      <w:r>
        <w:rPr>
          <w:rFonts w:eastAsia="Calibri"/>
          <w:lang w:eastAsia="en-US"/>
        </w:rPr>
        <w:t>Lactic acid is not classified for the environment. Concerning iodine, c</w:t>
      </w:r>
      <w:r w:rsidR="00865129" w:rsidRPr="0038186C">
        <w:rPr>
          <w:rFonts w:eastAsia="Calibri"/>
          <w:lang w:eastAsia="en-US"/>
        </w:rPr>
        <w:t xml:space="preserve">lassification was based on the total iodine contents in the product. Iodine is currently classified as H400 (harmonised classification). Chronic classification </w:t>
      </w:r>
      <w:r w:rsidR="00865129">
        <w:rPr>
          <w:rFonts w:eastAsia="Calibri"/>
          <w:lang w:eastAsia="en-US"/>
        </w:rPr>
        <w:t>is not harmonised and i</w:t>
      </w:r>
      <w:r w:rsidR="00865129" w:rsidRPr="00C558F1">
        <w:rPr>
          <w:rFonts w:eastAsia="Calibri"/>
          <w:lang w:eastAsia="en-US"/>
        </w:rPr>
        <w:t>n absence of chronic endpoints</w:t>
      </w:r>
      <w:r w:rsidR="00314F4F">
        <w:rPr>
          <w:rFonts w:eastAsia="Calibri"/>
          <w:lang w:eastAsia="en-US"/>
        </w:rPr>
        <w:t>;</w:t>
      </w:r>
      <w:r w:rsidR="00865129" w:rsidRPr="00C558F1">
        <w:rPr>
          <w:rFonts w:eastAsia="Calibri"/>
          <w:lang w:eastAsia="en-US"/>
        </w:rPr>
        <w:t xml:space="preserve"> </w:t>
      </w:r>
      <w:r w:rsidR="00865129">
        <w:rPr>
          <w:rFonts w:eastAsia="Calibri"/>
          <w:lang w:eastAsia="en-US"/>
        </w:rPr>
        <w:t xml:space="preserve">it was agreed at WGII2018 that </w:t>
      </w:r>
      <w:r w:rsidR="00865129" w:rsidRPr="00C558F1">
        <w:rPr>
          <w:rFonts w:eastAsia="Calibri"/>
          <w:lang w:eastAsia="en-US"/>
        </w:rPr>
        <w:t xml:space="preserve">iodine is classified as Aquatic Chronic 1 </w:t>
      </w:r>
      <w:r w:rsidR="00865129">
        <w:rPr>
          <w:rFonts w:eastAsia="Calibri"/>
          <w:lang w:eastAsia="en-US"/>
        </w:rPr>
        <w:t>H410</w:t>
      </w:r>
      <w:r w:rsidR="00865129" w:rsidRPr="00C558F1">
        <w:rPr>
          <w:rFonts w:eastAsia="Calibri"/>
          <w:lang w:eastAsia="en-US"/>
        </w:rPr>
        <w:t xml:space="preserve"> (M =1). </w:t>
      </w:r>
      <w:r w:rsidR="006544F1">
        <w:rPr>
          <w:rFonts w:eastAsia="Calibri"/>
          <w:lang w:eastAsia="en-US"/>
        </w:rPr>
        <w:t>Considering an iodine concentration between 0.081 and 0.108% in the product, this do</w:t>
      </w:r>
      <w:r w:rsidR="002B1A2D">
        <w:rPr>
          <w:rFonts w:eastAsia="Calibri"/>
          <w:lang w:eastAsia="en-US"/>
        </w:rPr>
        <w:t xml:space="preserve">es </w:t>
      </w:r>
      <w:r w:rsidR="006544F1">
        <w:rPr>
          <w:rFonts w:eastAsia="Calibri"/>
          <w:lang w:eastAsia="en-US"/>
        </w:rPr>
        <w:t>n</w:t>
      </w:r>
      <w:r w:rsidR="002B1A2D">
        <w:rPr>
          <w:rFonts w:eastAsia="Calibri"/>
          <w:lang w:eastAsia="en-US"/>
        </w:rPr>
        <w:t>o</w:t>
      </w:r>
      <w:r w:rsidR="006544F1">
        <w:rPr>
          <w:rFonts w:eastAsia="Calibri"/>
          <w:lang w:eastAsia="en-US"/>
        </w:rPr>
        <w:t>t lead to any classification.</w:t>
      </w:r>
    </w:p>
    <w:p w14:paraId="021E66E0" w14:textId="773E9F8E" w:rsidR="00D53823" w:rsidRDefault="00D53823" w:rsidP="00D53823">
      <w:pPr>
        <w:jc w:val="both"/>
        <w:rPr>
          <w:rFonts w:eastAsia="Calibri"/>
          <w:lang w:eastAsia="en-US"/>
        </w:rPr>
      </w:pPr>
    </w:p>
    <w:p w14:paraId="635D4A02" w14:textId="77777777" w:rsidR="00D53823" w:rsidRDefault="00D53823" w:rsidP="00D53823">
      <w:pPr>
        <w:jc w:val="both"/>
        <w:rPr>
          <w:rFonts w:eastAsia="Calibri"/>
          <w:lang w:eastAsia="en-US"/>
        </w:rPr>
      </w:pPr>
      <w:r>
        <w:rPr>
          <w:rFonts w:eastAsia="Calibri"/>
          <w:lang w:eastAsia="en-US"/>
        </w:rPr>
        <w:t>The product is not classified for the environment.</w:t>
      </w:r>
    </w:p>
    <w:p w14:paraId="0CED1622" w14:textId="77777777" w:rsidR="00D53823" w:rsidRDefault="00D53823" w:rsidP="00D53823">
      <w:pPr>
        <w:spacing w:line="260" w:lineRule="atLeast"/>
        <w:rPr>
          <w:rFonts w:eastAsia="Calibri"/>
          <w:lang w:eastAsia="en-US"/>
        </w:rPr>
      </w:pPr>
    </w:p>
    <w:p w14:paraId="7E76D3F0" w14:textId="77777777" w:rsidR="00D53823" w:rsidRDefault="00D53823" w:rsidP="00D53823">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2FADAA3B" w14:textId="77777777" w:rsidR="00D53823" w:rsidRDefault="00D53823" w:rsidP="00D53823">
      <w:pPr>
        <w:spacing w:line="260" w:lineRule="atLeast"/>
        <w:rPr>
          <w:rFonts w:ascii="Times New Roman" w:eastAsia="Calibri" w:hAnsi="Times New Roman" w:cs="Times New Roman"/>
          <w:b/>
          <w:i/>
          <w:iCs/>
          <w:sz w:val="22"/>
          <w:szCs w:val="22"/>
          <w:lang w:eastAsia="en-US"/>
        </w:rPr>
      </w:pPr>
    </w:p>
    <w:p w14:paraId="34685FA4" w14:textId="77777777" w:rsidR="00D53823" w:rsidRDefault="00D53823" w:rsidP="00D53823">
      <w:pPr>
        <w:rPr>
          <w:rFonts w:ascii="Times New Roman" w:eastAsia="Calibri" w:hAnsi="Times New Roman" w:cs="Times New Roman"/>
          <w:i/>
          <w:iCs/>
          <w:lang w:eastAsia="en-US"/>
        </w:rPr>
      </w:pPr>
      <w:r>
        <w:rPr>
          <w:rFonts w:eastAsia="Calibri" w:cs="Times New Roman"/>
          <w:iCs/>
          <w:lang w:eastAsia="en-US"/>
        </w:rPr>
        <w:t>No new data is available</w:t>
      </w:r>
      <w:r w:rsidDel="00770DE4">
        <w:rPr>
          <w:rFonts w:ascii="Times New Roman" w:eastAsia="Calibri" w:hAnsi="Times New Roman" w:cs="Times New Roman"/>
          <w:i/>
          <w:iCs/>
          <w:lang w:eastAsia="en-US"/>
        </w:rPr>
        <w:t xml:space="preserve"> </w:t>
      </w:r>
    </w:p>
    <w:p w14:paraId="2329F7FD" w14:textId="77777777" w:rsidR="00D53823" w:rsidRDefault="00D53823" w:rsidP="00D53823">
      <w:pPr>
        <w:rPr>
          <w:rFonts w:ascii="Times New Roman" w:eastAsia="Calibri" w:hAnsi="Times New Roman" w:cs="Times New Roman"/>
          <w:i/>
          <w:iCs/>
          <w:lang w:eastAsia="en-US"/>
        </w:rPr>
      </w:pPr>
    </w:p>
    <w:p w14:paraId="1C1B5D7C" w14:textId="77777777" w:rsidR="00D53823" w:rsidRDefault="00D53823" w:rsidP="00D53823">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60DE16D7" w14:textId="77777777" w:rsidR="00D53823" w:rsidRDefault="00D53823" w:rsidP="00D53823">
      <w:pPr>
        <w:spacing w:line="260" w:lineRule="atLeast"/>
        <w:rPr>
          <w:rFonts w:ascii="Times New Roman" w:eastAsia="Calibri" w:hAnsi="Times New Roman" w:cs="Times New Roman"/>
          <w:b/>
          <w:i/>
          <w:iCs/>
          <w:sz w:val="22"/>
          <w:szCs w:val="22"/>
          <w:lang w:eastAsia="en-US"/>
        </w:rPr>
      </w:pPr>
    </w:p>
    <w:p w14:paraId="431F2A2B" w14:textId="77777777" w:rsidR="00D53823" w:rsidRPr="007F51E0" w:rsidRDefault="00D53823" w:rsidP="00D53823">
      <w:pPr>
        <w:spacing w:line="260" w:lineRule="atLeast"/>
        <w:rPr>
          <w:rFonts w:ascii="Times New Roman" w:eastAsia="Calibri" w:hAnsi="Times New Roman" w:cs="Times New Roman"/>
          <w:i/>
          <w:iCs/>
          <w:lang w:val="en-US" w:eastAsia="en-US"/>
        </w:rPr>
      </w:pPr>
      <w:r>
        <w:rPr>
          <w:rFonts w:eastAsia="Calibri" w:cs="Times New Roman"/>
          <w:iCs/>
          <w:lang w:eastAsia="en-US"/>
        </w:rPr>
        <w:t>No new data is available</w:t>
      </w:r>
      <w:r w:rsidRPr="007F51E0" w:rsidDel="003440F1">
        <w:rPr>
          <w:rFonts w:ascii="Times New Roman" w:eastAsia="Calibri" w:hAnsi="Times New Roman" w:cs="Times New Roman"/>
          <w:i/>
          <w:iCs/>
          <w:lang w:val="en-US" w:eastAsia="en-US"/>
        </w:rPr>
        <w:t xml:space="preserve"> </w:t>
      </w:r>
    </w:p>
    <w:p w14:paraId="1DA19B53" w14:textId="77777777" w:rsidR="00D53823" w:rsidRDefault="00D53823" w:rsidP="00D53823">
      <w:pPr>
        <w:jc w:val="both"/>
        <w:rPr>
          <w:rFonts w:eastAsia="Calibri"/>
          <w:b/>
          <w:i/>
          <w:sz w:val="22"/>
          <w:szCs w:val="22"/>
          <w:lang w:eastAsia="en-US"/>
        </w:rPr>
      </w:pPr>
    </w:p>
    <w:p w14:paraId="5BD0819D" w14:textId="77777777" w:rsidR="00D53823" w:rsidRDefault="00D53823" w:rsidP="00D53823">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6909424B" w14:textId="77777777" w:rsidR="00D53823" w:rsidRDefault="00D53823" w:rsidP="00D53823">
      <w:pPr>
        <w:spacing w:line="260" w:lineRule="atLeast"/>
        <w:rPr>
          <w:rFonts w:ascii="Times New Roman" w:eastAsia="Calibri" w:hAnsi="Times New Roman" w:cs="Times New Roman"/>
          <w:b/>
          <w:i/>
          <w:iCs/>
          <w:sz w:val="22"/>
          <w:szCs w:val="22"/>
          <w:lang w:eastAsia="en-US"/>
        </w:rPr>
      </w:pPr>
    </w:p>
    <w:p w14:paraId="2341246B" w14:textId="77777777" w:rsidR="00D53823" w:rsidRPr="007F51E0" w:rsidRDefault="00D53823" w:rsidP="00D53823">
      <w:pPr>
        <w:spacing w:line="260" w:lineRule="atLeast"/>
        <w:rPr>
          <w:rFonts w:ascii="Times New Roman" w:eastAsia="Calibri" w:hAnsi="Times New Roman" w:cs="Times New Roman"/>
          <w:i/>
          <w:iCs/>
          <w:lang w:val="en-US" w:eastAsia="en-US"/>
        </w:rPr>
      </w:pPr>
      <w:r>
        <w:rPr>
          <w:rFonts w:eastAsia="Calibri" w:cs="Times New Roman"/>
          <w:iCs/>
          <w:lang w:eastAsia="en-US"/>
        </w:rPr>
        <w:t>No new data is available</w:t>
      </w:r>
      <w:r w:rsidRPr="007F51E0" w:rsidDel="003440F1">
        <w:rPr>
          <w:rFonts w:ascii="Times New Roman" w:eastAsia="Calibri" w:hAnsi="Times New Roman" w:cs="Times New Roman"/>
          <w:i/>
          <w:iCs/>
          <w:lang w:val="en-US" w:eastAsia="en-US"/>
        </w:rPr>
        <w:t xml:space="preserve"> </w:t>
      </w:r>
    </w:p>
    <w:p w14:paraId="151EE94D" w14:textId="77777777" w:rsidR="00D53823" w:rsidRDefault="00D53823" w:rsidP="00D53823">
      <w:pPr>
        <w:jc w:val="both"/>
        <w:rPr>
          <w:rFonts w:eastAsia="Calibri"/>
          <w:b/>
          <w:i/>
          <w:sz w:val="22"/>
          <w:szCs w:val="22"/>
          <w:lang w:eastAsia="en-US"/>
        </w:rPr>
      </w:pPr>
    </w:p>
    <w:p w14:paraId="5DE8ECF0" w14:textId="77777777" w:rsidR="00D53823" w:rsidRDefault="00D53823" w:rsidP="00D53823">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4BD69558" w14:textId="77777777" w:rsidR="00D53823" w:rsidRDefault="00D53823" w:rsidP="00D53823">
      <w:pPr>
        <w:rPr>
          <w:rFonts w:eastAsia="Calibri"/>
          <w:b/>
          <w:i/>
          <w:sz w:val="22"/>
          <w:szCs w:val="22"/>
          <w:lang w:eastAsia="en-US"/>
        </w:rPr>
      </w:pPr>
    </w:p>
    <w:p w14:paraId="022C28DD" w14:textId="77777777" w:rsidR="00D53823" w:rsidRPr="007F51E0" w:rsidRDefault="00D53823" w:rsidP="00D53823">
      <w:pPr>
        <w:spacing w:line="260" w:lineRule="atLeast"/>
        <w:rPr>
          <w:rFonts w:ascii="Times New Roman" w:eastAsia="Calibri" w:hAnsi="Times New Roman" w:cs="Times New Roman"/>
          <w:i/>
          <w:iCs/>
          <w:lang w:val="en-US" w:eastAsia="en-US"/>
        </w:rPr>
      </w:pPr>
      <w:r>
        <w:rPr>
          <w:rFonts w:eastAsia="Calibri" w:cs="Times New Roman"/>
          <w:iCs/>
          <w:lang w:eastAsia="en-US"/>
        </w:rPr>
        <w:t>No new data is available</w:t>
      </w:r>
      <w:r w:rsidRPr="007F51E0" w:rsidDel="003440F1">
        <w:rPr>
          <w:rFonts w:ascii="Times New Roman" w:eastAsia="Calibri" w:hAnsi="Times New Roman" w:cs="Times New Roman"/>
          <w:i/>
          <w:iCs/>
          <w:lang w:val="en-US" w:eastAsia="en-US"/>
        </w:rPr>
        <w:t xml:space="preserve"> </w:t>
      </w:r>
    </w:p>
    <w:p w14:paraId="73285C3B" w14:textId="77777777" w:rsidR="00D53823" w:rsidRDefault="00D53823" w:rsidP="00D53823">
      <w:pPr>
        <w:spacing w:line="260" w:lineRule="atLeast"/>
        <w:rPr>
          <w:rFonts w:ascii="Times New Roman" w:eastAsia="Calibri" w:hAnsi="Times New Roman" w:cs="Times New Roman"/>
          <w:i/>
          <w:iCs/>
          <w:lang w:eastAsia="en-US"/>
        </w:rPr>
      </w:pPr>
    </w:p>
    <w:p w14:paraId="6E673B3E" w14:textId="77777777" w:rsidR="00D53823" w:rsidRDefault="00D53823" w:rsidP="00D53823">
      <w:pPr>
        <w:spacing w:line="260" w:lineRule="atLeast"/>
        <w:rPr>
          <w:rFonts w:ascii="Times New Roman" w:eastAsia="Calibri" w:hAnsi="Times New Roman" w:cs="Times New Roman"/>
          <w:i/>
          <w:iCs/>
          <w:lang w:eastAsia="en-US"/>
        </w:rPr>
      </w:pPr>
    </w:p>
    <w:p w14:paraId="0958BB61" w14:textId="77777777" w:rsidR="00D53823" w:rsidRDefault="00D53823" w:rsidP="00D53823">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2C192379" w14:textId="77777777" w:rsidR="00D53823" w:rsidRDefault="00D53823" w:rsidP="00D53823">
      <w:pPr>
        <w:spacing w:line="260" w:lineRule="atLeast"/>
        <w:rPr>
          <w:rFonts w:eastAsia="Calibri"/>
          <w:b/>
          <w:i/>
          <w:sz w:val="22"/>
          <w:szCs w:val="22"/>
          <w:lang w:eastAsia="en-US"/>
        </w:rPr>
      </w:pPr>
    </w:p>
    <w:p w14:paraId="5B72AB60" w14:textId="77777777" w:rsidR="00D53823" w:rsidRDefault="00D53823" w:rsidP="00D53823">
      <w:pPr>
        <w:spacing w:line="260" w:lineRule="atLeast"/>
        <w:rPr>
          <w:rFonts w:ascii="Times New Roman" w:eastAsia="Calibri" w:hAnsi="Times New Roman" w:cs="Times New Roman"/>
          <w:i/>
          <w:iCs/>
          <w:lang w:eastAsia="en-US"/>
        </w:rPr>
      </w:pPr>
      <w:r>
        <w:rPr>
          <w:rFonts w:eastAsia="Calibri" w:cs="Times New Roman"/>
          <w:iCs/>
          <w:lang w:eastAsia="en-US"/>
        </w:rPr>
        <w:lastRenderedPageBreak/>
        <w:t>No new data is available</w:t>
      </w:r>
      <w:r w:rsidDel="00513B20">
        <w:rPr>
          <w:rFonts w:ascii="Times New Roman" w:eastAsia="Calibri" w:hAnsi="Times New Roman" w:cs="Times New Roman"/>
          <w:i/>
          <w:iCs/>
          <w:lang w:eastAsia="en-US"/>
        </w:rPr>
        <w:t xml:space="preserve"> </w:t>
      </w:r>
    </w:p>
    <w:p w14:paraId="59257A95" w14:textId="77777777" w:rsidR="00D53823" w:rsidRDefault="00D53823" w:rsidP="00D53823">
      <w:pPr>
        <w:spacing w:line="260" w:lineRule="atLeast"/>
        <w:rPr>
          <w:rFonts w:eastAsia="Calibri"/>
          <w:lang w:eastAsia="en-US"/>
        </w:rPr>
      </w:pPr>
    </w:p>
    <w:p w14:paraId="0DDC97E0" w14:textId="77777777" w:rsidR="00D53823" w:rsidRDefault="00D53823" w:rsidP="00D53823">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62BB1582" w14:textId="77777777" w:rsidR="00D53823" w:rsidRDefault="00D53823" w:rsidP="00D53823">
      <w:pPr>
        <w:spacing w:line="260" w:lineRule="atLeast"/>
        <w:rPr>
          <w:rFonts w:ascii="Times New Roman" w:eastAsia="Calibri" w:hAnsi="Times New Roman" w:cs="Times New Roman"/>
          <w:b/>
          <w:i/>
          <w:iCs/>
          <w:sz w:val="22"/>
          <w:szCs w:val="22"/>
          <w:lang w:eastAsia="en-US"/>
        </w:rPr>
      </w:pPr>
    </w:p>
    <w:p w14:paraId="3E3511B7" w14:textId="77777777" w:rsidR="00D53823" w:rsidRDefault="00D53823" w:rsidP="00D53823">
      <w:pPr>
        <w:spacing w:before="60" w:line="276" w:lineRule="auto"/>
        <w:jc w:val="both"/>
        <w:rPr>
          <w:rFonts w:eastAsia="Calibri" w:cs="Times New Roman"/>
          <w:iCs/>
          <w:lang w:eastAsia="en-US"/>
        </w:rPr>
      </w:pPr>
      <w:r>
        <w:rPr>
          <w:rFonts w:eastAsia="Calibri" w:cs="Times New Roman"/>
          <w:iCs/>
          <w:lang w:eastAsia="en-US"/>
        </w:rPr>
        <w:t>Please refer to the exposure assessment below.</w:t>
      </w:r>
    </w:p>
    <w:p w14:paraId="14F56C21" w14:textId="77777777" w:rsidR="00D53823" w:rsidRDefault="00D53823" w:rsidP="00D53823">
      <w:pPr>
        <w:spacing w:before="60" w:line="276" w:lineRule="auto"/>
        <w:ind w:left="142"/>
        <w:rPr>
          <w:rFonts w:ascii="Times New Roman" w:eastAsia="Calibri" w:hAnsi="Times New Roman" w:cs="Times New Roman"/>
          <w:i/>
          <w:iCs/>
          <w:lang w:eastAsia="en-US"/>
        </w:rPr>
      </w:pPr>
    </w:p>
    <w:p w14:paraId="2641EEE1" w14:textId="77777777" w:rsidR="00D53823" w:rsidRDefault="00D53823" w:rsidP="00D53823">
      <w:pPr>
        <w:rPr>
          <w:rFonts w:eastAsia="Calibri"/>
          <w:b/>
          <w:i/>
          <w:sz w:val="22"/>
          <w:szCs w:val="22"/>
          <w:lang w:eastAsia="en-US"/>
        </w:rPr>
      </w:pPr>
      <w:r>
        <w:rPr>
          <w:rFonts w:eastAsia="Calibri"/>
          <w:b/>
          <w:i/>
          <w:sz w:val="22"/>
          <w:szCs w:val="22"/>
          <w:lang w:eastAsia="en-US"/>
        </w:rPr>
        <w:t>Further studies on fate and behaviour in the environment (ADS)</w:t>
      </w:r>
    </w:p>
    <w:p w14:paraId="4A75ECC1" w14:textId="77777777" w:rsidR="00D53823" w:rsidRDefault="00D53823" w:rsidP="00D53823">
      <w:pPr>
        <w:spacing w:line="260" w:lineRule="atLeast"/>
        <w:rPr>
          <w:rFonts w:eastAsia="Calibri"/>
          <w:b/>
          <w:i/>
          <w:sz w:val="22"/>
          <w:szCs w:val="22"/>
          <w:lang w:eastAsia="en-US"/>
        </w:rPr>
      </w:pPr>
    </w:p>
    <w:p w14:paraId="290878BD" w14:textId="08FC9DEE" w:rsidR="00D53823" w:rsidRDefault="00D53823" w:rsidP="00D53823">
      <w:pPr>
        <w:spacing w:line="260" w:lineRule="atLeast"/>
        <w:jc w:val="both"/>
        <w:rPr>
          <w:rFonts w:eastAsia="Calibri" w:cs="Times New Roman"/>
          <w:iCs/>
          <w:lang w:eastAsia="en-US"/>
        </w:rPr>
      </w:pPr>
      <w:r>
        <w:rPr>
          <w:rFonts w:eastAsia="Calibri" w:cs="Times New Roman"/>
          <w:iCs/>
          <w:lang w:eastAsia="en-US"/>
        </w:rPr>
        <w:t xml:space="preserve">At WGII2020, it was stated that </w:t>
      </w:r>
      <w:r w:rsidRPr="001E28FC">
        <w:rPr>
          <w:rFonts w:eastAsia="Calibri" w:cs="Times New Roman"/>
          <w:iCs/>
          <w:lang w:eastAsia="en-US"/>
        </w:rPr>
        <w:t xml:space="preserve">Lactic acid is a naturally occurring simple organic acid found in plants, animals and humans. It is an endogenous metabolite in many organisms, a common naturally occurring food constituent and also a growth regulator intended to increase nut and fruit set. Furthermore, the environment is exposed to Lactic acid via the excretion of faeces and urine by humans (and their subsequent release from the STPs), as well as the direct disposal of excreta by other mammals. In soils, L(+) </w:t>
      </w:r>
      <w:r>
        <w:rPr>
          <w:rFonts w:eastAsia="Calibri" w:cs="Times New Roman"/>
          <w:iCs/>
          <w:lang w:eastAsia="en-US"/>
        </w:rPr>
        <w:t>L</w:t>
      </w:r>
      <w:r w:rsidRPr="001E28FC">
        <w:rPr>
          <w:rFonts w:eastAsia="Calibri" w:cs="Times New Roman"/>
          <w:iCs/>
          <w:lang w:eastAsia="en-US"/>
        </w:rPr>
        <w:t>actic acid naturally occurs as a fermentation by-product of anaerobic degradation of organic matter. This substance may covalent bind with organic material in sewage sludge, manure, and soils. In microorganisms, lactate formation is one of the usual pathways for NAD+ regeneration and when formed, lactate can be further metabolized through the pathway of pyruvate metabolism. As lactate is metabolized by microorganisms, its degradation in the environment is rapid. It should also be noted that biodegradation during storage of sludge as well as transformation and dilution in deeper soil layers is not</w:t>
      </w:r>
      <w:r>
        <w:rPr>
          <w:rFonts w:eastAsia="Calibri" w:cs="Times New Roman"/>
          <w:iCs/>
          <w:lang w:eastAsia="en-US"/>
        </w:rPr>
        <w:t xml:space="preserve"> </w:t>
      </w:r>
      <w:r w:rsidRPr="001E28FC">
        <w:rPr>
          <w:rFonts w:eastAsia="Calibri" w:cs="Times New Roman"/>
          <w:iCs/>
          <w:lang w:eastAsia="en-US"/>
        </w:rPr>
        <w:t>taken into account in soil concentration calculations – and thus in subseq</w:t>
      </w:r>
      <w:r>
        <w:rPr>
          <w:rFonts w:eastAsia="Calibri" w:cs="Times New Roman"/>
          <w:iCs/>
          <w:lang w:eastAsia="en-US"/>
        </w:rPr>
        <w:t>uent groundwater concentrations</w:t>
      </w:r>
      <w:r w:rsidRPr="001E28FC">
        <w:rPr>
          <w:rFonts w:eastAsia="Calibri" w:cs="Times New Roman"/>
          <w:iCs/>
          <w:lang w:eastAsia="en-US"/>
        </w:rPr>
        <w:t xml:space="preserve"> (</w:t>
      </w:r>
      <w:r>
        <w:rPr>
          <w:rFonts w:eastAsia="Calibri" w:cs="Times New Roman"/>
          <w:iCs/>
          <w:lang w:eastAsia="en-US"/>
        </w:rPr>
        <w:t>T</w:t>
      </w:r>
      <w:r w:rsidRPr="001E28FC">
        <w:rPr>
          <w:rFonts w:eastAsia="Calibri" w:cs="Times New Roman"/>
          <w:iCs/>
          <w:lang w:eastAsia="en-US"/>
        </w:rPr>
        <w:t xml:space="preserve">ier 1). Modelling of groundwater exposure in case of </w:t>
      </w:r>
      <w:r>
        <w:rPr>
          <w:rFonts w:eastAsia="Calibri" w:cs="Times New Roman"/>
          <w:iCs/>
          <w:lang w:eastAsia="en-US"/>
        </w:rPr>
        <w:t>L</w:t>
      </w:r>
      <w:r w:rsidRPr="001E28FC">
        <w:rPr>
          <w:rFonts w:eastAsia="Calibri" w:cs="Times New Roman"/>
          <w:iCs/>
          <w:lang w:eastAsia="en-US"/>
        </w:rPr>
        <w:t>actic acid largely overestimates concentrations and is considered unrealistic.</w:t>
      </w:r>
    </w:p>
    <w:p w14:paraId="450CAF38" w14:textId="77777777" w:rsidR="00D53823" w:rsidRPr="001E28FC" w:rsidRDefault="00D53823" w:rsidP="00D53823">
      <w:pPr>
        <w:spacing w:line="260" w:lineRule="atLeast"/>
        <w:jc w:val="both"/>
        <w:rPr>
          <w:rFonts w:eastAsia="Calibri" w:cs="Times New Roman"/>
          <w:iCs/>
          <w:lang w:eastAsia="en-US"/>
        </w:rPr>
      </w:pPr>
    </w:p>
    <w:p w14:paraId="12AAD8E7" w14:textId="77777777" w:rsidR="00D53823" w:rsidRDefault="00D53823" w:rsidP="00D53823">
      <w:pPr>
        <w:spacing w:line="260" w:lineRule="atLeast"/>
        <w:jc w:val="both"/>
        <w:rPr>
          <w:rFonts w:eastAsia="Calibri" w:cs="Times New Roman"/>
          <w:iCs/>
          <w:lang w:eastAsia="en-US"/>
        </w:rPr>
      </w:pPr>
      <w:r w:rsidRPr="001E28FC">
        <w:rPr>
          <w:rFonts w:eastAsia="Calibri" w:cs="Times New Roman"/>
          <w:iCs/>
          <w:lang w:eastAsia="en-US"/>
        </w:rPr>
        <w:t xml:space="preserve">For all these reasons, it can be stated that </w:t>
      </w:r>
      <w:r>
        <w:rPr>
          <w:rFonts w:eastAsia="Calibri" w:cs="Times New Roman"/>
          <w:iCs/>
          <w:lang w:eastAsia="en-US"/>
        </w:rPr>
        <w:t xml:space="preserve">(L+) </w:t>
      </w:r>
      <w:r w:rsidRPr="001E28FC">
        <w:rPr>
          <w:rFonts w:eastAsia="Calibri" w:cs="Times New Roman"/>
          <w:iCs/>
          <w:lang w:eastAsia="en-US"/>
        </w:rPr>
        <w:t>Lactic acid does not cause unacceptable risk for groundwater</w:t>
      </w:r>
      <w:r>
        <w:rPr>
          <w:rFonts w:eastAsia="Calibri" w:cs="Times New Roman"/>
          <w:iCs/>
          <w:lang w:eastAsia="en-US"/>
        </w:rPr>
        <w:t>,</w:t>
      </w:r>
      <w:r w:rsidRPr="001E28FC">
        <w:rPr>
          <w:rFonts w:eastAsia="Calibri" w:cs="Times New Roman"/>
          <w:iCs/>
          <w:lang w:eastAsia="en-US"/>
        </w:rPr>
        <w:t xml:space="preserve"> </w:t>
      </w:r>
      <w:r>
        <w:rPr>
          <w:rFonts w:eastAsia="Calibri" w:cs="Times New Roman"/>
          <w:iCs/>
          <w:lang w:eastAsia="en-US"/>
        </w:rPr>
        <w:t>without need for further calculations.</w:t>
      </w:r>
    </w:p>
    <w:p w14:paraId="3F4FDC6D" w14:textId="77777777" w:rsidR="00D53823" w:rsidRDefault="00D53823" w:rsidP="00D53823">
      <w:pPr>
        <w:spacing w:line="260" w:lineRule="atLeast"/>
        <w:jc w:val="both"/>
        <w:rPr>
          <w:rFonts w:eastAsia="Calibri" w:cs="Times New Roman"/>
          <w:iCs/>
          <w:lang w:eastAsia="en-US"/>
        </w:rPr>
      </w:pPr>
    </w:p>
    <w:p w14:paraId="75C81883" w14:textId="77777777" w:rsidR="00D53823" w:rsidRDefault="00D53823" w:rsidP="00D53823">
      <w:pPr>
        <w:spacing w:line="260" w:lineRule="atLeast"/>
        <w:jc w:val="both"/>
        <w:rPr>
          <w:rFonts w:eastAsia="Calibri" w:cs="Times New Roman"/>
          <w:iCs/>
          <w:lang w:eastAsia="en-US"/>
        </w:rPr>
      </w:pPr>
      <w:r>
        <w:rPr>
          <w:rFonts w:eastAsia="Calibri" w:cs="Times New Roman"/>
          <w:iCs/>
          <w:lang w:eastAsia="en-US"/>
        </w:rPr>
        <w:t>For soil calculations, a DT</w:t>
      </w:r>
      <w:r w:rsidRPr="00CC0F55">
        <w:rPr>
          <w:rFonts w:eastAsia="Calibri" w:cs="Times New Roman"/>
          <w:vertAlign w:val="subscript"/>
          <w:lang w:eastAsia="en-US"/>
        </w:rPr>
        <w:t>50</w:t>
      </w:r>
      <w:r>
        <w:rPr>
          <w:rFonts w:eastAsia="Calibri" w:cs="Times New Roman"/>
          <w:iCs/>
          <w:lang w:eastAsia="en-US"/>
        </w:rPr>
        <w:t xml:space="preserve"> of 30 days was stated without the need of further studies.</w:t>
      </w:r>
    </w:p>
    <w:p w14:paraId="18614E68" w14:textId="77777777" w:rsidR="00D53823" w:rsidRDefault="00D53823" w:rsidP="00D53823">
      <w:pPr>
        <w:spacing w:line="260" w:lineRule="atLeast"/>
        <w:rPr>
          <w:rFonts w:eastAsia="Calibri"/>
          <w:lang w:eastAsia="en-US"/>
        </w:rPr>
      </w:pPr>
    </w:p>
    <w:p w14:paraId="6809A626" w14:textId="77777777" w:rsidR="00D53823" w:rsidRPr="003D5C7A" w:rsidRDefault="00D53823" w:rsidP="00D53823">
      <w:pPr>
        <w:spacing w:line="260" w:lineRule="atLeast"/>
        <w:rPr>
          <w:rFonts w:eastAsia="Calibri"/>
          <w:lang w:eastAsia="en-US"/>
        </w:rPr>
      </w:pPr>
      <w:r>
        <w:rPr>
          <w:rFonts w:eastAsia="Calibri"/>
          <w:lang w:eastAsia="en-US"/>
        </w:rPr>
        <w:t xml:space="preserve">The </w:t>
      </w:r>
      <w:r w:rsidRPr="00FB01A1">
        <w:rPr>
          <w:rFonts w:eastAsia="Calibri"/>
          <w:lang w:eastAsia="en-US"/>
        </w:rPr>
        <w:t>t</w:t>
      </w:r>
      <w:r w:rsidRPr="003D5C7A">
        <w:rPr>
          <w:rFonts w:eastAsia="Calibri"/>
          <w:lang w:eastAsia="en-US"/>
        </w:rPr>
        <w:t xml:space="preserve">wo </w:t>
      </w:r>
      <w:r>
        <w:rPr>
          <w:rFonts w:eastAsia="Calibri"/>
          <w:lang w:eastAsia="en-US"/>
        </w:rPr>
        <w:t xml:space="preserve">following </w:t>
      </w:r>
      <w:r w:rsidRPr="003D5C7A">
        <w:rPr>
          <w:rFonts w:eastAsia="Calibri"/>
          <w:lang w:eastAsia="en-US"/>
        </w:rPr>
        <w:t xml:space="preserve">studies </w:t>
      </w:r>
      <w:r>
        <w:rPr>
          <w:rFonts w:eastAsia="Calibri"/>
          <w:lang w:eastAsia="en-US"/>
        </w:rPr>
        <w:t xml:space="preserve">on L(+) lactic acid biodegradation </w:t>
      </w:r>
      <w:r w:rsidRPr="003D5C7A">
        <w:rPr>
          <w:rFonts w:eastAsia="Calibri"/>
          <w:lang w:eastAsia="en-US"/>
        </w:rPr>
        <w:t xml:space="preserve">were </w:t>
      </w:r>
      <w:r>
        <w:rPr>
          <w:rFonts w:eastAsia="Calibri"/>
          <w:lang w:eastAsia="en-US"/>
        </w:rPr>
        <w:t xml:space="preserve">also </w:t>
      </w:r>
      <w:r w:rsidRPr="003D5C7A">
        <w:rPr>
          <w:rFonts w:eastAsia="Calibri"/>
          <w:lang w:eastAsia="en-US"/>
        </w:rPr>
        <w:t>included in the report</w:t>
      </w:r>
      <w:r>
        <w:rPr>
          <w:rFonts w:eastAsia="Calibri"/>
          <w:lang w:eastAsia="en-US"/>
        </w:rPr>
        <w:t xml:space="preserve"> by the applicant:</w:t>
      </w:r>
      <w:r w:rsidRPr="003D5C7A">
        <w:rPr>
          <w:rFonts w:eastAsia="Calibri"/>
          <w:lang w:eastAsia="en-US"/>
        </w:rPr>
        <w:t xml:space="preserve"> </w:t>
      </w:r>
    </w:p>
    <w:p w14:paraId="0A504788" w14:textId="77777777" w:rsidR="00D53823" w:rsidRDefault="00D53823" w:rsidP="00D53823">
      <w:pPr>
        <w:spacing w:line="260" w:lineRule="atLeast"/>
        <w:rPr>
          <w:rFonts w:eastAsia="Calibri"/>
          <w:b/>
          <w:i/>
          <w:sz w:val="22"/>
          <w:szCs w:val="22"/>
          <w:lang w:eastAsia="en-US"/>
        </w:rPr>
      </w:pPr>
    </w:p>
    <w:tbl>
      <w:tblPr>
        <w:tblW w:w="516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9"/>
        <w:gridCol w:w="714"/>
        <w:gridCol w:w="1077"/>
        <w:gridCol w:w="769"/>
        <w:gridCol w:w="516"/>
        <w:gridCol w:w="934"/>
        <w:gridCol w:w="1367"/>
        <w:gridCol w:w="1697"/>
        <w:gridCol w:w="1277"/>
      </w:tblGrid>
      <w:tr w:rsidR="00D53823" w:rsidRPr="00FB01A1" w14:paraId="75C82AA2" w14:textId="77777777" w:rsidTr="00AB1CDB">
        <w:trPr>
          <w:trHeight w:val="638"/>
        </w:trPr>
        <w:tc>
          <w:tcPr>
            <w:tcW w:w="5000" w:type="pct"/>
            <w:gridSpan w:val="9"/>
            <w:tcBorders>
              <w:bottom w:val="single" w:sz="4" w:space="0" w:color="auto"/>
            </w:tcBorders>
            <w:shd w:val="clear" w:color="auto" w:fill="FFFFCC"/>
          </w:tcPr>
          <w:p w14:paraId="44D4E893" w14:textId="77777777" w:rsidR="00D53823" w:rsidRPr="00AE7E68" w:rsidRDefault="00D53823" w:rsidP="00261A29">
            <w:pPr>
              <w:keepNext/>
              <w:suppressAutoHyphens w:val="0"/>
              <w:jc w:val="center"/>
              <w:rPr>
                <w:rFonts w:cs="Times New Roman"/>
                <w:b/>
                <w:bCs/>
                <w:lang w:eastAsia="de-DE"/>
              </w:rPr>
            </w:pPr>
          </w:p>
          <w:p w14:paraId="36EB23C6" w14:textId="77777777" w:rsidR="00D53823" w:rsidRPr="002C1236" w:rsidRDefault="00D53823" w:rsidP="00261A29">
            <w:pPr>
              <w:keepNext/>
              <w:suppressAutoHyphens w:val="0"/>
              <w:jc w:val="center"/>
              <w:rPr>
                <w:rFonts w:cs="Times New Roman"/>
                <w:b/>
                <w:color w:val="000000"/>
                <w:lang w:eastAsia="de-DE"/>
              </w:rPr>
            </w:pPr>
            <w:r w:rsidRPr="002C1236">
              <w:rPr>
                <w:rFonts w:cs="Times New Roman"/>
                <w:b/>
                <w:bCs/>
                <w:lang w:eastAsia="de-DE"/>
              </w:rPr>
              <w:t>Summary table on further studies on fate and behaviour in the environment</w:t>
            </w:r>
          </w:p>
        </w:tc>
      </w:tr>
      <w:tr w:rsidR="00A73CF9" w:rsidRPr="00FB01A1" w14:paraId="16E11327" w14:textId="77777777" w:rsidTr="00AB1CDB">
        <w:trPr>
          <w:trHeight w:val="638"/>
        </w:trPr>
        <w:tc>
          <w:tcPr>
            <w:tcW w:w="906" w:type="pct"/>
            <w:tcBorders>
              <w:bottom w:val="single" w:sz="4" w:space="0" w:color="auto"/>
            </w:tcBorders>
            <w:shd w:val="clear" w:color="auto" w:fill="FFFFFF"/>
          </w:tcPr>
          <w:p w14:paraId="1B18828A" w14:textId="77777777" w:rsidR="00D53823" w:rsidRPr="00AE7E68" w:rsidRDefault="00D53823" w:rsidP="00261A29">
            <w:pPr>
              <w:keepNext/>
              <w:suppressAutoHyphens w:val="0"/>
              <w:jc w:val="both"/>
              <w:rPr>
                <w:rFonts w:cs="Times New Roman"/>
                <w:i/>
                <w:color w:val="000000"/>
                <w:lang w:eastAsia="de-DE"/>
              </w:rPr>
            </w:pPr>
            <w:r w:rsidRPr="00AE7E68">
              <w:rPr>
                <w:rFonts w:eastAsia="Calibri" w:cs="Times New Roman"/>
                <w:bCs/>
                <w:color w:val="000000"/>
                <w:lang w:eastAsia="en-GB"/>
              </w:rPr>
              <w:t>Method, Guideline, GLP status, Reliability</w:t>
            </w:r>
          </w:p>
        </w:tc>
        <w:tc>
          <w:tcPr>
            <w:tcW w:w="350" w:type="pct"/>
            <w:tcBorders>
              <w:bottom w:val="single" w:sz="4" w:space="0" w:color="auto"/>
            </w:tcBorders>
            <w:shd w:val="clear" w:color="auto" w:fill="FFFFFF"/>
          </w:tcPr>
          <w:p w14:paraId="16549B03" w14:textId="77777777" w:rsidR="00D53823" w:rsidRPr="00AE7E68" w:rsidRDefault="00D53823" w:rsidP="00261A29">
            <w:pPr>
              <w:keepNext/>
              <w:suppressAutoHyphens w:val="0"/>
              <w:spacing w:line="260" w:lineRule="atLeast"/>
              <w:jc w:val="both"/>
              <w:rPr>
                <w:rFonts w:eastAsia="Calibri" w:cs="Times New Roman"/>
                <w:color w:val="000000"/>
                <w:lang w:eastAsia="en-US"/>
              </w:rPr>
            </w:pPr>
            <w:r w:rsidRPr="00AE7E68">
              <w:rPr>
                <w:rFonts w:cs="Calibri"/>
                <w:lang w:val="fr-FR" w:eastAsia="en-GB"/>
              </w:rPr>
              <w:t>Test Item</w:t>
            </w:r>
          </w:p>
        </w:tc>
        <w:tc>
          <w:tcPr>
            <w:tcW w:w="528" w:type="pct"/>
            <w:tcBorders>
              <w:bottom w:val="single" w:sz="4" w:space="0" w:color="auto"/>
            </w:tcBorders>
            <w:shd w:val="clear" w:color="auto" w:fill="FFFFFF"/>
          </w:tcPr>
          <w:p w14:paraId="46CB8261" w14:textId="77777777" w:rsidR="00D53823" w:rsidRPr="00AE7E68" w:rsidRDefault="00D53823" w:rsidP="00261A29">
            <w:pPr>
              <w:keepNext/>
              <w:suppressAutoHyphens w:val="0"/>
              <w:spacing w:line="260" w:lineRule="atLeast"/>
              <w:jc w:val="both"/>
              <w:rPr>
                <w:rFonts w:eastAsia="Calibri" w:cs="Times New Roman"/>
                <w:color w:val="000000"/>
                <w:lang w:eastAsia="en-US"/>
              </w:rPr>
            </w:pPr>
            <w:r w:rsidRPr="00AE7E68">
              <w:rPr>
                <w:rFonts w:cs="Calibri"/>
                <w:lang w:val="fr-FR" w:eastAsia="en-GB"/>
              </w:rPr>
              <w:t>Test Species</w:t>
            </w:r>
          </w:p>
        </w:tc>
        <w:tc>
          <w:tcPr>
            <w:tcW w:w="377" w:type="pct"/>
            <w:tcBorders>
              <w:bottom w:val="single" w:sz="4" w:space="0" w:color="auto"/>
            </w:tcBorders>
            <w:shd w:val="clear" w:color="auto" w:fill="FFFFFF"/>
          </w:tcPr>
          <w:p w14:paraId="0855973D" w14:textId="77777777" w:rsidR="00D53823" w:rsidRPr="00AE7E68" w:rsidRDefault="00D53823" w:rsidP="00261A29">
            <w:pPr>
              <w:keepNext/>
              <w:suppressAutoHyphens w:val="0"/>
              <w:spacing w:line="260" w:lineRule="atLeast"/>
              <w:jc w:val="both"/>
              <w:rPr>
                <w:rFonts w:eastAsia="Calibri" w:cs="Times New Roman"/>
                <w:color w:val="000000"/>
                <w:lang w:eastAsia="en-US"/>
              </w:rPr>
            </w:pPr>
            <w:r w:rsidRPr="00AE7E68">
              <w:rPr>
                <w:rFonts w:eastAsia="Calibri" w:cs="Times New Roman"/>
                <w:color w:val="000000"/>
                <w:lang w:eastAsia="en-US"/>
              </w:rPr>
              <w:t>Test period</w:t>
            </w:r>
          </w:p>
        </w:tc>
        <w:tc>
          <w:tcPr>
            <w:tcW w:w="253" w:type="pct"/>
            <w:tcBorders>
              <w:bottom w:val="single" w:sz="4" w:space="0" w:color="auto"/>
            </w:tcBorders>
            <w:shd w:val="clear" w:color="auto" w:fill="FFFFFF"/>
          </w:tcPr>
          <w:p w14:paraId="5697A406" w14:textId="77777777" w:rsidR="00D53823" w:rsidRPr="00AE7E68" w:rsidRDefault="00D53823" w:rsidP="00261A29">
            <w:pPr>
              <w:keepNext/>
              <w:suppressAutoHyphens w:val="0"/>
              <w:spacing w:line="260" w:lineRule="atLeast"/>
              <w:jc w:val="both"/>
              <w:rPr>
                <w:rFonts w:eastAsia="Calibri" w:cs="Times New Roman"/>
                <w:color w:val="000000"/>
                <w:lang w:eastAsia="en-US"/>
              </w:rPr>
            </w:pPr>
            <w:r w:rsidRPr="00AE7E68">
              <w:rPr>
                <w:rFonts w:eastAsia="Calibri" w:cs="Times New Roman"/>
                <w:color w:val="000000"/>
                <w:lang w:eastAsia="en-US"/>
              </w:rPr>
              <w:t>pH</w:t>
            </w:r>
          </w:p>
        </w:tc>
        <w:tc>
          <w:tcPr>
            <w:tcW w:w="458" w:type="pct"/>
            <w:tcBorders>
              <w:bottom w:val="single" w:sz="4" w:space="0" w:color="auto"/>
            </w:tcBorders>
            <w:shd w:val="clear" w:color="auto" w:fill="FFFFFF"/>
          </w:tcPr>
          <w:p w14:paraId="127C621C" w14:textId="77777777" w:rsidR="00D53823" w:rsidRPr="00AE7E68" w:rsidRDefault="00D53823" w:rsidP="00261A29">
            <w:pPr>
              <w:keepNext/>
              <w:suppressAutoHyphens w:val="0"/>
              <w:spacing w:line="260" w:lineRule="atLeast"/>
              <w:jc w:val="both"/>
              <w:rPr>
                <w:rFonts w:eastAsia="Calibri" w:cs="Times New Roman"/>
                <w:color w:val="000000"/>
                <w:lang w:eastAsia="en-US"/>
              </w:rPr>
            </w:pPr>
            <w:r w:rsidRPr="00AE7E68">
              <w:rPr>
                <w:rFonts w:eastAsia="Calibri" w:cs="Times New Roman"/>
                <w:color w:val="000000"/>
                <w:lang w:eastAsia="en-US"/>
              </w:rPr>
              <w:t>Temp [°C]</w:t>
            </w:r>
          </w:p>
        </w:tc>
        <w:tc>
          <w:tcPr>
            <w:tcW w:w="670" w:type="pct"/>
            <w:tcBorders>
              <w:bottom w:val="single" w:sz="4" w:space="0" w:color="auto"/>
            </w:tcBorders>
            <w:shd w:val="clear" w:color="auto" w:fill="FFFFFF"/>
          </w:tcPr>
          <w:p w14:paraId="48CC7D2D" w14:textId="77777777" w:rsidR="00D53823" w:rsidRPr="00AE7E68" w:rsidRDefault="00D53823" w:rsidP="00261A29">
            <w:pPr>
              <w:keepNext/>
              <w:suppressAutoHyphens w:val="0"/>
              <w:spacing w:before="60" w:after="60"/>
              <w:jc w:val="both"/>
              <w:rPr>
                <w:rFonts w:cs="Times New Roman"/>
                <w:color w:val="000000"/>
                <w:lang w:eastAsia="en-GB"/>
              </w:rPr>
            </w:pPr>
            <w:r w:rsidRPr="00AE7E68">
              <w:rPr>
                <w:rFonts w:cs="Times New Roman"/>
                <w:color w:val="000000"/>
                <w:lang w:eastAsia="en-GB"/>
              </w:rPr>
              <w:t>Initial TS concentration, C</w:t>
            </w:r>
            <w:r w:rsidRPr="00AE7E68">
              <w:rPr>
                <w:rFonts w:cs="Times New Roman"/>
                <w:color w:val="000000"/>
                <w:vertAlign w:val="subscript"/>
                <w:lang w:eastAsia="en-GB"/>
              </w:rPr>
              <w:t>0</w:t>
            </w:r>
            <w:r w:rsidRPr="00AE7E68">
              <w:rPr>
                <w:rFonts w:cs="Times New Roman"/>
                <w:color w:val="000000"/>
                <w:lang w:eastAsia="en-GB"/>
              </w:rPr>
              <w:t>[mol/l]</w:t>
            </w:r>
          </w:p>
        </w:tc>
        <w:tc>
          <w:tcPr>
            <w:tcW w:w="832" w:type="pct"/>
            <w:tcBorders>
              <w:bottom w:val="single" w:sz="4" w:space="0" w:color="auto"/>
            </w:tcBorders>
            <w:shd w:val="clear" w:color="auto" w:fill="FFFFFF"/>
          </w:tcPr>
          <w:p w14:paraId="67EAF93E" w14:textId="77777777" w:rsidR="00D53823" w:rsidRPr="00AE7E68" w:rsidRDefault="00D53823" w:rsidP="00261A29">
            <w:pPr>
              <w:keepNext/>
              <w:suppressAutoHyphens w:val="0"/>
              <w:jc w:val="both"/>
              <w:rPr>
                <w:rFonts w:cs="Times New Roman"/>
                <w:color w:val="000000"/>
                <w:lang w:eastAsia="en-GB"/>
              </w:rPr>
            </w:pPr>
            <w:r w:rsidRPr="00AE7E68">
              <w:rPr>
                <w:rFonts w:cs="Times New Roman"/>
                <w:bCs/>
                <w:color w:val="000000"/>
                <w:lang w:eastAsia="en-GB"/>
              </w:rPr>
              <w:t>Results</w:t>
            </w:r>
          </w:p>
        </w:tc>
        <w:tc>
          <w:tcPr>
            <w:tcW w:w="626" w:type="pct"/>
            <w:tcBorders>
              <w:bottom w:val="single" w:sz="4" w:space="0" w:color="auto"/>
            </w:tcBorders>
            <w:shd w:val="clear" w:color="auto" w:fill="FFFFFF"/>
          </w:tcPr>
          <w:p w14:paraId="3C68ADD2" w14:textId="77777777" w:rsidR="00D53823" w:rsidRPr="00AE7E68" w:rsidRDefault="00D53823" w:rsidP="00261A29">
            <w:pPr>
              <w:keepNext/>
              <w:suppressAutoHyphens w:val="0"/>
              <w:jc w:val="both"/>
              <w:rPr>
                <w:rFonts w:cs="Times New Roman"/>
                <w:color w:val="000000"/>
                <w:lang w:eastAsia="de-DE"/>
              </w:rPr>
            </w:pPr>
            <w:r w:rsidRPr="00AE7E68">
              <w:rPr>
                <w:rFonts w:cs="Times New Roman"/>
                <w:color w:val="000000"/>
                <w:lang w:eastAsia="de-DE"/>
              </w:rPr>
              <w:t>Reference</w:t>
            </w:r>
          </w:p>
        </w:tc>
      </w:tr>
      <w:tr w:rsidR="00A73CF9" w:rsidRPr="00FB01A1" w14:paraId="2B740B16" w14:textId="77777777" w:rsidTr="00AB1CDB">
        <w:tc>
          <w:tcPr>
            <w:tcW w:w="906" w:type="pct"/>
            <w:tcBorders>
              <w:top w:val="single" w:sz="4" w:space="0" w:color="auto"/>
              <w:bottom w:val="single" w:sz="4" w:space="0" w:color="auto"/>
              <w:right w:val="single" w:sz="4" w:space="0" w:color="auto"/>
            </w:tcBorders>
          </w:tcPr>
          <w:p w14:paraId="53A88C0B" w14:textId="77777777" w:rsidR="00D53823" w:rsidRPr="00AE7E68" w:rsidRDefault="00D53823" w:rsidP="00261A29">
            <w:pPr>
              <w:suppressAutoHyphens w:val="0"/>
              <w:autoSpaceDE w:val="0"/>
              <w:autoSpaceDN w:val="0"/>
              <w:adjustRightInd w:val="0"/>
              <w:rPr>
                <w:rFonts w:cs="Calibri"/>
                <w:lang w:val="en-US" w:eastAsia="en-GB"/>
              </w:rPr>
            </w:pPr>
            <w:r w:rsidRPr="00AE7E68">
              <w:rPr>
                <w:rFonts w:cs="SymbolMT"/>
                <w:lang w:val="en-US" w:eastAsia="en-GB"/>
              </w:rPr>
              <w:t xml:space="preserve">− </w:t>
            </w:r>
            <w:r w:rsidRPr="00AE7E68">
              <w:rPr>
                <w:rFonts w:cs="Calibri"/>
                <w:lang w:val="en-US" w:eastAsia="en-GB"/>
              </w:rPr>
              <w:t>Commission Regulation 440/2008/EC, Method C.4-E</w:t>
            </w:r>
          </w:p>
          <w:p w14:paraId="041169C7"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of May 30, 2008: Closed Bottle Test (EEC Publication</w:t>
            </w:r>
          </w:p>
          <w:p w14:paraId="2B139A5C"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No. L 142/497-502, May 2008)</w:t>
            </w:r>
          </w:p>
          <w:p w14:paraId="2A159590" w14:textId="77777777" w:rsidR="00D53823" w:rsidRPr="00AE7E68" w:rsidRDefault="00D53823" w:rsidP="00261A29">
            <w:pPr>
              <w:suppressAutoHyphens w:val="0"/>
              <w:autoSpaceDE w:val="0"/>
              <w:autoSpaceDN w:val="0"/>
              <w:adjustRightInd w:val="0"/>
              <w:rPr>
                <w:rFonts w:cs="Calibri"/>
                <w:lang w:val="en-US" w:eastAsia="en-GB"/>
              </w:rPr>
            </w:pPr>
            <w:r w:rsidRPr="00AE7E68">
              <w:rPr>
                <w:rFonts w:cs="SymbolMT"/>
                <w:lang w:val="en-US" w:eastAsia="en-GB"/>
              </w:rPr>
              <w:t xml:space="preserve">− </w:t>
            </w:r>
            <w:r w:rsidRPr="00AE7E68">
              <w:rPr>
                <w:rFonts w:cs="Calibri"/>
                <w:lang w:val="en-US" w:eastAsia="en-GB"/>
              </w:rPr>
              <w:t xml:space="preserve">OECD Guideline for </w:t>
            </w:r>
            <w:r w:rsidRPr="00AE7E68">
              <w:rPr>
                <w:rFonts w:cs="Calibri"/>
                <w:lang w:val="en-US" w:eastAsia="en-GB"/>
              </w:rPr>
              <w:lastRenderedPageBreak/>
              <w:t>Testing of Chemicals No. 301 D:</w:t>
            </w:r>
          </w:p>
          <w:p w14:paraId="19177C7F"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"Ready Biodegradability: Closed Bottle Test", adopted</w:t>
            </w:r>
          </w:p>
          <w:p w14:paraId="350FDD0B" w14:textId="77777777" w:rsidR="00D53823" w:rsidRPr="00AE7E68" w:rsidRDefault="00D53823" w:rsidP="00261A29">
            <w:pPr>
              <w:keepNext/>
              <w:suppressAutoHyphens w:val="0"/>
              <w:spacing w:line="260" w:lineRule="atLeast"/>
              <w:jc w:val="both"/>
              <w:rPr>
                <w:rFonts w:cs="Calibri"/>
                <w:lang w:val="fr-FR" w:eastAsia="en-GB"/>
              </w:rPr>
            </w:pPr>
            <w:r w:rsidRPr="00AE7E68">
              <w:rPr>
                <w:rFonts w:cs="Calibri"/>
                <w:lang w:val="fr-FR" w:eastAsia="en-GB"/>
              </w:rPr>
              <w:t>July 17, 1992.</w:t>
            </w:r>
          </w:p>
          <w:p w14:paraId="3C9FBEB8" w14:textId="77777777" w:rsidR="00D53823" w:rsidRPr="00AE7E68" w:rsidRDefault="00D53823" w:rsidP="00261A29">
            <w:pPr>
              <w:keepNext/>
              <w:suppressAutoHyphens w:val="0"/>
              <w:spacing w:line="260" w:lineRule="atLeast"/>
              <w:jc w:val="both"/>
              <w:rPr>
                <w:rFonts w:cs="Calibri"/>
                <w:lang w:val="fr-FR" w:eastAsia="en-GB"/>
              </w:rPr>
            </w:pPr>
          </w:p>
          <w:p w14:paraId="57647CDF" w14:textId="77777777" w:rsidR="00D53823" w:rsidRPr="00AE7E68" w:rsidRDefault="00D53823" w:rsidP="00261A29">
            <w:pPr>
              <w:keepNext/>
              <w:suppressAutoHyphens w:val="0"/>
              <w:spacing w:line="260" w:lineRule="atLeast"/>
              <w:jc w:val="both"/>
              <w:rPr>
                <w:rFonts w:eastAsia="Calibri" w:cs="Times New Roman"/>
                <w:i/>
                <w:color w:val="000000"/>
                <w:lang w:eastAsia="en-US"/>
              </w:rPr>
            </w:pPr>
            <w:r w:rsidRPr="00AE7E68">
              <w:rPr>
                <w:rFonts w:eastAsia="Calibri" w:cs="Times New Roman"/>
                <w:i/>
                <w:color w:val="000000"/>
                <w:lang w:eastAsia="en-US"/>
              </w:rPr>
              <w:t>GLP</w:t>
            </w:r>
          </w:p>
          <w:p w14:paraId="451763A8" w14:textId="77777777" w:rsidR="00D53823" w:rsidRPr="00AE7E68" w:rsidRDefault="00D53823" w:rsidP="00261A29">
            <w:pPr>
              <w:keepNext/>
              <w:suppressAutoHyphens w:val="0"/>
              <w:spacing w:line="260" w:lineRule="atLeast"/>
              <w:jc w:val="both"/>
              <w:rPr>
                <w:rFonts w:eastAsia="Calibri" w:cs="Times New Roman"/>
                <w:i/>
                <w:color w:val="000000"/>
                <w:lang w:eastAsia="en-US"/>
              </w:rPr>
            </w:pPr>
            <w:r w:rsidRPr="00AE7E68">
              <w:rPr>
                <w:rFonts w:eastAsia="Calibri" w:cs="Times New Roman"/>
                <w:i/>
                <w:color w:val="000000"/>
                <w:lang w:eastAsia="en-US"/>
              </w:rPr>
              <w:t>Reliability: 1</w:t>
            </w:r>
          </w:p>
        </w:tc>
        <w:tc>
          <w:tcPr>
            <w:tcW w:w="350" w:type="pct"/>
            <w:tcBorders>
              <w:top w:val="single" w:sz="4" w:space="0" w:color="auto"/>
              <w:left w:val="single" w:sz="4" w:space="0" w:color="auto"/>
              <w:bottom w:val="single" w:sz="4" w:space="0" w:color="auto"/>
              <w:right w:val="single" w:sz="4" w:space="0" w:color="auto"/>
            </w:tcBorders>
          </w:tcPr>
          <w:p w14:paraId="2D570C68" w14:textId="77777777" w:rsidR="00D53823" w:rsidRPr="00AE7E68" w:rsidRDefault="00D53823" w:rsidP="00261A29">
            <w:pPr>
              <w:keepNext/>
              <w:suppressAutoHyphens w:val="0"/>
              <w:spacing w:line="260" w:lineRule="atLeast"/>
              <w:jc w:val="both"/>
              <w:rPr>
                <w:rFonts w:eastAsia="Calibri" w:cs="Times New Roman"/>
                <w:i/>
                <w:color w:val="000000"/>
                <w:lang w:eastAsia="en-US"/>
              </w:rPr>
            </w:pPr>
            <w:r w:rsidRPr="00AE7E68">
              <w:rPr>
                <w:rFonts w:cs="Calibri"/>
                <w:lang w:val="fr-FR" w:eastAsia="en-GB"/>
              </w:rPr>
              <w:lastRenderedPageBreak/>
              <w:t xml:space="preserve">Lactic acid </w:t>
            </w:r>
          </w:p>
        </w:tc>
        <w:tc>
          <w:tcPr>
            <w:tcW w:w="528" w:type="pct"/>
            <w:tcBorders>
              <w:top w:val="single" w:sz="4" w:space="0" w:color="auto"/>
              <w:left w:val="single" w:sz="4" w:space="0" w:color="auto"/>
              <w:bottom w:val="single" w:sz="4" w:space="0" w:color="auto"/>
              <w:right w:val="single" w:sz="4" w:space="0" w:color="auto"/>
            </w:tcBorders>
          </w:tcPr>
          <w:p w14:paraId="7F83CC97" w14:textId="77777777" w:rsidR="00D53823" w:rsidRPr="00AE7E68" w:rsidRDefault="00D53823" w:rsidP="00261A29">
            <w:pPr>
              <w:suppressAutoHyphens w:val="0"/>
              <w:autoSpaceDE w:val="0"/>
              <w:autoSpaceDN w:val="0"/>
              <w:adjustRightInd w:val="0"/>
              <w:rPr>
                <w:rFonts w:eastAsia="Calibri" w:cs="Times New Roman"/>
                <w:i/>
                <w:color w:val="000000"/>
                <w:lang w:eastAsia="en-US"/>
              </w:rPr>
            </w:pPr>
            <w:r w:rsidRPr="00AE7E68">
              <w:rPr>
                <w:rFonts w:cs="Calibri"/>
                <w:lang w:val="en-US" w:eastAsia="en-GB"/>
              </w:rPr>
              <w:t xml:space="preserve">Activated sludge </w:t>
            </w:r>
          </w:p>
          <w:p w14:paraId="7E4CC2C0" w14:textId="77777777" w:rsidR="00D53823" w:rsidRPr="00AE7E68" w:rsidRDefault="00D53823" w:rsidP="00261A29">
            <w:pPr>
              <w:keepNext/>
              <w:suppressAutoHyphens w:val="0"/>
              <w:spacing w:line="260" w:lineRule="atLeast"/>
              <w:jc w:val="both"/>
              <w:rPr>
                <w:rFonts w:eastAsia="Calibri" w:cs="Times New Roman"/>
                <w:i/>
                <w:color w:val="000000"/>
                <w:lang w:eastAsia="en-US"/>
              </w:rPr>
            </w:pPr>
          </w:p>
        </w:tc>
        <w:tc>
          <w:tcPr>
            <w:tcW w:w="377" w:type="pct"/>
            <w:tcBorders>
              <w:top w:val="single" w:sz="4" w:space="0" w:color="auto"/>
              <w:left w:val="single" w:sz="4" w:space="0" w:color="auto"/>
              <w:bottom w:val="single" w:sz="4" w:space="0" w:color="auto"/>
              <w:right w:val="single" w:sz="4" w:space="0" w:color="auto"/>
            </w:tcBorders>
          </w:tcPr>
          <w:p w14:paraId="61D8305E" w14:textId="77777777" w:rsidR="00D53823" w:rsidRPr="00AE7E68" w:rsidRDefault="00D53823" w:rsidP="00261A29">
            <w:pPr>
              <w:keepNext/>
              <w:suppressAutoHyphens w:val="0"/>
              <w:spacing w:line="260" w:lineRule="atLeast"/>
              <w:jc w:val="both"/>
              <w:rPr>
                <w:rFonts w:eastAsia="Calibri" w:cs="Times New Roman"/>
                <w:i/>
                <w:color w:val="000000"/>
                <w:lang w:eastAsia="en-US"/>
              </w:rPr>
            </w:pPr>
            <w:r w:rsidRPr="00AE7E68">
              <w:rPr>
                <w:rFonts w:cs="Calibri"/>
                <w:lang w:val="fr-FR" w:eastAsia="en-GB"/>
              </w:rPr>
              <w:t>28 days</w:t>
            </w:r>
          </w:p>
        </w:tc>
        <w:tc>
          <w:tcPr>
            <w:tcW w:w="253" w:type="pct"/>
            <w:tcBorders>
              <w:top w:val="single" w:sz="4" w:space="0" w:color="auto"/>
              <w:left w:val="single" w:sz="4" w:space="0" w:color="auto"/>
              <w:bottom w:val="single" w:sz="4" w:space="0" w:color="auto"/>
              <w:right w:val="single" w:sz="4" w:space="0" w:color="auto"/>
            </w:tcBorders>
          </w:tcPr>
          <w:p w14:paraId="3DC4604A" w14:textId="77777777" w:rsidR="00D53823" w:rsidRPr="00AE7E68" w:rsidRDefault="00D53823" w:rsidP="00261A29">
            <w:pPr>
              <w:keepNext/>
              <w:suppressAutoHyphens w:val="0"/>
              <w:spacing w:line="260" w:lineRule="atLeast"/>
              <w:jc w:val="both"/>
              <w:rPr>
                <w:rFonts w:eastAsia="Calibri" w:cs="Times New Roman"/>
                <w:i/>
                <w:color w:val="000000"/>
                <w:lang w:eastAsia="en-US"/>
              </w:rPr>
            </w:pPr>
            <w:r w:rsidRPr="00AE7E68">
              <w:rPr>
                <w:rFonts w:eastAsia="Calibri" w:cs="Times New Roman"/>
                <w:i/>
                <w:color w:val="000000"/>
                <w:lang w:eastAsia="en-US"/>
              </w:rPr>
              <w:t>7.2</w:t>
            </w:r>
          </w:p>
        </w:tc>
        <w:tc>
          <w:tcPr>
            <w:tcW w:w="458" w:type="pct"/>
            <w:tcBorders>
              <w:top w:val="single" w:sz="4" w:space="0" w:color="auto"/>
              <w:left w:val="single" w:sz="4" w:space="0" w:color="auto"/>
              <w:bottom w:val="single" w:sz="4" w:space="0" w:color="auto"/>
              <w:right w:val="single" w:sz="4" w:space="0" w:color="auto"/>
            </w:tcBorders>
          </w:tcPr>
          <w:p w14:paraId="31AEBE11" w14:textId="77777777" w:rsidR="00D53823" w:rsidRPr="00AE7E68" w:rsidRDefault="00D53823" w:rsidP="00261A29">
            <w:pPr>
              <w:keepNext/>
              <w:suppressAutoHyphens w:val="0"/>
              <w:spacing w:line="260" w:lineRule="atLeast"/>
              <w:jc w:val="both"/>
              <w:rPr>
                <w:rFonts w:eastAsia="Calibri" w:cs="Times New Roman"/>
                <w:i/>
                <w:color w:val="000000"/>
                <w:lang w:eastAsia="en-US"/>
              </w:rPr>
            </w:pPr>
            <w:r w:rsidRPr="00AE7E68">
              <w:rPr>
                <w:rFonts w:cs="Calibri"/>
                <w:lang w:val="fr-FR" w:eastAsia="en-GB"/>
              </w:rPr>
              <w:t>22+1°C</w:t>
            </w:r>
          </w:p>
        </w:tc>
        <w:tc>
          <w:tcPr>
            <w:tcW w:w="670" w:type="pct"/>
            <w:tcBorders>
              <w:top w:val="single" w:sz="4" w:space="0" w:color="auto"/>
              <w:left w:val="single" w:sz="4" w:space="0" w:color="auto"/>
              <w:bottom w:val="single" w:sz="4" w:space="0" w:color="auto"/>
              <w:right w:val="single" w:sz="4" w:space="0" w:color="auto"/>
            </w:tcBorders>
          </w:tcPr>
          <w:p w14:paraId="17BE5B15"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5.06 mg/L corresponding to an oxygen demand of 4.32 mg O2/L based on ThOD of 0.853 mg oxygen per mg test</w:t>
            </w:r>
          </w:p>
          <w:p w14:paraId="7CB90459" w14:textId="77777777" w:rsidR="00D53823" w:rsidRPr="00AE7E68" w:rsidRDefault="00D53823" w:rsidP="00261A29">
            <w:pPr>
              <w:keepNext/>
              <w:suppressAutoHyphens w:val="0"/>
              <w:jc w:val="both"/>
              <w:rPr>
                <w:rFonts w:cs="Times New Roman"/>
                <w:color w:val="000000"/>
                <w:lang w:eastAsia="de-DE"/>
              </w:rPr>
            </w:pPr>
            <w:r w:rsidRPr="00AE7E68">
              <w:rPr>
                <w:rFonts w:cs="Calibri"/>
                <w:lang w:val="fr-FR" w:eastAsia="en-GB"/>
              </w:rPr>
              <w:t>item.</w:t>
            </w:r>
          </w:p>
        </w:tc>
        <w:tc>
          <w:tcPr>
            <w:tcW w:w="832" w:type="pct"/>
            <w:tcBorders>
              <w:top w:val="single" w:sz="4" w:space="0" w:color="auto"/>
              <w:left w:val="single" w:sz="4" w:space="0" w:color="auto"/>
              <w:bottom w:val="single" w:sz="4" w:space="0" w:color="auto"/>
              <w:right w:val="single" w:sz="4" w:space="0" w:color="auto"/>
            </w:tcBorders>
          </w:tcPr>
          <w:p w14:paraId="60E8D4B9" w14:textId="77777777" w:rsidR="00D53823" w:rsidRPr="00AE7E68" w:rsidRDefault="00D53823" w:rsidP="00261A29">
            <w:pPr>
              <w:suppressAutoHyphens w:val="0"/>
              <w:autoSpaceDE w:val="0"/>
              <w:autoSpaceDN w:val="0"/>
              <w:adjustRightInd w:val="0"/>
              <w:rPr>
                <w:rFonts w:cs="Calibri"/>
                <w:u w:val="single"/>
                <w:lang w:val="en-US" w:eastAsia="en-GB"/>
              </w:rPr>
            </w:pPr>
            <w:r w:rsidRPr="00AE7E68">
              <w:rPr>
                <w:rFonts w:cs="Calibri"/>
                <w:u w:val="single"/>
                <w:lang w:val="en-US" w:eastAsia="en-GB"/>
              </w:rPr>
              <w:t>Biodegradation of Lactic acid:</w:t>
            </w:r>
          </w:p>
          <w:p w14:paraId="5F35A9ED"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Under the test conditions the percentage biodegradation</w:t>
            </w:r>
          </w:p>
          <w:p w14:paraId="28C4D871"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of Lactic acid 80% food grade reached in the mean 50 %</w:t>
            </w:r>
          </w:p>
          <w:p w14:paraId="22B03DBF"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lastRenderedPageBreak/>
              <w:t>after 3 days of incubation and continuously increased to</w:t>
            </w:r>
          </w:p>
          <w:p w14:paraId="5E3D81EE"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71 % after 14 days and 80% after 28 days. The percentage</w:t>
            </w:r>
          </w:p>
          <w:p w14:paraId="78AE747A"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 xml:space="preserve">biodegradation did exceed 60 % within the 10-day window. The test item can therefore be considered as ready biodegradable. </w:t>
            </w:r>
          </w:p>
          <w:p w14:paraId="57B77789" w14:textId="77777777" w:rsidR="00D53823" w:rsidRPr="00AE7E68" w:rsidRDefault="00D53823" w:rsidP="00261A29">
            <w:pPr>
              <w:keepNext/>
              <w:suppressAutoHyphens w:val="0"/>
              <w:spacing w:line="260" w:lineRule="atLeast"/>
              <w:jc w:val="both"/>
              <w:rPr>
                <w:rFonts w:cs="Calibri"/>
                <w:lang w:val="en-US" w:eastAsia="en-GB"/>
              </w:rPr>
            </w:pPr>
          </w:p>
          <w:p w14:paraId="3471AF7E" w14:textId="77777777" w:rsidR="00D53823" w:rsidRPr="00AE7E68" w:rsidRDefault="00D53823" w:rsidP="00261A29">
            <w:pPr>
              <w:suppressAutoHyphens w:val="0"/>
              <w:autoSpaceDE w:val="0"/>
              <w:autoSpaceDN w:val="0"/>
              <w:adjustRightInd w:val="0"/>
              <w:rPr>
                <w:rFonts w:cs="Calibri"/>
                <w:u w:val="single"/>
                <w:lang w:val="en-US" w:eastAsia="en-GB"/>
              </w:rPr>
            </w:pPr>
            <w:r w:rsidRPr="00AE7E68">
              <w:rPr>
                <w:rFonts w:cs="Calibri"/>
                <w:u w:val="single"/>
                <w:lang w:val="en-US" w:eastAsia="en-GB"/>
              </w:rPr>
              <w:t>Biodegradation of the Toxicity Control:</w:t>
            </w:r>
          </w:p>
          <w:p w14:paraId="08663DC2"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In the toxicity control containing both, the test item and the reference item sodium benzoate, a mean of 74 %</w:t>
            </w:r>
          </w:p>
          <w:p w14:paraId="555BEBCE"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biodegradation was noted within 14 days and 76 % biodegradation after 28 days of incubation. Thus, the test</w:t>
            </w:r>
          </w:p>
          <w:p w14:paraId="42721DBF"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item can be assumed to be not inhibitory on the activated</w:t>
            </w:r>
          </w:p>
          <w:p w14:paraId="2EEBEF0C"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fr-FR" w:eastAsia="en-GB"/>
              </w:rPr>
              <w:t>sludge microorganisms.</w:t>
            </w:r>
          </w:p>
          <w:p w14:paraId="2C3E5DDA" w14:textId="77777777" w:rsidR="00D53823" w:rsidRPr="00AE7E68" w:rsidRDefault="00D53823" w:rsidP="00261A29">
            <w:pPr>
              <w:keepNext/>
              <w:suppressAutoHyphens w:val="0"/>
              <w:spacing w:line="260" w:lineRule="atLeast"/>
              <w:jc w:val="both"/>
              <w:rPr>
                <w:rFonts w:eastAsia="Calibri" w:cs="Times New Roman"/>
                <w:color w:val="000000"/>
                <w:lang w:eastAsia="en-US"/>
              </w:rPr>
            </w:pPr>
          </w:p>
        </w:tc>
        <w:tc>
          <w:tcPr>
            <w:tcW w:w="626" w:type="pct"/>
            <w:tcBorders>
              <w:top w:val="single" w:sz="4" w:space="0" w:color="auto"/>
              <w:left w:val="single" w:sz="4" w:space="0" w:color="auto"/>
              <w:bottom w:val="single" w:sz="4" w:space="0" w:color="auto"/>
            </w:tcBorders>
          </w:tcPr>
          <w:p w14:paraId="6FA33A67" w14:textId="77777777" w:rsidR="00D53823" w:rsidRPr="00AE7E68" w:rsidRDefault="00D53823" w:rsidP="00261A29">
            <w:pPr>
              <w:keepNext/>
              <w:suppressAutoHyphens w:val="0"/>
              <w:rPr>
                <w:rFonts w:cs="Times New Roman"/>
                <w:i/>
                <w:color w:val="000000"/>
                <w:lang w:eastAsia="de-DE"/>
              </w:rPr>
            </w:pPr>
            <w:r w:rsidRPr="00AE7E68">
              <w:rPr>
                <w:rFonts w:cs="Times New Roman"/>
                <w:i/>
                <w:color w:val="000000"/>
                <w:u w:val="single"/>
                <w:lang w:eastAsia="de-DE"/>
              </w:rPr>
              <w:lastRenderedPageBreak/>
              <w:t>Title:</w:t>
            </w:r>
            <w:r w:rsidRPr="00AE7E68">
              <w:rPr>
                <w:rFonts w:cs="Times New Roman"/>
                <w:i/>
                <w:color w:val="000000"/>
                <w:lang w:eastAsia="de-DE"/>
              </w:rPr>
              <w:t xml:space="preserve"> Ready Biodegradability of</w:t>
            </w:r>
          </w:p>
          <w:p w14:paraId="640462D3" w14:textId="77777777" w:rsidR="00D53823" w:rsidRPr="00AE7E68" w:rsidRDefault="00D53823" w:rsidP="00261A29">
            <w:pPr>
              <w:keepNext/>
              <w:suppressAutoHyphens w:val="0"/>
              <w:rPr>
                <w:rFonts w:cs="Times New Roman"/>
                <w:i/>
                <w:color w:val="000000"/>
                <w:lang w:eastAsia="de-DE"/>
              </w:rPr>
            </w:pPr>
            <w:r w:rsidRPr="00AE7E68">
              <w:rPr>
                <w:rFonts w:cs="Times New Roman"/>
                <w:i/>
                <w:color w:val="000000"/>
                <w:lang w:eastAsia="de-DE"/>
              </w:rPr>
              <w:t>Lactic acid 80% food grade in a Closed Bottle Test</w:t>
            </w:r>
          </w:p>
          <w:p w14:paraId="17501797" w14:textId="77777777" w:rsidR="00D53823" w:rsidRPr="00AE7E68" w:rsidRDefault="00D53823" w:rsidP="00261A29">
            <w:pPr>
              <w:keepNext/>
              <w:suppressAutoHyphens w:val="0"/>
              <w:rPr>
                <w:rFonts w:cs="Times New Roman"/>
                <w:i/>
                <w:color w:val="000000"/>
                <w:lang w:eastAsia="de-DE"/>
              </w:rPr>
            </w:pPr>
          </w:p>
          <w:p w14:paraId="76A5B4A6" w14:textId="77777777" w:rsidR="00D53823" w:rsidRPr="00AE7E68" w:rsidRDefault="00D53823" w:rsidP="00261A29">
            <w:pPr>
              <w:keepNext/>
              <w:suppressAutoHyphens w:val="0"/>
              <w:rPr>
                <w:rFonts w:cs="Times New Roman"/>
                <w:i/>
                <w:color w:val="000000"/>
                <w:lang w:eastAsia="de-DE"/>
              </w:rPr>
            </w:pPr>
            <w:r w:rsidRPr="00AE7E68">
              <w:rPr>
                <w:rFonts w:cs="Times New Roman"/>
                <w:i/>
                <w:color w:val="000000"/>
                <w:u w:val="single"/>
                <w:lang w:eastAsia="de-DE"/>
              </w:rPr>
              <w:t>Author:</w:t>
            </w:r>
            <w:r w:rsidRPr="00AE7E68">
              <w:rPr>
                <w:rFonts w:cs="Times New Roman"/>
                <w:i/>
                <w:color w:val="000000"/>
                <w:lang w:eastAsia="de-DE"/>
              </w:rPr>
              <w:t xml:space="preserve"> Dr. Ute </w:t>
            </w:r>
            <w:r w:rsidRPr="00AE7E68">
              <w:rPr>
                <w:rFonts w:cs="Times New Roman"/>
                <w:i/>
                <w:color w:val="000000"/>
                <w:lang w:eastAsia="de-DE"/>
              </w:rPr>
              <w:lastRenderedPageBreak/>
              <w:t>Hammesfahr</w:t>
            </w:r>
          </w:p>
          <w:p w14:paraId="4E10385E" w14:textId="77777777" w:rsidR="00D53823" w:rsidRPr="002C1236" w:rsidRDefault="00D53823" w:rsidP="00261A29">
            <w:pPr>
              <w:keepNext/>
              <w:suppressAutoHyphens w:val="0"/>
              <w:rPr>
                <w:rFonts w:cs="Times New Roman"/>
                <w:i/>
                <w:color w:val="000000"/>
                <w:u w:val="single"/>
                <w:lang w:eastAsia="de-DE"/>
              </w:rPr>
            </w:pPr>
          </w:p>
          <w:p w14:paraId="5F4F55EC" w14:textId="77777777" w:rsidR="00D53823" w:rsidRPr="00545937" w:rsidRDefault="00D53823" w:rsidP="00261A29">
            <w:pPr>
              <w:keepNext/>
              <w:suppressAutoHyphens w:val="0"/>
              <w:rPr>
                <w:rFonts w:cs="Times New Roman"/>
                <w:i/>
                <w:color w:val="000000"/>
                <w:u w:val="single"/>
                <w:lang w:eastAsia="de-DE"/>
              </w:rPr>
            </w:pPr>
            <w:r w:rsidRPr="00545937">
              <w:rPr>
                <w:rFonts w:cs="Times New Roman"/>
                <w:i/>
                <w:color w:val="000000"/>
                <w:u w:val="single"/>
                <w:lang w:eastAsia="de-DE"/>
              </w:rPr>
              <w:t xml:space="preserve">Sponsor: </w:t>
            </w:r>
          </w:p>
          <w:p w14:paraId="01A02E88" w14:textId="77777777" w:rsidR="00D53823" w:rsidRPr="00A75C9A" w:rsidRDefault="00D53823" w:rsidP="00261A29">
            <w:pPr>
              <w:keepNext/>
              <w:suppressAutoHyphens w:val="0"/>
              <w:rPr>
                <w:rFonts w:cs="Times New Roman"/>
                <w:i/>
                <w:color w:val="000000"/>
                <w:lang w:eastAsia="de-DE"/>
              </w:rPr>
            </w:pPr>
            <w:r w:rsidRPr="00A75C9A">
              <w:rPr>
                <w:rFonts w:cs="Times New Roman"/>
                <w:i/>
                <w:color w:val="000000"/>
                <w:lang w:eastAsia="de-DE"/>
              </w:rPr>
              <w:t>Jungbunzlauer International AG</w:t>
            </w:r>
          </w:p>
          <w:p w14:paraId="7925CB2E" w14:textId="77777777" w:rsidR="00D53823" w:rsidRPr="002C1EF0" w:rsidRDefault="00D53823" w:rsidP="00261A29">
            <w:pPr>
              <w:keepNext/>
              <w:suppressAutoHyphens w:val="0"/>
              <w:rPr>
                <w:rFonts w:cs="Times New Roman"/>
                <w:i/>
                <w:color w:val="000000"/>
                <w:lang w:eastAsia="de-DE"/>
              </w:rPr>
            </w:pPr>
          </w:p>
          <w:p w14:paraId="39F09142" w14:textId="77777777" w:rsidR="00D53823" w:rsidRPr="00AE7E68" w:rsidRDefault="00D53823" w:rsidP="00261A29">
            <w:pPr>
              <w:keepNext/>
              <w:suppressAutoHyphens w:val="0"/>
              <w:rPr>
                <w:rFonts w:cs="Times New Roman"/>
                <w:i/>
                <w:color w:val="000000"/>
                <w:u w:val="single"/>
                <w:lang w:eastAsia="de-DE"/>
              </w:rPr>
            </w:pPr>
            <w:r w:rsidRPr="00AE7E68">
              <w:rPr>
                <w:rFonts w:cs="Times New Roman"/>
                <w:i/>
                <w:color w:val="000000"/>
                <w:u w:val="single"/>
                <w:lang w:eastAsia="de-DE"/>
              </w:rPr>
              <w:t>Test Facility:</w:t>
            </w:r>
          </w:p>
          <w:p w14:paraId="5D01656B" w14:textId="77777777" w:rsidR="00D53823" w:rsidRPr="00AE7E68" w:rsidRDefault="00D53823" w:rsidP="00261A29">
            <w:pPr>
              <w:keepNext/>
              <w:suppressAutoHyphens w:val="0"/>
              <w:rPr>
                <w:rFonts w:cs="Times New Roman"/>
                <w:i/>
                <w:color w:val="000000"/>
                <w:lang w:eastAsia="de-DE"/>
              </w:rPr>
            </w:pPr>
            <w:r w:rsidRPr="00AE7E68">
              <w:rPr>
                <w:rFonts w:cs="Times New Roman"/>
                <w:i/>
                <w:color w:val="000000"/>
                <w:lang w:eastAsia="de-DE"/>
              </w:rPr>
              <w:t>Institut für Biologische Analytik und Consulting IBACON GmbH</w:t>
            </w:r>
          </w:p>
          <w:p w14:paraId="199CAEE9" w14:textId="77777777" w:rsidR="00D53823" w:rsidRPr="00AE7E68" w:rsidRDefault="00D53823" w:rsidP="00261A29">
            <w:pPr>
              <w:keepNext/>
              <w:suppressAutoHyphens w:val="0"/>
              <w:rPr>
                <w:rFonts w:cs="Times New Roman"/>
                <w:i/>
                <w:color w:val="000000"/>
                <w:lang w:eastAsia="de-DE"/>
              </w:rPr>
            </w:pPr>
          </w:p>
          <w:p w14:paraId="2AEEEFD8" w14:textId="77777777" w:rsidR="00D53823" w:rsidRPr="00AE7E68" w:rsidRDefault="00D53823" w:rsidP="00261A29">
            <w:pPr>
              <w:keepNext/>
              <w:suppressAutoHyphens w:val="0"/>
              <w:rPr>
                <w:rFonts w:cs="Times New Roman"/>
                <w:i/>
                <w:color w:val="000000"/>
                <w:lang w:eastAsia="de-DE"/>
              </w:rPr>
            </w:pPr>
          </w:p>
        </w:tc>
      </w:tr>
      <w:tr w:rsidR="00A73CF9" w:rsidRPr="00FB01A1" w14:paraId="0E1AD432" w14:textId="77777777" w:rsidTr="00AB1CDB">
        <w:tc>
          <w:tcPr>
            <w:tcW w:w="906" w:type="pct"/>
            <w:tcBorders>
              <w:top w:val="single" w:sz="4" w:space="0" w:color="auto"/>
              <w:bottom w:val="single" w:sz="4" w:space="0" w:color="auto"/>
              <w:right w:val="single" w:sz="4" w:space="0" w:color="auto"/>
            </w:tcBorders>
          </w:tcPr>
          <w:p w14:paraId="1DDA07C3" w14:textId="77777777" w:rsidR="00D53823" w:rsidRPr="00AE7E68" w:rsidRDefault="00D53823" w:rsidP="00261A29">
            <w:pPr>
              <w:keepNext/>
              <w:suppressAutoHyphens w:val="0"/>
              <w:rPr>
                <w:rFonts w:cs="Times New Roman"/>
                <w:i/>
                <w:color w:val="000000"/>
                <w:lang w:eastAsia="de-DE"/>
              </w:rPr>
            </w:pPr>
            <w:r w:rsidRPr="00AE7E68">
              <w:rPr>
                <w:rFonts w:cs="Times New Roman"/>
                <w:lang w:eastAsia="de-DE"/>
              </w:rPr>
              <w:lastRenderedPageBreak/>
              <w:t>QSAR models</w:t>
            </w:r>
            <w:r w:rsidRPr="00AE7E68">
              <w:rPr>
                <w:rFonts w:eastAsia="Calibri" w:cs="Times New Roman"/>
                <w:color w:val="000000"/>
                <w:lang w:eastAsia="en-US"/>
              </w:rPr>
              <w:t>:</w:t>
            </w:r>
          </w:p>
          <w:p w14:paraId="5068833A" w14:textId="77777777" w:rsidR="00D53823" w:rsidRPr="00AE7E68" w:rsidRDefault="00D53823" w:rsidP="00D53823">
            <w:pPr>
              <w:keepNext/>
              <w:numPr>
                <w:ilvl w:val="0"/>
                <w:numId w:val="11"/>
              </w:numPr>
              <w:suppressAutoHyphens w:val="0"/>
              <w:spacing w:line="260" w:lineRule="atLeast"/>
              <w:jc w:val="both"/>
              <w:rPr>
                <w:rFonts w:eastAsia="Calibri" w:cs="Times New Roman"/>
                <w:color w:val="000000"/>
                <w:lang w:eastAsia="en-US"/>
              </w:rPr>
            </w:pPr>
            <w:r w:rsidRPr="00AE7E68">
              <w:rPr>
                <w:rFonts w:eastAsia="Calibri" w:cs="Times New Roman"/>
                <w:color w:val="000000"/>
                <w:lang w:eastAsia="en-US"/>
              </w:rPr>
              <w:t>EPISuite (BIOWIN v4.10 module)</w:t>
            </w:r>
          </w:p>
          <w:p w14:paraId="547F3B89" w14:textId="77777777" w:rsidR="00D53823" w:rsidRPr="00AE7E68" w:rsidRDefault="00D53823" w:rsidP="00D53823">
            <w:pPr>
              <w:keepNext/>
              <w:numPr>
                <w:ilvl w:val="0"/>
                <w:numId w:val="11"/>
              </w:numPr>
              <w:suppressAutoHyphens w:val="0"/>
              <w:spacing w:line="260" w:lineRule="atLeast"/>
              <w:jc w:val="both"/>
              <w:rPr>
                <w:rFonts w:eastAsia="Calibri" w:cs="Times New Roman"/>
                <w:color w:val="000000"/>
                <w:lang w:eastAsia="en-US"/>
              </w:rPr>
            </w:pPr>
            <w:r w:rsidRPr="00AE7E68">
              <w:rPr>
                <w:rFonts w:eastAsia="Calibri" w:cs="Times New Roman"/>
                <w:color w:val="000000"/>
                <w:lang w:eastAsia="en-US"/>
              </w:rPr>
              <w:t>VEGA 1.1.4</w:t>
            </w:r>
          </w:p>
          <w:p w14:paraId="301BCD17" w14:textId="77777777" w:rsidR="00D53823" w:rsidRPr="00AE7E68" w:rsidRDefault="00D53823" w:rsidP="00261A29">
            <w:pPr>
              <w:suppressAutoHyphens w:val="0"/>
              <w:autoSpaceDE w:val="0"/>
              <w:autoSpaceDN w:val="0"/>
              <w:adjustRightInd w:val="0"/>
              <w:rPr>
                <w:rFonts w:eastAsia="Calibri" w:cs="Times New Roman"/>
                <w:i/>
                <w:color w:val="000000"/>
                <w:lang w:eastAsia="en-US"/>
              </w:rPr>
            </w:pPr>
          </w:p>
          <w:p w14:paraId="3597A86C" w14:textId="77777777" w:rsidR="00D53823" w:rsidRPr="00AE7E68" w:rsidRDefault="00D53823" w:rsidP="00261A29">
            <w:pPr>
              <w:suppressAutoHyphens w:val="0"/>
              <w:autoSpaceDE w:val="0"/>
              <w:autoSpaceDN w:val="0"/>
              <w:adjustRightInd w:val="0"/>
              <w:rPr>
                <w:rFonts w:cs="SymbolMT"/>
                <w:lang w:val="en-US" w:eastAsia="en-GB"/>
              </w:rPr>
            </w:pPr>
            <w:r w:rsidRPr="00AE7E68">
              <w:rPr>
                <w:rFonts w:eastAsia="Calibri" w:cs="Times New Roman"/>
                <w:i/>
                <w:color w:val="000000"/>
                <w:lang w:eastAsia="en-US"/>
              </w:rPr>
              <w:t>Reliability: 2</w:t>
            </w:r>
          </w:p>
        </w:tc>
        <w:tc>
          <w:tcPr>
            <w:tcW w:w="350" w:type="pct"/>
            <w:tcBorders>
              <w:top w:val="single" w:sz="4" w:space="0" w:color="auto"/>
              <w:left w:val="single" w:sz="4" w:space="0" w:color="auto"/>
              <w:bottom w:val="single" w:sz="4" w:space="0" w:color="auto"/>
              <w:right w:val="single" w:sz="4" w:space="0" w:color="auto"/>
            </w:tcBorders>
          </w:tcPr>
          <w:p w14:paraId="16251280" w14:textId="77777777" w:rsidR="00D53823" w:rsidRPr="00AE7E68" w:rsidRDefault="00D53823" w:rsidP="00261A29">
            <w:pPr>
              <w:keepNext/>
              <w:suppressAutoHyphens w:val="0"/>
              <w:spacing w:line="260" w:lineRule="atLeast"/>
              <w:jc w:val="both"/>
              <w:rPr>
                <w:rFonts w:cs="Calibri"/>
                <w:lang w:val="en-US" w:eastAsia="en-GB"/>
              </w:rPr>
            </w:pPr>
            <w:r w:rsidRPr="00AE7E68">
              <w:rPr>
                <w:rFonts w:cs="Calibri"/>
                <w:lang w:val="en-US" w:eastAsia="en-GB"/>
              </w:rPr>
              <w:t>Lactic acid</w:t>
            </w:r>
          </w:p>
        </w:tc>
        <w:tc>
          <w:tcPr>
            <w:tcW w:w="528" w:type="pct"/>
            <w:tcBorders>
              <w:top w:val="single" w:sz="4" w:space="0" w:color="auto"/>
              <w:left w:val="single" w:sz="4" w:space="0" w:color="auto"/>
              <w:bottom w:val="single" w:sz="4" w:space="0" w:color="auto"/>
              <w:right w:val="single" w:sz="4" w:space="0" w:color="auto"/>
            </w:tcBorders>
          </w:tcPr>
          <w:p w14:paraId="2743751E"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N/A</w:t>
            </w:r>
          </w:p>
        </w:tc>
        <w:tc>
          <w:tcPr>
            <w:tcW w:w="377" w:type="pct"/>
            <w:tcBorders>
              <w:top w:val="single" w:sz="4" w:space="0" w:color="auto"/>
              <w:left w:val="single" w:sz="4" w:space="0" w:color="auto"/>
              <w:bottom w:val="single" w:sz="4" w:space="0" w:color="auto"/>
              <w:right w:val="single" w:sz="4" w:space="0" w:color="auto"/>
            </w:tcBorders>
          </w:tcPr>
          <w:p w14:paraId="61F0D7B6" w14:textId="77777777" w:rsidR="00D53823" w:rsidRPr="00AE7E68" w:rsidRDefault="00D53823" w:rsidP="00261A29">
            <w:pPr>
              <w:keepNext/>
              <w:suppressAutoHyphens w:val="0"/>
              <w:spacing w:line="260" w:lineRule="atLeast"/>
              <w:jc w:val="both"/>
              <w:rPr>
                <w:rFonts w:cs="Calibri"/>
                <w:lang w:val="en-US" w:eastAsia="en-GB"/>
              </w:rPr>
            </w:pPr>
            <w:r w:rsidRPr="00AE7E68">
              <w:rPr>
                <w:rFonts w:cs="Calibri"/>
                <w:lang w:val="en-US" w:eastAsia="en-GB"/>
              </w:rPr>
              <w:t>N/A</w:t>
            </w:r>
          </w:p>
        </w:tc>
        <w:tc>
          <w:tcPr>
            <w:tcW w:w="253" w:type="pct"/>
            <w:tcBorders>
              <w:top w:val="single" w:sz="4" w:space="0" w:color="auto"/>
              <w:left w:val="single" w:sz="4" w:space="0" w:color="auto"/>
              <w:bottom w:val="single" w:sz="4" w:space="0" w:color="auto"/>
              <w:right w:val="single" w:sz="4" w:space="0" w:color="auto"/>
            </w:tcBorders>
          </w:tcPr>
          <w:p w14:paraId="6F905CD2" w14:textId="77777777" w:rsidR="00D53823" w:rsidRPr="00AE7E68" w:rsidRDefault="00D53823" w:rsidP="00261A29">
            <w:pPr>
              <w:keepNext/>
              <w:suppressAutoHyphens w:val="0"/>
              <w:spacing w:line="260" w:lineRule="atLeast"/>
              <w:jc w:val="both"/>
              <w:rPr>
                <w:rFonts w:eastAsia="Calibri" w:cs="Times New Roman"/>
                <w:i/>
                <w:color w:val="000000"/>
                <w:lang w:eastAsia="en-US"/>
              </w:rPr>
            </w:pPr>
            <w:r w:rsidRPr="00AE7E68">
              <w:rPr>
                <w:rFonts w:cs="Calibri"/>
                <w:lang w:val="en-US" w:eastAsia="en-GB"/>
              </w:rPr>
              <w:t>N/A</w:t>
            </w:r>
          </w:p>
        </w:tc>
        <w:tc>
          <w:tcPr>
            <w:tcW w:w="458" w:type="pct"/>
            <w:tcBorders>
              <w:top w:val="single" w:sz="4" w:space="0" w:color="auto"/>
              <w:left w:val="single" w:sz="4" w:space="0" w:color="auto"/>
              <w:bottom w:val="single" w:sz="4" w:space="0" w:color="auto"/>
              <w:right w:val="single" w:sz="4" w:space="0" w:color="auto"/>
            </w:tcBorders>
          </w:tcPr>
          <w:p w14:paraId="1045E039" w14:textId="77777777" w:rsidR="00D53823" w:rsidRPr="00AE7E68" w:rsidRDefault="00D53823" w:rsidP="00261A29">
            <w:pPr>
              <w:keepNext/>
              <w:suppressAutoHyphens w:val="0"/>
              <w:spacing w:line="260" w:lineRule="atLeast"/>
              <w:jc w:val="both"/>
              <w:rPr>
                <w:rFonts w:cs="Calibri"/>
                <w:lang w:val="en-US" w:eastAsia="en-GB"/>
              </w:rPr>
            </w:pPr>
            <w:r w:rsidRPr="00AE7E68">
              <w:rPr>
                <w:rFonts w:cs="Calibri"/>
                <w:lang w:val="en-US" w:eastAsia="en-GB"/>
              </w:rPr>
              <w:t>N/A</w:t>
            </w:r>
          </w:p>
        </w:tc>
        <w:tc>
          <w:tcPr>
            <w:tcW w:w="670" w:type="pct"/>
            <w:tcBorders>
              <w:top w:val="single" w:sz="4" w:space="0" w:color="auto"/>
              <w:left w:val="single" w:sz="4" w:space="0" w:color="auto"/>
              <w:bottom w:val="single" w:sz="4" w:space="0" w:color="auto"/>
              <w:right w:val="single" w:sz="4" w:space="0" w:color="auto"/>
            </w:tcBorders>
          </w:tcPr>
          <w:p w14:paraId="63B7AEF7" w14:textId="77777777" w:rsidR="00D53823" w:rsidRPr="00AE7E68" w:rsidRDefault="00D53823" w:rsidP="00261A29">
            <w:pPr>
              <w:suppressAutoHyphens w:val="0"/>
              <w:autoSpaceDE w:val="0"/>
              <w:autoSpaceDN w:val="0"/>
              <w:adjustRightInd w:val="0"/>
              <w:rPr>
                <w:rFonts w:cs="Calibri"/>
                <w:lang w:val="en-US" w:eastAsia="en-GB"/>
              </w:rPr>
            </w:pPr>
            <w:r w:rsidRPr="00AE7E68">
              <w:rPr>
                <w:rFonts w:cs="Calibri"/>
                <w:lang w:val="en-US" w:eastAsia="en-GB"/>
              </w:rPr>
              <w:t>N/A</w:t>
            </w:r>
          </w:p>
        </w:tc>
        <w:tc>
          <w:tcPr>
            <w:tcW w:w="832" w:type="pct"/>
            <w:tcBorders>
              <w:top w:val="single" w:sz="4" w:space="0" w:color="auto"/>
              <w:left w:val="single" w:sz="4" w:space="0" w:color="auto"/>
              <w:bottom w:val="single" w:sz="4" w:space="0" w:color="auto"/>
              <w:right w:val="single" w:sz="4" w:space="0" w:color="auto"/>
            </w:tcBorders>
          </w:tcPr>
          <w:p w14:paraId="18C025C8" w14:textId="77777777" w:rsidR="00D53823" w:rsidRPr="00AE7E68" w:rsidRDefault="00D53823" w:rsidP="00261A29">
            <w:pPr>
              <w:suppressAutoHyphens w:val="0"/>
              <w:autoSpaceDE w:val="0"/>
              <w:autoSpaceDN w:val="0"/>
              <w:adjustRightInd w:val="0"/>
              <w:rPr>
                <w:rFonts w:cs="Times New Roman"/>
                <w:bCs/>
                <w:lang w:eastAsia="de-DE"/>
              </w:rPr>
            </w:pPr>
            <w:r w:rsidRPr="00AE7E68">
              <w:rPr>
                <w:rFonts w:cs="Times New Roman"/>
                <w:lang w:eastAsia="de-DE"/>
              </w:rPr>
              <w:t xml:space="preserve">Based on multiple QSAR models applied, L-(+)-lactic acid was predicted as </w:t>
            </w:r>
            <w:r w:rsidRPr="00AE7E68">
              <w:rPr>
                <w:rFonts w:cs="Times New Roman"/>
                <w:bCs/>
                <w:lang w:eastAsia="de-DE"/>
              </w:rPr>
              <w:t>readily biodegradable.</w:t>
            </w:r>
          </w:p>
          <w:p w14:paraId="1E761A49" w14:textId="77777777" w:rsidR="00D53823" w:rsidRPr="00AE7E68" w:rsidRDefault="00D53823" w:rsidP="00261A29">
            <w:pPr>
              <w:suppressAutoHyphens w:val="0"/>
              <w:autoSpaceDE w:val="0"/>
              <w:autoSpaceDN w:val="0"/>
              <w:adjustRightInd w:val="0"/>
              <w:rPr>
                <w:rFonts w:cs="Calibri"/>
                <w:lang w:val="en-US" w:eastAsia="en-GB"/>
              </w:rPr>
            </w:pPr>
            <w:r w:rsidRPr="00AE7E68">
              <w:rPr>
                <w:rFonts w:cs="Times New Roman"/>
                <w:bCs/>
                <w:lang w:eastAsia="de-DE"/>
              </w:rPr>
              <w:t>The half life for L-(+)-lactic acid for bulk soil based on results from standardised biodegradation test results was calculated as 30 days.</w:t>
            </w:r>
          </w:p>
        </w:tc>
        <w:tc>
          <w:tcPr>
            <w:tcW w:w="626" w:type="pct"/>
            <w:tcBorders>
              <w:top w:val="single" w:sz="4" w:space="0" w:color="auto"/>
              <w:left w:val="single" w:sz="4" w:space="0" w:color="auto"/>
              <w:bottom w:val="single" w:sz="4" w:space="0" w:color="auto"/>
            </w:tcBorders>
          </w:tcPr>
          <w:p w14:paraId="33DB37F0" w14:textId="77777777" w:rsidR="00D53823" w:rsidRPr="00AE7E68" w:rsidRDefault="00D53823" w:rsidP="00261A29">
            <w:pPr>
              <w:keepNext/>
              <w:suppressAutoHyphens w:val="0"/>
              <w:rPr>
                <w:rFonts w:cs="Times New Roman"/>
                <w:i/>
                <w:color w:val="000000"/>
                <w:lang w:eastAsia="de-DE"/>
              </w:rPr>
            </w:pPr>
            <w:r w:rsidRPr="00AE7E68">
              <w:rPr>
                <w:rFonts w:cs="Times New Roman"/>
                <w:i/>
                <w:color w:val="000000"/>
                <w:u w:val="single"/>
                <w:lang w:eastAsia="de-DE"/>
              </w:rPr>
              <w:t>Title:</w:t>
            </w:r>
            <w:r w:rsidRPr="00AE7E68">
              <w:rPr>
                <w:rFonts w:cs="Times New Roman"/>
                <w:i/>
                <w:color w:val="000000"/>
                <w:lang w:eastAsia="de-DE"/>
              </w:rPr>
              <w:t xml:space="preserve"> In silico prediction of Ready Biodegradability for</w:t>
            </w:r>
          </w:p>
          <w:p w14:paraId="7BFDCEB8" w14:textId="77777777" w:rsidR="00D53823" w:rsidRPr="00AE7E68" w:rsidRDefault="00D53823" w:rsidP="00261A29">
            <w:pPr>
              <w:keepNext/>
              <w:suppressAutoHyphens w:val="0"/>
              <w:rPr>
                <w:rFonts w:cs="Times New Roman"/>
                <w:i/>
                <w:color w:val="000000"/>
                <w:lang w:eastAsia="de-DE"/>
              </w:rPr>
            </w:pPr>
            <w:r w:rsidRPr="00AE7E68">
              <w:rPr>
                <w:rFonts w:cs="Times New Roman"/>
                <w:i/>
                <w:color w:val="000000"/>
                <w:lang w:eastAsia="de-DE"/>
              </w:rPr>
              <w:t>L-(+)-lactic acid</w:t>
            </w:r>
          </w:p>
          <w:p w14:paraId="52F0758F" w14:textId="77777777" w:rsidR="00D53823" w:rsidRPr="00AE7E68" w:rsidRDefault="00D53823" w:rsidP="00261A29">
            <w:pPr>
              <w:keepNext/>
              <w:suppressAutoHyphens w:val="0"/>
              <w:rPr>
                <w:rFonts w:cs="Times New Roman"/>
                <w:i/>
                <w:color w:val="000000"/>
                <w:u w:val="single"/>
                <w:lang w:eastAsia="de-DE"/>
              </w:rPr>
            </w:pPr>
          </w:p>
          <w:p w14:paraId="6DDACD95" w14:textId="77777777" w:rsidR="00D53823" w:rsidRPr="00AE7E68" w:rsidRDefault="00D53823" w:rsidP="00261A29">
            <w:pPr>
              <w:keepNext/>
              <w:suppressAutoHyphens w:val="0"/>
              <w:rPr>
                <w:rFonts w:cs="Times New Roman"/>
                <w:i/>
                <w:color w:val="000000"/>
                <w:lang w:eastAsia="de-DE"/>
              </w:rPr>
            </w:pPr>
            <w:r w:rsidRPr="00AE7E68">
              <w:rPr>
                <w:rFonts w:cs="Times New Roman"/>
                <w:i/>
                <w:color w:val="000000"/>
                <w:u w:val="single"/>
                <w:lang w:eastAsia="de-DE"/>
              </w:rPr>
              <w:t xml:space="preserve">Sponsor: </w:t>
            </w:r>
            <w:r w:rsidRPr="00AE7E68">
              <w:rPr>
                <w:rFonts w:cs="Times New Roman"/>
                <w:i/>
                <w:color w:val="000000"/>
                <w:lang w:eastAsia="de-DE"/>
              </w:rPr>
              <w:t>Jungbunzlauer S.A.</w:t>
            </w:r>
          </w:p>
          <w:p w14:paraId="7E0DB6C6" w14:textId="77777777" w:rsidR="00D53823" w:rsidRPr="00AE7E68" w:rsidRDefault="00D53823" w:rsidP="00261A29">
            <w:pPr>
              <w:keepNext/>
              <w:suppressAutoHyphens w:val="0"/>
              <w:rPr>
                <w:rFonts w:cs="Times New Roman"/>
                <w:i/>
                <w:color w:val="000000"/>
                <w:u w:val="single"/>
                <w:lang w:eastAsia="de-DE"/>
              </w:rPr>
            </w:pPr>
          </w:p>
          <w:p w14:paraId="6F29CEA0" w14:textId="77777777" w:rsidR="00D53823" w:rsidRPr="00AE7E68" w:rsidRDefault="00D53823" w:rsidP="00261A29">
            <w:pPr>
              <w:keepNext/>
              <w:suppressAutoHyphens w:val="0"/>
              <w:rPr>
                <w:rFonts w:cs="Times New Roman"/>
                <w:i/>
                <w:color w:val="000000"/>
                <w:u w:val="single"/>
                <w:lang w:eastAsia="de-DE"/>
              </w:rPr>
            </w:pPr>
            <w:r w:rsidRPr="00AE7E68">
              <w:rPr>
                <w:rFonts w:cs="Times New Roman"/>
                <w:i/>
                <w:color w:val="000000"/>
                <w:u w:val="single"/>
                <w:lang w:eastAsia="de-DE"/>
              </w:rPr>
              <w:t>Study organisation:</w:t>
            </w:r>
            <w:r w:rsidRPr="00AE7E68">
              <w:rPr>
                <w:rFonts w:cs="Times New Roman"/>
                <w:i/>
                <w:color w:val="000000"/>
                <w:lang w:eastAsia="de-DE"/>
              </w:rPr>
              <w:t xml:space="preserve"> Kreatis</w:t>
            </w:r>
          </w:p>
          <w:p w14:paraId="31E8C457" w14:textId="77777777" w:rsidR="00D53823" w:rsidRPr="00AE7E68" w:rsidRDefault="00D53823" w:rsidP="00261A29">
            <w:pPr>
              <w:keepNext/>
              <w:suppressAutoHyphens w:val="0"/>
              <w:rPr>
                <w:rFonts w:cs="Times New Roman"/>
                <w:i/>
                <w:color w:val="000000"/>
                <w:lang w:eastAsia="de-DE"/>
              </w:rPr>
            </w:pPr>
          </w:p>
          <w:p w14:paraId="49C10CF4" w14:textId="77777777" w:rsidR="00D53823" w:rsidRPr="00AE7E68" w:rsidRDefault="00D53823" w:rsidP="00261A29">
            <w:pPr>
              <w:keepNext/>
              <w:suppressAutoHyphens w:val="0"/>
              <w:rPr>
                <w:rFonts w:cs="Times New Roman"/>
                <w:i/>
                <w:color w:val="000000"/>
                <w:lang w:eastAsia="de-DE"/>
              </w:rPr>
            </w:pPr>
          </w:p>
        </w:tc>
      </w:tr>
    </w:tbl>
    <w:p w14:paraId="364B36B1" w14:textId="77777777" w:rsidR="00D53823" w:rsidRDefault="00D53823" w:rsidP="00D53823">
      <w:pPr>
        <w:rPr>
          <w:rFonts w:eastAsia="Calibri"/>
          <w:b/>
          <w:i/>
          <w:sz w:val="22"/>
          <w:szCs w:val="22"/>
          <w:lang w:eastAsia="en-US"/>
        </w:rPr>
        <w:sectPr w:rsidR="00D53823" w:rsidSect="00237671">
          <w:pgSz w:w="11906" w:h="16838"/>
          <w:pgMar w:top="1474" w:right="566" w:bottom="1702" w:left="1446" w:header="851" w:footer="851" w:gutter="0"/>
          <w:cols w:space="720"/>
          <w:docGrid w:linePitch="272"/>
        </w:sectPr>
      </w:pPr>
    </w:p>
    <w:p w14:paraId="7E7DE470" w14:textId="77777777" w:rsidR="00D53823" w:rsidRDefault="00D53823" w:rsidP="00D53823">
      <w:pPr>
        <w:rPr>
          <w:rFonts w:ascii="Times New Roman" w:eastAsia="Calibri" w:hAnsi="Times New Roman" w:cs="Times New Roman"/>
          <w:i/>
          <w:iCs/>
          <w:lang w:eastAsia="en-US"/>
        </w:rPr>
      </w:pPr>
      <w:r>
        <w:rPr>
          <w:rFonts w:eastAsia="Calibri"/>
          <w:b/>
          <w:i/>
          <w:sz w:val="22"/>
          <w:szCs w:val="22"/>
          <w:lang w:eastAsia="en-US"/>
        </w:rPr>
        <w:lastRenderedPageBreak/>
        <w:t>Leaching behaviour (ADS)</w:t>
      </w:r>
    </w:p>
    <w:p w14:paraId="3EB1891C" w14:textId="77777777" w:rsidR="00D53823" w:rsidRDefault="00D53823" w:rsidP="00D53823">
      <w:pPr>
        <w:spacing w:line="260" w:lineRule="atLeast"/>
        <w:rPr>
          <w:rFonts w:eastAsia="Calibri" w:cs="Times New Roman"/>
          <w:iCs/>
          <w:lang w:eastAsia="en-US"/>
        </w:rPr>
      </w:pPr>
    </w:p>
    <w:p w14:paraId="3BE5CAB8" w14:textId="77777777" w:rsidR="00D53823" w:rsidRPr="007F51E0" w:rsidRDefault="00D53823" w:rsidP="00D53823">
      <w:pPr>
        <w:spacing w:line="260" w:lineRule="atLeast"/>
        <w:rPr>
          <w:rFonts w:ascii="Times New Roman" w:eastAsia="Calibri" w:hAnsi="Times New Roman" w:cs="Times New Roman"/>
          <w:i/>
          <w:iCs/>
          <w:lang w:val="en-US" w:eastAsia="en-US"/>
        </w:rPr>
      </w:pPr>
      <w:r>
        <w:rPr>
          <w:rFonts w:eastAsia="Calibri" w:cs="Times New Roman"/>
          <w:iCs/>
          <w:lang w:eastAsia="en-US"/>
        </w:rPr>
        <w:t>No new data is available</w:t>
      </w:r>
      <w:r w:rsidRPr="007F51E0" w:rsidDel="008A0FA1">
        <w:rPr>
          <w:rFonts w:ascii="Times New Roman" w:eastAsia="Calibri" w:hAnsi="Times New Roman" w:cs="Times New Roman"/>
          <w:i/>
          <w:iCs/>
          <w:lang w:val="en-US" w:eastAsia="en-US"/>
        </w:rPr>
        <w:t xml:space="preserve"> </w:t>
      </w:r>
    </w:p>
    <w:p w14:paraId="799EBC9F" w14:textId="77777777" w:rsidR="00D53823" w:rsidRDefault="00D53823" w:rsidP="00D53823">
      <w:pPr>
        <w:spacing w:line="260" w:lineRule="atLeast"/>
        <w:rPr>
          <w:rFonts w:ascii="Times New Roman" w:eastAsia="Calibri" w:hAnsi="Times New Roman" w:cs="Times New Roman"/>
          <w:i/>
          <w:lang w:eastAsia="en-US"/>
        </w:rPr>
      </w:pPr>
    </w:p>
    <w:p w14:paraId="59B7206A" w14:textId="77777777" w:rsidR="00D53823" w:rsidRDefault="00D53823" w:rsidP="00D53823">
      <w:pPr>
        <w:rPr>
          <w:rFonts w:eastAsia="Calibri"/>
          <w:b/>
          <w:i/>
          <w:sz w:val="22"/>
          <w:szCs w:val="22"/>
          <w:lang w:eastAsia="en-US"/>
        </w:rPr>
      </w:pPr>
      <w:r>
        <w:rPr>
          <w:rFonts w:eastAsia="Calibri"/>
          <w:b/>
          <w:i/>
          <w:sz w:val="22"/>
          <w:szCs w:val="22"/>
          <w:lang w:eastAsia="en-US"/>
        </w:rPr>
        <w:t>Testing for distribution and dissipation in soil (ADS)</w:t>
      </w:r>
    </w:p>
    <w:p w14:paraId="616357B3" w14:textId="77777777" w:rsidR="00D53823" w:rsidRDefault="00D53823" w:rsidP="00D53823">
      <w:pPr>
        <w:rPr>
          <w:rFonts w:eastAsia="Calibri"/>
          <w:b/>
          <w:i/>
          <w:sz w:val="22"/>
          <w:szCs w:val="22"/>
          <w:lang w:eastAsia="en-US"/>
        </w:rPr>
      </w:pPr>
    </w:p>
    <w:p w14:paraId="3B285C06" w14:textId="77777777" w:rsidR="00D53823" w:rsidRPr="007F51E0" w:rsidRDefault="00D53823" w:rsidP="00D53823">
      <w:pPr>
        <w:spacing w:line="260" w:lineRule="atLeast"/>
        <w:rPr>
          <w:rFonts w:ascii="Times New Roman" w:eastAsia="Calibri" w:hAnsi="Times New Roman" w:cs="Times New Roman"/>
          <w:i/>
          <w:iCs/>
          <w:lang w:val="en-US" w:eastAsia="en-US"/>
        </w:rPr>
      </w:pPr>
      <w:r>
        <w:rPr>
          <w:rFonts w:eastAsia="Calibri" w:cs="Times New Roman"/>
          <w:iCs/>
          <w:lang w:eastAsia="en-US"/>
        </w:rPr>
        <w:t>No new data is available</w:t>
      </w:r>
      <w:r w:rsidRPr="007F51E0" w:rsidDel="008A0FA1">
        <w:rPr>
          <w:rFonts w:ascii="Times New Roman" w:eastAsia="Calibri" w:hAnsi="Times New Roman" w:cs="Times New Roman"/>
          <w:i/>
          <w:iCs/>
          <w:lang w:val="en-US" w:eastAsia="en-US"/>
        </w:rPr>
        <w:t xml:space="preserve"> </w:t>
      </w:r>
    </w:p>
    <w:p w14:paraId="165F1E89" w14:textId="77777777" w:rsidR="00D53823" w:rsidRDefault="00D53823" w:rsidP="00D53823">
      <w:pPr>
        <w:rPr>
          <w:rFonts w:eastAsia="Calibri"/>
          <w:b/>
          <w:i/>
          <w:sz w:val="22"/>
          <w:szCs w:val="22"/>
          <w:lang w:eastAsia="en-US"/>
        </w:rPr>
      </w:pPr>
    </w:p>
    <w:p w14:paraId="5A2324C4" w14:textId="77777777" w:rsidR="00D53823" w:rsidRDefault="00D53823" w:rsidP="00D53823">
      <w:pPr>
        <w:rPr>
          <w:rFonts w:eastAsia="Calibri"/>
          <w:b/>
          <w:i/>
          <w:sz w:val="22"/>
          <w:szCs w:val="22"/>
          <w:lang w:eastAsia="en-US"/>
        </w:rPr>
      </w:pPr>
      <w:r>
        <w:rPr>
          <w:rFonts w:eastAsia="Calibri"/>
          <w:b/>
          <w:i/>
          <w:sz w:val="22"/>
          <w:szCs w:val="22"/>
          <w:lang w:eastAsia="en-US"/>
        </w:rPr>
        <w:t>Testing for distribution and dissipation in water and sediment (ADS)</w:t>
      </w:r>
    </w:p>
    <w:p w14:paraId="1146597C" w14:textId="77777777" w:rsidR="00D53823" w:rsidRDefault="00D53823" w:rsidP="00D53823">
      <w:pPr>
        <w:spacing w:line="260" w:lineRule="atLeast"/>
        <w:ind w:left="360"/>
        <w:contextualSpacing/>
        <w:rPr>
          <w:rFonts w:eastAsia="Calibri"/>
          <w:b/>
          <w:i/>
          <w:sz w:val="22"/>
          <w:szCs w:val="22"/>
          <w:lang w:eastAsia="en-US"/>
        </w:rPr>
      </w:pPr>
    </w:p>
    <w:p w14:paraId="52E39B33" w14:textId="77777777" w:rsidR="00D53823" w:rsidRDefault="00D53823" w:rsidP="00D53823">
      <w:pPr>
        <w:spacing w:line="260" w:lineRule="atLeast"/>
        <w:rPr>
          <w:rFonts w:ascii="Times New Roman" w:eastAsia="Calibri" w:hAnsi="Times New Roman" w:cs="Times New Roman"/>
          <w:i/>
          <w:iCs/>
          <w:lang w:eastAsia="en-US"/>
        </w:rPr>
      </w:pPr>
      <w:r>
        <w:rPr>
          <w:rFonts w:eastAsia="Calibri" w:cs="Times New Roman"/>
          <w:iCs/>
          <w:lang w:eastAsia="en-US"/>
        </w:rPr>
        <w:t>No new data is available</w:t>
      </w:r>
      <w:r w:rsidDel="00CC6704">
        <w:rPr>
          <w:rFonts w:ascii="Times New Roman" w:eastAsia="Calibri" w:hAnsi="Times New Roman" w:cs="Times New Roman"/>
          <w:i/>
          <w:iCs/>
          <w:lang w:eastAsia="en-US"/>
        </w:rPr>
        <w:t xml:space="preserve"> </w:t>
      </w:r>
    </w:p>
    <w:p w14:paraId="00C5D35D" w14:textId="77777777" w:rsidR="00D53823" w:rsidRDefault="00D53823" w:rsidP="00D53823">
      <w:pPr>
        <w:rPr>
          <w:rFonts w:ascii="Times New Roman" w:eastAsia="Calibri" w:hAnsi="Times New Roman" w:cs="Times New Roman"/>
          <w:i/>
          <w:iCs/>
          <w:lang w:eastAsia="en-US"/>
        </w:rPr>
      </w:pPr>
    </w:p>
    <w:p w14:paraId="404A5679" w14:textId="77777777" w:rsidR="00D53823" w:rsidRDefault="00D53823" w:rsidP="00D53823">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14:paraId="7EE448EE" w14:textId="77777777" w:rsidR="00D53823" w:rsidRDefault="00D53823" w:rsidP="00D53823">
      <w:pPr>
        <w:spacing w:line="260" w:lineRule="atLeast"/>
        <w:rPr>
          <w:rFonts w:eastAsia="Calibri" w:cs="Times New Roman"/>
          <w:iCs/>
          <w:lang w:eastAsia="en-US"/>
        </w:rPr>
      </w:pPr>
    </w:p>
    <w:p w14:paraId="16CECA20" w14:textId="77777777" w:rsidR="00D53823" w:rsidRDefault="00D53823" w:rsidP="00D53823">
      <w:pPr>
        <w:spacing w:line="260" w:lineRule="atLeast"/>
        <w:contextualSpacing/>
        <w:rPr>
          <w:rFonts w:ascii="Times New Roman" w:eastAsia="Calibri" w:hAnsi="Times New Roman" w:cs="Times New Roman"/>
          <w:b/>
          <w:i/>
          <w:sz w:val="24"/>
          <w:shd w:val="clear" w:color="auto" w:fill="FF00FF"/>
          <w:lang w:eastAsia="en-US"/>
        </w:rPr>
      </w:pPr>
      <w:r>
        <w:rPr>
          <w:rFonts w:eastAsia="Calibri" w:cs="Times New Roman"/>
          <w:iCs/>
          <w:lang w:eastAsia="en-US"/>
        </w:rPr>
        <w:t>No new data is available</w:t>
      </w:r>
      <w:r w:rsidDel="00CC6704">
        <w:rPr>
          <w:rFonts w:ascii="Times New Roman" w:eastAsia="Calibri" w:hAnsi="Times New Roman" w:cs="Times New Roman"/>
          <w:i/>
          <w:iCs/>
          <w:lang w:eastAsia="en-US"/>
        </w:rPr>
        <w:t xml:space="preserve"> </w:t>
      </w:r>
    </w:p>
    <w:p w14:paraId="162CE440" w14:textId="77777777" w:rsidR="00D53823" w:rsidRDefault="00D53823" w:rsidP="00D53823">
      <w:pPr>
        <w:jc w:val="both"/>
        <w:rPr>
          <w:rFonts w:eastAsia="Calibri"/>
          <w:b/>
          <w:i/>
          <w:sz w:val="22"/>
          <w:szCs w:val="22"/>
          <w:lang w:eastAsia="en-US"/>
        </w:rPr>
      </w:pPr>
    </w:p>
    <w:p w14:paraId="533D2EAF" w14:textId="77777777" w:rsidR="00D53823" w:rsidRDefault="00D53823" w:rsidP="00D53823">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6D34DBB1" w14:textId="77777777" w:rsidR="00D53823" w:rsidRDefault="00D53823" w:rsidP="00D53823">
      <w:pPr>
        <w:spacing w:line="260" w:lineRule="atLeast"/>
        <w:rPr>
          <w:rFonts w:eastAsia="Calibri"/>
          <w:b/>
          <w:i/>
          <w:sz w:val="22"/>
          <w:szCs w:val="22"/>
          <w:lang w:eastAsia="en-US"/>
        </w:rPr>
      </w:pPr>
    </w:p>
    <w:p w14:paraId="1FDD19A0" w14:textId="77777777" w:rsidR="00D53823" w:rsidRDefault="00D53823" w:rsidP="00D53823">
      <w:pPr>
        <w:spacing w:line="260" w:lineRule="atLeast"/>
        <w:rPr>
          <w:rFonts w:eastAsia="Calibri"/>
          <w:lang w:eastAsia="en-US"/>
        </w:rPr>
      </w:pPr>
      <w:r>
        <w:rPr>
          <w:rFonts w:eastAsia="Calibri"/>
          <w:lang w:eastAsia="en-US"/>
        </w:rPr>
        <w:t>Not relevant</w:t>
      </w:r>
    </w:p>
    <w:p w14:paraId="002CE094" w14:textId="77777777" w:rsidR="00D53823" w:rsidRDefault="00D53823" w:rsidP="00D53823">
      <w:pPr>
        <w:jc w:val="both"/>
        <w:rPr>
          <w:rFonts w:eastAsia="Calibri"/>
          <w:b/>
          <w:i/>
          <w:sz w:val="22"/>
          <w:szCs w:val="22"/>
          <w:lang w:eastAsia="en-US"/>
        </w:rPr>
      </w:pPr>
    </w:p>
    <w:p w14:paraId="54B02BE3" w14:textId="77777777" w:rsidR="00D53823" w:rsidRDefault="00D53823" w:rsidP="00D53823">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05907E0F" w14:textId="77777777" w:rsidR="00D53823" w:rsidRDefault="00D53823" w:rsidP="00D53823">
      <w:pPr>
        <w:spacing w:line="260" w:lineRule="atLeast"/>
        <w:rPr>
          <w:rFonts w:eastAsia="Calibri"/>
          <w:lang w:eastAsia="en-US"/>
        </w:rPr>
      </w:pPr>
    </w:p>
    <w:p w14:paraId="1340B81B" w14:textId="77777777" w:rsidR="00D53823" w:rsidRDefault="00D53823" w:rsidP="00D53823">
      <w:pPr>
        <w:spacing w:line="260" w:lineRule="atLeast"/>
        <w:rPr>
          <w:rFonts w:eastAsia="Calibri"/>
          <w:lang w:eastAsia="en-US"/>
        </w:rPr>
      </w:pPr>
      <w:r>
        <w:rPr>
          <w:rFonts w:eastAsia="Calibri"/>
          <w:lang w:eastAsia="en-US"/>
        </w:rPr>
        <w:t>Not relevant</w:t>
      </w:r>
    </w:p>
    <w:p w14:paraId="65C96220" w14:textId="760C6222" w:rsidR="00D53823" w:rsidRDefault="00D53823" w:rsidP="00D53823">
      <w:pPr>
        <w:spacing w:line="260" w:lineRule="atLeast"/>
        <w:jc w:val="both"/>
        <w:rPr>
          <w:rFonts w:eastAsia="Calibri"/>
          <w:lang w:eastAsia="en-US"/>
        </w:rPr>
      </w:pPr>
    </w:p>
    <w:p w14:paraId="541DB52D" w14:textId="25002E0A" w:rsidR="00390618" w:rsidRPr="00CC0F55" w:rsidRDefault="00390618" w:rsidP="00CC0F55">
      <w:pPr>
        <w:jc w:val="both"/>
        <w:rPr>
          <w:rFonts w:eastAsia="Calibri"/>
          <w:b/>
          <w:i/>
          <w:sz w:val="22"/>
          <w:szCs w:val="22"/>
          <w:lang w:eastAsia="en-US"/>
        </w:rPr>
      </w:pPr>
      <w:r w:rsidRPr="00CC0F55">
        <w:rPr>
          <w:rFonts w:eastAsia="Calibri"/>
          <w:b/>
          <w:i/>
          <w:sz w:val="22"/>
          <w:szCs w:val="22"/>
          <w:lang w:eastAsia="en-US"/>
        </w:rPr>
        <w:t>Hazard endpoints for the risk assessment</w:t>
      </w:r>
    </w:p>
    <w:p w14:paraId="79C65471" w14:textId="77777777" w:rsidR="00D53823" w:rsidRDefault="00D53823" w:rsidP="00D53823">
      <w:pPr>
        <w:spacing w:line="260" w:lineRule="atLeast"/>
        <w:jc w:val="both"/>
        <w:rPr>
          <w:rFonts w:eastAsia="Calibri"/>
          <w:lang w:eastAsia="en-US"/>
        </w:rPr>
      </w:pPr>
    </w:p>
    <w:p w14:paraId="48A265B1" w14:textId="77777777" w:rsidR="00D53823" w:rsidRDefault="00D53823" w:rsidP="00D53823">
      <w:pPr>
        <w:spacing w:line="260" w:lineRule="atLeast"/>
        <w:jc w:val="both"/>
        <w:rPr>
          <w:rFonts w:eastAsia="Calibri"/>
          <w:lang w:eastAsia="en-US"/>
        </w:rPr>
      </w:pPr>
      <w:r w:rsidRPr="00A97AE4">
        <w:rPr>
          <w:rFonts w:eastAsia="Calibri"/>
          <w:lang w:eastAsia="en-US"/>
        </w:rPr>
        <w:t xml:space="preserve">Iodine and iodine compounds are ubiquitously distributed and there is a natural cycle of iodine species in the environment. Consequently, natural background levels have to be taken into account in the environmental risk assessment. Literature data were compiled in the CAR of Iodine. Environmental background </w:t>
      </w:r>
      <w:r>
        <w:rPr>
          <w:rFonts w:eastAsia="Calibri"/>
          <w:lang w:eastAsia="en-US"/>
        </w:rPr>
        <w:t>values are</w:t>
      </w:r>
      <w:r w:rsidRPr="00A97AE4">
        <w:rPr>
          <w:rFonts w:eastAsia="Calibri"/>
          <w:lang w:eastAsia="en-US"/>
        </w:rPr>
        <w:t xml:space="preserve"> presented in the table below:</w:t>
      </w:r>
    </w:p>
    <w:p w14:paraId="19240DD8" w14:textId="77777777" w:rsidR="00D53823" w:rsidRPr="00A97AE4" w:rsidRDefault="00D53823" w:rsidP="00D53823">
      <w:pPr>
        <w:spacing w:line="260" w:lineRule="atLeast"/>
        <w:jc w:val="both"/>
        <w:rPr>
          <w:rFonts w:eastAsia="Calibri"/>
          <w:lang w:eastAsia="en-US"/>
        </w:rPr>
      </w:pPr>
    </w:p>
    <w:tbl>
      <w:tblPr>
        <w:tblW w:w="5000" w:type="pct"/>
        <w:jc w:val="center"/>
        <w:tblCellMar>
          <w:left w:w="10" w:type="dxa"/>
          <w:right w:w="10" w:type="dxa"/>
        </w:tblCellMar>
        <w:tblLook w:val="0000" w:firstRow="0" w:lastRow="0" w:firstColumn="0" w:lastColumn="0" w:noHBand="0" w:noVBand="0"/>
      </w:tblPr>
      <w:tblGrid>
        <w:gridCol w:w="2406"/>
        <w:gridCol w:w="6797"/>
      </w:tblGrid>
      <w:tr w:rsidR="00D53823" w:rsidRPr="00A97AE4" w14:paraId="3D8F62F3" w14:textId="77777777" w:rsidTr="00261A29">
        <w:trPr>
          <w:trHeight w:hRule="exact" w:val="333"/>
          <w:jc w:val="center"/>
        </w:trPr>
        <w:tc>
          <w:tcPr>
            <w:tcW w:w="5000" w:type="pct"/>
            <w:gridSpan w:val="2"/>
            <w:tcBorders>
              <w:top w:val="single" w:sz="4" w:space="0" w:color="auto"/>
              <w:left w:val="single" w:sz="4" w:space="0" w:color="auto"/>
              <w:right w:val="single" w:sz="4" w:space="0" w:color="auto"/>
            </w:tcBorders>
            <w:shd w:val="clear" w:color="auto" w:fill="FFFFCB"/>
            <w:vAlign w:val="center"/>
          </w:tcPr>
          <w:p w14:paraId="1733E971" w14:textId="77777777" w:rsidR="00D53823" w:rsidRPr="00A97AE4" w:rsidRDefault="00D53823" w:rsidP="00CC0F55">
            <w:pPr>
              <w:spacing w:line="260" w:lineRule="atLeast"/>
              <w:ind w:left="57"/>
              <w:jc w:val="center"/>
              <w:rPr>
                <w:rFonts w:eastAsia="Calibri"/>
                <w:lang w:eastAsia="en-US" w:bidi="en-GB"/>
              </w:rPr>
            </w:pPr>
            <w:r w:rsidRPr="00A97AE4">
              <w:rPr>
                <w:rFonts w:eastAsia="Calibri"/>
                <w:b/>
                <w:bCs/>
                <w:lang w:eastAsia="en-US" w:bidi="en-GB"/>
              </w:rPr>
              <w:t>Summary table of background levels</w:t>
            </w:r>
          </w:p>
        </w:tc>
      </w:tr>
      <w:tr w:rsidR="00D53823" w:rsidRPr="00A97AE4" w14:paraId="793AC372" w14:textId="77777777" w:rsidTr="00261A29">
        <w:trPr>
          <w:trHeight w:val="340"/>
          <w:jc w:val="center"/>
        </w:trPr>
        <w:tc>
          <w:tcPr>
            <w:tcW w:w="1307" w:type="pct"/>
            <w:tcBorders>
              <w:top w:val="single" w:sz="4" w:space="0" w:color="auto"/>
              <w:left w:val="single" w:sz="4" w:space="0" w:color="auto"/>
            </w:tcBorders>
            <w:shd w:val="clear" w:color="auto" w:fill="FFFFFF"/>
            <w:vAlign w:val="center"/>
          </w:tcPr>
          <w:p w14:paraId="40D3E862" w14:textId="77777777" w:rsidR="00D53823" w:rsidRPr="00A97AE4" w:rsidRDefault="00D53823" w:rsidP="00CC0F55">
            <w:pPr>
              <w:spacing w:line="260" w:lineRule="atLeast"/>
              <w:ind w:left="57"/>
              <w:rPr>
                <w:rFonts w:eastAsia="Calibri"/>
                <w:lang w:eastAsia="en-US" w:bidi="en-GB"/>
              </w:rPr>
            </w:pPr>
            <w:r w:rsidRPr="00A97AE4">
              <w:rPr>
                <w:rFonts w:eastAsia="Calibri"/>
                <w:b/>
                <w:bCs/>
                <w:lang w:eastAsia="en-US" w:bidi="en-GB"/>
              </w:rPr>
              <w:t>Compartment</w:t>
            </w:r>
          </w:p>
        </w:tc>
        <w:tc>
          <w:tcPr>
            <w:tcW w:w="3693" w:type="pct"/>
            <w:tcBorders>
              <w:top w:val="single" w:sz="4" w:space="0" w:color="auto"/>
              <w:left w:val="single" w:sz="4" w:space="0" w:color="auto"/>
              <w:right w:val="single" w:sz="4" w:space="0" w:color="auto"/>
            </w:tcBorders>
            <w:shd w:val="clear" w:color="auto" w:fill="FFFFFF"/>
            <w:vAlign w:val="center"/>
          </w:tcPr>
          <w:p w14:paraId="1C86C4DB" w14:textId="77777777" w:rsidR="00D53823" w:rsidRPr="00A97AE4" w:rsidRDefault="00D53823" w:rsidP="00CC0F55">
            <w:pPr>
              <w:spacing w:line="260" w:lineRule="atLeast"/>
              <w:ind w:left="57"/>
              <w:rPr>
                <w:rFonts w:eastAsia="Calibri"/>
                <w:lang w:eastAsia="en-US" w:bidi="en-GB"/>
              </w:rPr>
            </w:pPr>
            <w:r w:rsidRPr="00A97AE4">
              <w:rPr>
                <w:rFonts w:eastAsia="Calibri"/>
                <w:b/>
                <w:bCs/>
                <w:lang w:eastAsia="en-US" w:bidi="en-GB"/>
              </w:rPr>
              <w:t>Background level (Iodine and cover the iodine compounds)</w:t>
            </w:r>
          </w:p>
        </w:tc>
      </w:tr>
      <w:tr w:rsidR="00D53823" w:rsidRPr="00A97AE4" w14:paraId="4DBF4CD5" w14:textId="77777777" w:rsidTr="00261A2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5E68EDF7" w14:textId="77777777" w:rsidR="00D53823" w:rsidRPr="00142CF5" w:rsidRDefault="00D53823" w:rsidP="00CC0F55">
            <w:pPr>
              <w:spacing w:line="260" w:lineRule="atLeast"/>
              <w:ind w:left="57"/>
              <w:rPr>
                <w:rFonts w:eastAsia="Calibri"/>
                <w:lang w:eastAsia="en-US" w:bidi="en-GB"/>
              </w:rPr>
            </w:pPr>
            <w:r w:rsidRPr="006B5EF2">
              <w:rPr>
                <w:rFonts w:eastAsia="Calibri"/>
                <w:bCs/>
                <w:lang w:eastAsia="en-US" w:bidi="en-GB"/>
              </w:rPr>
              <w:t>Freshwater (river and lake)</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7A7DF8D0" w14:textId="77777777" w:rsidR="00D53823" w:rsidRPr="00A97AE4" w:rsidRDefault="00D53823" w:rsidP="00CC0F55">
            <w:pPr>
              <w:spacing w:line="260" w:lineRule="atLeast"/>
              <w:ind w:left="57"/>
              <w:rPr>
                <w:rFonts w:eastAsia="Calibri"/>
                <w:lang w:eastAsia="en-US" w:bidi="en-GB"/>
              </w:rPr>
            </w:pPr>
            <w:r w:rsidRPr="006B5EF2">
              <w:rPr>
                <w:rFonts w:eastAsia="Calibri"/>
                <w:bCs/>
                <w:lang w:eastAsia="en-US" w:bidi="en-GB"/>
              </w:rPr>
              <w:t>0.5 - 20 µg/L</w:t>
            </w:r>
          </w:p>
        </w:tc>
      </w:tr>
      <w:tr w:rsidR="00D53823" w:rsidRPr="00A97AE4" w14:paraId="617896F6" w14:textId="77777777" w:rsidTr="00261A2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3EF3583A" w14:textId="77777777" w:rsidR="00D53823" w:rsidRPr="00142CF5" w:rsidRDefault="00D53823" w:rsidP="00CC0F55">
            <w:pPr>
              <w:spacing w:line="260" w:lineRule="atLeast"/>
              <w:ind w:left="57"/>
              <w:rPr>
                <w:rFonts w:eastAsia="Calibri"/>
                <w:bCs/>
                <w:lang w:eastAsia="en-US" w:bidi="en-GB"/>
              </w:rPr>
            </w:pPr>
            <w:r w:rsidRPr="006B5EF2">
              <w:rPr>
                <w:rFonts w:eastAsia="Calibri"/>
                <w:bCs/>
                <w:lang w:eastAsia="en-US" w:bidi="en-GB"/>
              </w:rPr>
              <w:t>Freshwater sediment</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188C828A" w14:textId="77777777" w:rsidR="00D53823" w:rsidRPr="00A97AE4" w:rsidRDefault="00D53823" w:rsidP="00CC0F55">
            <w:pPr>
              <w:spacing w:line="260" w:lineRule="atLeast"/>
              <w:ind w:left="57"/>
              <w:rPr>
                <w:rFonts w:eastAsia="Calibri"/>
                <w:bCs/>
                <w:lang w:eastAsia="en-US" w:bidi="en-GB"/>
              </w:rPr>
            </w:pPr>
            <w:r w:rsidRPr="006B5EF2">
              <w:rPr>
                <w:rFonts w:eastAsia="Calibri"/>
                <w:bCs/>
                <w:lang w:eastAsia="en-US" w:bidi="en-GB"/>
              </w:rPr>
              <w:t xml:space="preserve">6 mg/kg </w:t>
            </w:r>
            <w:r w:rsidRPr="006B5EF2">
              <w:rPr>
                <w:rFonts w:eastAsia="Calibri"/>
                <w:bCs/>
                <w:vertAlign w:val="subscript"/>
                <w:lang w:eastAsia="en-US" w:bidi="en-GB"/>
              </w:rPr>
              <w:t>wwt</w:t>
            </w:r>
          </w:p>
        </w:tc>
      </w:tr>
      <w:tr w:rsidR="00D53823" w:rsidRPr="00A97AE4" w14:paraId="3C32B913" w14:textId="77777777" w:rsidTr="00261A29">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6A44495C" w14:textId="77777777" w:rsidR="00D53823" w:rsidRPr="00142CF5" w:rsidRDefault="00D53823" w:rsidP="00CC0F55">
            <w:pPr>
              <w:spacing w:line="260" w:lineRule="atLeast"/>
              <w:ind w:left="57"/>
              <w:rPr>
                <w:rFonts w:eastAsia="Calibri"/>
                <w:bCs/>
                <w:lang w:eastAsia="en-US" w:bidi="en-GB"/>
              </w:rPr>
            </w:pPr>
            <w:r w:rsidRPr="006B5EF2">
              <w:rPr>
                <w:rFonts w:eastAsia="Calibri"/>
                <w:bCs/>
                <w:lang w:eastAsia="en-US" w:bidi="en-GB"/>
              </w:rPr>
              <w:t>Soil</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58BF4123" w14:textId="77777777" w:rsidR="00D53823" w:rsidRPr="00A97AE4" w:rsidRDefault="00D53823" w:rsidP="00CC0F55">
            <w:pPr>
              <w:spacing w:line="260" w:lineRule="atLeast"/>
              <w:ind w:left="57"/>
              <w:rPr>
                <w:rFonts w:eastAsia="Calibri"/>
                <w:bCs/>
                <w:lang w:eastAsia="en-US" w:bidi="en-GB"/>
              </w:rPr>
            </w:pPr>
            <w:r w:rsidRPr="006B5EF2">
              <w:rPr>
                <w:rFonts w:eastAsia="Calibri"/>
                <w:bCs/>
                <w:lang w:eastAsia="en-US" w:bidi="en-GB"/>
              </w:rPr>
              <w:t xml:space="preserve">0.565-22.6 mg/kg </w:t>
            </w:r>
            <w:r w:rsidRPr="006B5EF2">
              <w:rPr>
                <w:rFonts w:eastAsia="Calibri"/>
                <w:bCs/>
                <w:vertAlign w:val="subscript"/>
                <w:lang w:eastAsia="en-US" w:bidi="en-GB"/>
              </w:rPr>
              <w:t>wwt</w:t>
            </w:r>
            <w:r w:rsidRPr="006B5EF2">
              <w:rPr>
                <w:rFonts w:eastAsia="Calibri"/>
                <w:bCs/>
                <w:lang w:eastAsia="en-US" w:bidi="en-GB"/>
              </w:rPr>
              <w:t xml:space="preserve"> with extremes up to 110.74 mg/kg </w:t>
            </w:r>
            <w:r w:rsidRPr="006B5EF2">
              <w:rPr>
                <w:rFonts w:eastAsia="Calibri"/>
                <w:bCs/>
                <w:vertAlign w:val="subscript"/>
                <w:lang w:eastAsia="en-US" w:bidi="en-GB"/>
              </w:rPr>
              <w:t>wwt</w:t>
            </w:r>
          </w:p>
        </w:tc>
      </w:tr>
      <w:tr w:rsidR="00D53823" w:rsidRPr="00A97AE4" w14:paraId="2D0E3F78" w14:textId="77777777" w:rsidTr="00CC0F55">
        <w:trPr>
          <w:trHeight w:val="606"/>
          <w:jc w:val="center"/>
        </w:trPr>
        <w:tc>
          <w:tcPr>
            <w:tcW w:w="1307" w:type="pct"/>
            <w:tcBorders>
              <w:top w:val="single" w:sz="4" w:space="0" w:color="auto"/>
              <w:left w:val="single" w:sz="4" w:space="0" w:color="auto"/>
              <w:bottom w:val="single" w:sz="4" w:space="0" w:color="auto"/>
            </w:tcBorders>
            <w:shd w:val="clear" w:color="auto" w:fill="FFFFFF"/>
            <w:vAlign w:val="center"/>
          </w:tcPr>
          <w:p w14:paraId="00F2F42F" w14:textId="77777777" w:rsidR="00D53823" w:rsidRPr="00142CF5" w:rsidRDefault="00D53823" w:rsidP="00CC0F55">
            <w:pPr>
              <w:spacing w:line="260" w:lineRule="atLeast"/>
              <w:ind w:left="57"/>
              <w:rPr>
                <w:rFonts w:eastAsia="Calibri"/>
                <w:bCs/>
                <w:lang w:eastAsia="en-US" w:bidi="en-GB"/>
              </w:rPr>
            </w:pPr>
            <w:r w:rsidRPr="006B5EF2">
              <w:rPr>
                <w:rFonts w:eastAsia="Calibri"/>
                <w:bCs/>
                <w:lang w:eastAsia="en-US" w:bidi="en-GB"/>
              </w:rPr>
              <w:t>Groundwater</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038E603B" w14:textId="77777777" w:rsidR="00D53823" w:rsidRDefault="00D53823" w:rsidP="00CC0F55">
            <w:pPr>
              <w:spacing w:line="260" w:lineRule="atLeast"/>
              <w:ind w:left="57"/>
              <w:rPr>
                <w:rFonts w:eastAsia="Calibri"/>
                <w:bCs/>
                <w:lang w:eastAsia="en-US" w:bidi="en-GB"/>
              </w:rPr>
            </w:pPr>
            <w:r w:rsidRPr="00A120C3">
              <w:rPr>
                <w:rFonts w:eastAsia="Calibri"/>
                <w:bCs/>
                <w:lang w:eastAsia="en-US" w:bidi="en-GB"/>
              </w:rPr>
              <w:t>mean concentration: 1 µg/L</w:t>
            </w:r>
          </w:p>
          <w:p w14:paraId="080E70E9" w14:textId="77777777" w:rsidR="00D53823" w:rsidRPr="00A97AE4" w:rsidRDefault="00D53823" w:rsidP="00CC0F55">
            <w:pPr>
              <w:spacing w:line="260" w:lineRule="atLeast"/>
              <w:ind w:left="57"/>
              <w:rPr>
                <w:rFonts w:eastAsia="Calibri"/>
                <w:bCs/>
                <w:lang w:eastAsia="en-US" w:bidi="en-GB"/>
              </w:rPr>
            </w:pPr>
            <w:r w:rsidRPr="006B5EF2">
              <w:rPr>
                <w:rFonts w:eastAsia="Calibri"/>
                <w:bCs/>
                <w:lang w:eastAsia="en-US" w:bidi="en-GB"/>
              </w:rPr>
              <w:t>&lt; 1 - 70 µg/L with extremes up to 400 µg/L</w:t>
            </w:r>
          </w:p>
        </w:tc>
      </w:tr>
    </w:tbl>
    <w:p w14:paraId="16A5A83B" w14:textId="77777777" w:rsidR="00D53823" w:rsidRDefault="00D53823" w:rsidP="00D53823">
      <w:pPr>
        <w:spacing w:line="260" w:lineRule="atLeast"/>
        <w:jc w:val="both"/>
        <w:rPr>
          <w:rFonts w:eastAsia="Calibri"/>
          <w:lang w:eastAsia="en-US"/>
        </w:rPr>
      </w:pPr>
    </w:p>
    <w:p w14:paraId="6C33AFFB" w14:textId="77777777" w:rsidR="00D53823" w:rsidRPr="003B47D4" w:rsidRDefault="00D53823" w:rsidP="00D53823">
      <w:pPr>
        <w:spacing w:line="260" w:lineRule="atLeast"/>
        <w:jc w:val="both"/>
        <w:rPr>
          <w:rFonts w:eastAsia="Calibri"/>
          <w:lang w:eastAsia="en-US"/>
        </w:rPr>
      </w:pPr>
      <w:r w:rsidRPr="003B47D4">
        <w:rPr>
          <w:rFonts w:eastAsia="Calibri"/>
          <w:lang w:eastAsia="en-US"/>
        </w:rPr>
        <w:t>Different forms of iodine c</w:t>
      </w:r>
      <w:r>
        <w:rPr>
          <w:rFonts w:eastAsia="Calibri"/>
          <w:lang w:eastAsia="en-US"/>
        </w:rPr>
        <w:t xml:space="preserve">an be found in the environment and </w:t>
      </w:r>
      <w:r w:rsidRPr="003B47D4">
        <w:rPr>
          <w:rFonts w:eastAsia="Calibri"/>
          <w:lang w:eastAsia="en-US"/>
        </w:rPr>
        <w:t>iodine</w:t>
      </w:r>
      <w:r>
        <w:rPr>
          <w:rFonts w:eastAsia="Calibri"/>
          <w:lang w:eastAsia="en-US"/>
        </w:rPr>
        <w:t>, iodate and iodide</w:t>
      </w:r>
      <w:r w:rsidRPr="003B47D4">
        <w:rPr>
          <w:rFonts w:eastAsia="Calibri"/>
          <w:lang w:eastAsia="en-US"/>
        </w:rPr>
        <w:t xml:space="preserve"> will be examined in the environmental risk assessment. </w:t>
      </w:r>
    </w:p>
    <w:p w14:paraId="15F31424" w14:textId="77777777" w:rsidR="00D53823" w:rsidRDefault="00D53823" w:rsidP="00D53823">
      <w:pPr>
        <w:spacing w:line="260" w:lineRule="atLeast"/>
        <w:jc w:val="both"/>
        <w:rPr>
          <w:rFonts w:eastAsia="Calibri"/>
          <w:lang w:eastAsia="en-US"/>
        </w:rPr>
      </w:pPr>
      <w:r>
        <w:rPr>
          <w:rFonts w:eastAsia="Calibri"/>
          <w:lang w:eastAsia="en-US"/>
        </w:rPr>
        <w:t>Based on the Iodine assessment report, the relevant PNECs for the environmental risk characterisation are reported below:</w:t>
      </w:r>
    </w:p>
    <w:p w14:paraId="2958688B" w14:textId="77777777" w:rsidR="00D53823" w:rsidRDefault="00D53823" w:rsidP="00D53823">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0"/>
        <w:gridCol w:w="1841"/>
        <w:gridCol w:w="1841"/>
        <w:gridCol w:w="1841"/>
      </w:tblGrid>
      <w:tr w:rsidR="00D53823" w:rsidRPr="00CC6704" w14:paraId="487E3CDF" w14:textId="77777777" w:rsidTr="00261A29">
        <w:trPr>
          <w:trHeight w:val="401"/>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3FAF7091" w14:textId="77777777" w:rsidR="00D53823" w:rsidRPr="00CC6704" w:rsidRDefault="00D53823" w:rsidP="00261A29">
            <w:pPr>
              <w:spacing w:line="260" w:lineRule="atLeast"/>
              <w:jc w:val="center"/>
              <w:rPr>
                <w:rFonts w:eastAsia="Calibri"/>
                <w:b/>
                <w:bCs/>
                <w:lang w:eastAsia="en-US"/>
              </w:rPr>
            </w:pPr>
            <w:r w:rsidRPr="00CC6704">
              <w:rPr>
                <w:rFonts w:eastAsia="Calibri"/>
                <w:b/>
                <w:bCs/>
                <w:lang w:eastAsia="en-US"/>
              </w:rPr>
              <w:t>Summary table on PNEC values</w:t>
            </w:r>
            <w:r>
              <w:rPr>
                <w:rFonts w:eastAsia="Calibri"/>
                <w:b/>
                <w:bCs/>
                <w:lang w:eastAsia="en-US"/>
              </w:rPr>
              <w:t xml:space="preserve"> Iodine and iodine compounds</w:t>
            </w:r>
          </w:p>
        </w:tc>
      </w:tr>
      <w:tr w:rsidR="00D53823" w:rsidRPr="00CC6704" w14:paraId="16226962" w14:textId="77777777" w:rsidTr="00261A29">
        <w:trPr>
          <w:trHeight w:val="680"/>
        </w:trPr>
        <w:tc>
          <w:tcPr>
            <w:tcW w:w="1000" w:type="pct"/>
            <w:vMerge w:val="restart"/>
            <w:tcBorders>
              <w:top w:val="single" w:sz="4" w:space="0" w:color="auto"/>
              <w:left w:val="single" w:sz="4" w:space="0" w:color="auto"/>
              <w:right w:val="single" w:sz="4" w:space="0" w:color="auto"/>
            </w:tcBorders>
            <w:shd w:val="clear" w:color="auto" w:fill="FFFFFF"/>
            <w:vAlign w:val="center"/>
          </w:tcPr>
          <w:p w14:paraId="2DF21AD1" w14:textId="77777777" w:rsidR="00D53823" w:rsidRPr="00CC6704" w:rsidRDefault="00D53823" w:rsidP="00261A29">
            <w:pPr>
              <w:spacing w:line="260" w:lineRule="atLeast"/>
              <w:rPr>
                <w:rFonts w:eastAsia="Calibri"/>
                <w:b/>
                <w:bCs/>
                <w:lang w:eastAsia="en-US"/>
              </w:rPr>
            </w:pPr>
            <w:r w:rsidRPr="00CC6704">
              <w:rPr>
                <w:rFonts w:eastAsia="Calibri"/>
                <w:b/>
                <w:bCs/>
                <w:lang w:eastAsia="en-US"/>
              </w:rPr>
              <w:t>Active substance</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FB9BAB" w14:textId="77777777" w:rsidR="00D53823" w:rsidRPr="00CC6704" w:rsidRDefault="00D53823" w:rsidP="00261A29">
            <w:pPr>
              <w:spacing w:line="260" w:lineRule="atLeast"/>
              <w:rPr>
                <w:rFonts w:eastAsia="Calibri"/>
                <w:bCs/>
                <w:lang w:eastAsia="en-US"/>
              </w:rPr>
            </w:pPr>
            <w:r w:rsidRPr="00CC6704">
              <w:rPr>
                <w:rFonts w:eastAsia="Calibri"/>
                <w:b/>
                <w:bCs/>
                <w:lang w:eastAsia="en-US"/>
              </w:rPr>
              <w:t>PNEC</w:t>
            </w:r>
            <w:r w:rsidRPr="00CC6704">
              <w:rPr>
                <w:rFonts w:eastAsia="Calibri"/>
                <w:b/>
                <w:bCs/>
                <w:vertAlign w:val="subscript"/>
                <w:lang w:eastAsia="en-US"/>
              </w:rPr>
              <w:t>STP</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8FBD7F" w14:textId="77777777" w:rsidR="00D53823" w:rsidRPr="00CC6704" w:rsidRDefault="00D53823" w:rsidP="00261A29">
            <w:pPr>
              <w:spacing w:line="260" w:lineRule="atLeast"/>
              <w:rPr>
                <w:rFonts w:eastAsia="Calibri"/>
                <w:lang w:eastAsia="en-US"/>
              </w:rPr>
            </w:pPr>
            <w:r w:rsidRPr="00CC6704">
              <w:rPr>
                <w:rFonts w:eastAsia="Calibri"/>
                <w:b/>
                <w:bCs/>
                <w:lang w:eastAsia="en-US"/>
              </w:rPr>
              <w:t>PNEC</w:t>
            </w:r>
            <w:r w:rsidRPr="00CC6704">
              <w:rPr>
                <w:rFonts w:eastAsia="Calibri"/>
                <w:b/>
                <w:bCs/>
                <w:vertAlign w:val="subscript"/>
                <w:lang w:eastAsia="en-US"/>
              </w:rPr>
              <w:t>water</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658AD4" w14:textId="77777777" w:rsidR="00D53823" w:rsidRPr="00CC6704" w:rsidRDefault="00D53823" w:rsidP="00261A29">
            <w:pPr>
              <w:spacing w:line="260" w:lineRule="atLeast"/>
              <w:rPr>
                <w:rFonts w:eastAsia="Calibri"/>
                <w:b/>
                <w:lang w:eastAsia="en-US"/>
              </w:rPr>
            </w:pPr>
            <w:r w:rsidRPr="00CC6704">
              <w:rPr>
                <w:rFonts w:eastAsia="Calibri"/>
                <w:b/>
                <w:lang w:eastAsia="en-US"/>
              </w:rPr>
              <w:t>PNEC</w:t>
            </w:r>
            <w:r w:rsidRPr="00CC6704">
              <w:rPr>
                <w:rFonts w:eastAsia="Calibri"/>
                <w:b/>
                <w:vertAlign w:val="subscript"/>
                <w:lang w:eastAsia="en-US"/>
              </w:rPr>
              <w:t>sed</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8BAAC0" w14:textId="77777777" w:rsidR="00D53823" w:rsidRPr="00CC6704" w:rsidRDefault="00D53823" w:rsidP="00261A29">
            <w:pPr>
              <w:spacing w:line="260" w:lineRule="atLeast"/>
              <w:rPr>
                <w:rFonts w:eastAsia="Calibri"/>
                <w:lang w:eastAsia="en-US"/>
              </w:rPr>
            </w:pPr>
            <w:r w:rsidRPr="00CC6704">
              <w:rPr>
                <w:rFonts w:eastAsia="Calibri"/>
                <w:b/>
                <w:bCs/>
                <w:lang w:eastAsia="en-US"/>
              </w:rPr>
              <w:t>PNEC</w:t>
            </w:r>
            <w:r w:rsidRPr="00CC6704">
              <w:rPr>
                <w:rFonts w:eastAsia="Calibri"/>
                <w:b/>
                <w:bCs/>
                <w:vertAlign w:val="subscript"/>
                <w:lang w:eastAsia="en-US"/>
              </w:rPr>
              <w:t>soil</w:t>
            </w:r>
          </w:p>
        </w:tc>
      </w:tr>
      <w:tr w:rsidR="00D53823" w:rsidRPr="00CC6704" w14:paraId="14C092F7" w14:textId="77777777" w:rsidTr="00261A29">
        <w:trPr>
          <w:trHeight w:val="680"/>
        </w:trPr>
        <w:tc>
          <w:tcPr>
            <w:tcW w:w="1000" w:type="pct"/>
            <w:vMerge/>
            <w:tcBorders>
              <w:left w:val="single" w:sz="4" w:space="0" w:color="auto"/>
              <w:bottom w:val="single" w:sz="4" w:space="0" w:color="auto"/>
              <w:right w:val="single" w:sz="4" w:space="0" w:color="auto"/>
            </w:tcBorders>
            <w:shd w:val="clear" w:color="auto" w:fill="FFFFFF"/>
            <w:vAlign w:val="center"/>
          </w:tcPr>
          <w:p w14:paraId="4131A227" w14:textId="77777777" w:rsidR="00D53823" w:rsidRPr="00CC6704" w:rsidRDefault="00D53823" w:rsidP="00261A29">
            <w:pPr>
              <w:spacing w:line="260" w:lineRule="atLeast"/>
              <w:rPr>
                <w:rFonts w:eastAsia="Calibri"/>
                <w:bCs/>
                <w:lang w:eastAsia="en-US"/>
              </w:rPr>
            </w:pP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268BEF" w14:textId="77777777" w:rsidR="00D53823" w:rsidRPr="00CC6704" w:rsidRDefault="00D53823" w:rsidP="00261A29">
            <w:pPr>
              <w:spacing w:line="260" w:lineRule="atLeast"/>
              <w:rPr>
                <w:rFonts w:eastAsia="Calibri"/>
                <w:lang w:eastAsia="en-US"/>
              </w:rPr>
            </w:pPr>
            <w:r w:rsidRPr="00CC6704">
              <w:rPr>
                <w:rFonts w:eastAsia="Calibri"/>
                <w:bCs/>
                <w:lang w:eastAsia="en-US"/>
              </w:rPr>
              <w:t>[mg/L]</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D31A87" w14:textId="77777777" w:rsidR="00D53823" w:rsidRPr="00CC6704" w:rsidRDefault="00D53823" w:rsidP="00261A29">
            <w:pPr>
              <w:spacing w:line="260" w:lineRule="atLeast"/>
              <w:rPr>
                <w:rFonts w:eastAsia="Calibri"/>
                <w:bCs/>
                <w:lang w:eastAsia="en-US"/>
              </w:rPr>
            </w:pPr>
            <w:r w:rsidRPr="00CC6704">
              <w:rPr>
                <w:rFonts w:eastAsia="Calibri"/>
                <w:bCs/>
                <w:lang w:eastAsia="en-US"/>
              </w:rPr>
              <w:t>[mg/L]</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AD8A8D" w14:textId="77777777" w:rsidR="00D53823" w:rsidRPr="00CC6704" w:rsidRDefault="00D53823" w:rsidP="00261A29">
            <w:pPr>
              <w:spacing w:line="260" w:lineRule="atLeast"/>
              <w:rPr>
                <w:rFonts w:eastAsia="Calibri"/>
                <w:lang w:eastAsia="en-US"/>
              </w:rPr>
            </w:pPr>
            <w:r w:rsidRPr="00CC6704">
              <w:rPr>
                <w:rFonts w:eastAsia="Calibri"/>
                <w:bCs/>
                <w:lang w:eastAsia="en-US"/>
              </w:rPr>
              <w:t>[mg/kg</w:t>
            </w:r>
            <w:r w:rsidRPr="00CC6704">
              <w:rPr>
                <w:rFonts w:eastAsia="Calibri"/>
                <w:bCs/>
                <w:vertAlign w:val="subscript"/>
                <w:lang w:eastAsia="en-US"/>
              </w:rPr>
              <w:t>wwt</w:t>
            </w:r>
            <w:r w:rsidRPr="00CC6704">
              <w:rPr>
                <w:rFonts w:eastAsia="Calibri"/>
                <w:bCs/>
                <w:lang w:eastAsia="en-US"/>
              </w:rPr>
              <w:t>]</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A93770" w14:textId="77777777" w:rsidR="00D53823" w:rsidRPr="00CC6704" w:rsidRDefault="00D53823" w:rsidP="00261A29">
            <w:pPr>
              <w:spacing w:line="260" w:lineRule="atLeast"/>
              <w:rPr>
                <w:rFonts w:eastAsia="Calibri"/>
                <w:bCs/>
                <w:lang w:eastAsia="en-US"/>
              </w:rPr>
            </w:pPr>
            <w:r w:rsidRPr="00CC6704">
              <w:rPr>
                <w:rFonts w:eastAsia="Calibri"/>
                <w:bCs/>
                <w:lang w:eastAsia="en-US"/>
              </w:rPr>
              <w:t>[mg/kg</w:t>
            </w:r>
            <w:r w:rsidRPr="00CC6704">
              <w:rPr>
                <w:rFonts w:eastAsia="Calibri"/>
                <w:bCs/>
                <w:vertAlign w:val="subscript"/>
                <w:lang w:eastAsia="en-US"/>
              </w:rPr>
              <w:t>wwt</w:t>
            </w:r>
            <w:r w:rsidRPr="00CC6704">
              <w:rPr>
                <w:rFonts w:eastAsia="Calibri"/>
                <w:bCs/>
                <w:lang w:eastAsia="en-US"/>
              </w:rPr>
              <w:t>]</w:t>
            </w:r>
          </w:p>
        </w:tc>
      </w:tr>
      <w:tr w:rsidR="00D14200" w:rsidRPr="00CC6704" w14:paraId="535544A6" w14:textId="77777777" w:rsidTr="00261A29">
        <w:trPr>
          <w:trHeight w:val="680"/>
        </w:trPr>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3AD2C7F3" w14:textId="77777777" w:rsidR="00D14200" w:rsidRPr="00CC6704" w:rsidRDefault="00D14200" w:rsidP="00261A29">
            <w:pPr>
              <w:spacing w:line="260" w:lineRule="atLeast"/>
              <w:rPr>
                <w:rFonts w:eastAsia="Calibri"/>
                <w:lang w:eastAsia="en-US"/>
              </w:rPr>
            </w:pPr>
            <w:r>
              <w:rPr>
                <w:rFonts w:eastAsia="Calibri"/>
                <w:b/>
                <w:iCs/>
                <w:lang w:eastAsia="en-US"/>
              </w:rPr>
              <w:t>Iodine (I</w:t>
            </w:r>
            <w:r w:rsidRPr="006B5EF2">
              <w:rPr>
                <w:rFonts w:eastAsia="Calibri"/>
                <w:b/>
                <w:iCs/>
                <w:vertAlign w:val="subscript"/>
                <w:lang w:eastAsia="en-US"/>
              </w:rPr>
              <w:t>2</w:t>
            </w:r>
            <w:r>
              <w:rPr>
                <w:rFonts w:eastAsia="Calibri"/>
                <w:b/>
                <w:iCs/>
                <w:lang w:eastAsia="en-US"/>
              </w:rPr>
              <w:t>)</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4D9449" w14:textId="45FA4101" w:rsidR="00D14200" w:rsidRPr="00CC6704" w:rsidRDefault="00D14200" w:rsidP="00261A29">
            <w:pPr>
              <w:spacing w:line="260" w:lineRule="atLeast"/>
              <w:rPr>
                <w:rFonts w:eastAsia="Calibri"/>
                <w:lang w:eastAsia="en-US"/>
              </w:rPr>
            </w:pPr>
            <w:r>
              <w:rPr>
                <w:rFonts w:eastAsia="Calibri"/>
                <w:lang w:eastAsia="en-US"/>
              </w:rPr>
              <w:t>2.90</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3E9AA6" w14:textId="3BC0292C" w:rsidR="00D14200" w:rsidRPr="006B5EF2" w:rsidRDefault="00D14200" w:rsidP="00261A29">
            <w:pPr>
              <w:spacing w:line="260" w:lineRule="atLeast"/>
              <w:rPr>
                <w:rFonts w:eastAsia="Calibri"/>
                <w:lang w:eastAsia="en-US"/>
              </w:rPr>
            </w:pPr>
            <w:r w:rsidRPr="006B5EF2">
              <w:rPr>
                <w:rFonts w:eastAsia="Calibri"/>
                <w:lang w:eastAsia="en-US"/>
              </w:rPr>
              <w:t>5.9</w:t>
            </w:r>
            <w:r>
              <w:rPr>
                <w:rFonts w:eastAsia="Calibri"/>
                <w:lang w:eastAsia="en-US"/>
              </w:rPr>
              <w:t>0</w:t>
            </w:r>
            <w:r w:rsidRPr="006B5EF2">
              <w:rPr>
                <w:rFonts w:eastAsia="Calibri"/>
                <w:lang w:eastAsia="en-US"/>
              </w:rPr>
              <w:t>E-04</w:t>
            </w:r>
          </w:p>
        </w:tc>
        <w:tc>
          <w:tcPr>
            <w:tcW w:w="1000" w:type="pct"/>
            <w:vMerge w:val="restart"/>
            <w:tcBorders>
              <w:top w:val="single" w:sz="4" w:space="0" w:color="auto"/>
              <w:left w:val="single" w:sz="4" w:space="0" w:color="auto"/>
              <w:right w:val="single" w:sz="4" w:space="0" w:color="auto"/>
            </w:tcBorders>
            <w:shd w:val="clear" w:color="auto" w:fill="FFFFFF"/>
            <w:vAlign w:val="center"/>
            <w:hideMark/>
          </w:tcPr>
          <w:p w14:paraId="06BF9BE3" w14:textId="77777777" w:rsidR="00D14200" w:rsidRPr="00CC6704" w:rsidRDefault="00D14200" w:rsidP="00261A29">
            <w:pPr>
              <w:spacing w:line="260" w:lineRule="atLeast"/>
              <w:rPr>
                <w:rFonts w:eastAsia="Calibri"/>
                <w:lang w:eastAsia="en-US"/>
              </w:rPr>
            </w:pPr>
            <w:r w:rsidRPr="001B3405">
              <w:rPr>
                <w:rFonts w:eastAsia="Calibri"/>
                <w:lang w:eastAsia="en-US"/>
              </w:rPr>
              <w:t>Not used in the risk assessment</w:t>
            </w:r>
            <w:r>
              <w:rPr>
                <w:rFonts w:eastAsia="Calibri"/>
                <w:lang w:eastAsia="en-US"/>
              </w:rPr>
              <w:t>*</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FCC152C" w14:textId="77777777" w:rsidR="00D14200" w:rsidRPr="00CC6704" w:rsidRDefault="00D14200" w:rsidP="00261A29">
            <w:pPr>
              <w:spacing w:line="260" w:lineRule="atLeast"/>
              <w:rPr>
                <w:rFonts w:eastAsia="Calibri"/>
                <w:lang w:eastAsia="en-US"/>
              </w:rPr>
            </w:pPr>
            <w:r>
              <w:rPr>
                <w:rFonts w:eastAsia="Calibri"/>
                <w:lang w:eastAsia="en-US"/>
              </w:rPr>
              <w:t>1.18E-02</w:t>
            </w:r>
          </w:p>
        </w:tc>
      </w:tr>
      <w:tr w:rsidR="00D14200" w:rsidRPr="00CC6704" w14:paraId="163AE3D1" w14:textId="77777777" w:rsidTr="002039E1">
        <w:trPr>
          <w:trHeight w:val="680"/>
        </w:trPr>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792115D0" w14:textId="77777777" w:rsidR="00D14200" w:rsidRDefault="00D14200" w:rsidP="002039E1">
            <w:pPr>
              <w:spacing w:line="260" w:lineRule="atLeast"/>
              <w:rPr>
                <w:rFonts w:eastAsia="Calibri"/>
                <w:b/>
                <w:iCs/>
                <w:lang w:eastAsia="en-US"/>
              </w:rPr>
            </w:pPr>
            <w:r>
              <w:rPr>
                <w:rFonts w:eastAsia="Calibri"/>
                <w:b/>
                <w:iCs/>
                <w:lang w:eastAsia="en-US"/>
              </w:rPr>
              <w:t>Iodide (I</w:t>
            </w:r>
            <w:r w:rsidRPr="006B5EF2">
              <w:rPr>
                <w:rFonts w:eastAsia="Calibri"/>
                <w:b/>
                <w:iCs/>
                <w:vertAlign w:val="superscript"/>
                <w:lang w:eastAsia="en-US"/>
              </w:rPr>
              <w:t>-</w:t>
            </w:r>
            <w:r>
              <w:rPr>
                <w:rFonts w:eastAsia="Calibri"/>
                <w:b/>
                <w:iCs/>
                <w:lang w:eastAsia="en-US"/>
              </w:rPr>
              <w:t>)</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054EB744" w14:textId="77777777" w:rsidR="00D14200" w:rsidRPr="00CC6704" w:rsidRDefault="00D14200" w:rsidP="002039E1">
            <w:pPr>
              <w:spacing w:line="260" w:lineRule="atLeast"/>
              <w:rPr>
                <w:rFonts w:eastAsia="Calibri"/>
                <w:lang w:eastAsia="en-US"/>
              </w:rPr>
            </w:pPr>
            <w:r>
              <w:rPr>
                <w:rFonts w:eastAsia="Calibri"/>
                <w:lang w:eastAsia="en-US"/>
              </w:rPr>
              <w:t>-</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37D951FE" w14:textId="4F08C6BD" w:rsidR="00D14200" w:rsidRPr="00CC6704" w:rsidRDefault="00D14200" w:rsidP="002039E1">
            <w:pPr>
              <w:spacing w:line="260" w:lineRule="atLeast"/>
              <w:rPr>
                <w:rFonts w:eastAsia="Calibri"/>
                <w:lang w:eastAsia="en-US"/>
              </w:rPr>
            </w:pPr>
            <w:r>
              <w:rPr>
                <w:rFonts w:eastAsia="Calibri"/>
                <w:lang w:eastAsia="en-US"/>
              </w:rPr>
              <w:t>8.30E-04</w:t>
            </w:r>
          </w:p>
        </w:tc>
        <w:tc>
          <w:tcPr>
            <w:tcW w:w="1000" w:type="pct"/>
            <w:vMerge/>
            <w:tcBorders>
              <w:left w:val="single" w:sz="4" w:space="0" w:color="auto"/>
              <w:right w:val="single" w:sz="4" w:space="0" w:color="auto"/>
            </w:tcBorders>
            <w:shd w:val="clear" w:color="auto" w:fill="FFFFFF"/>
            <w:vAlign w:val="center"/>
          </w:tcPr>
          <w:p w14:paraId="272B5025" w14:textId="77777777" w:rsidR="00D14200" w:rsidRPr="00CC6704" w:rsidRDefault="00D14200" w:rsidP="002039E1">
            <w:pPr>
              <w:spacing w:line="260" w:lineRule="atLeast"/>
              <w:rPr>
                <w:rFonts w:eastAsia="Calibri"/>
                <w:lang w:eastAsia="en-US"/>
              </w:rPr>
            </w:pPr>
          </w:p>
        </w:tc>
        <w:tc>
          <w:tcPr>
            <w:tcW w:w="1000" w:type="pct"/>
            <w:tcBorders>
              <w:top w:val="single" w:sz="4" w:space="0" w:color="auto"/>
              <w:left w:val="single" w:sz="4" w:space="0" w:color="auto"/>
              <w:bottom w:val="single" w:sz="4" w:space="0" w:color="auto"/>
              <w:right w:val="single" w:sz="4" w:space="0" w:color="auto"/>
            </w:tcBorders>
            <w:vAlign w:val="center"/>
          </w:tcPr>
          <w:p w14:paraId="43AE713C" w14:textId="7B4EB687" w:rsidR="00D14200" w:rsidRPr="00CC6704" w:rsidRDefault="00D14200" w:rsidP="002039E1">
            <w:pPr>
              <w:spacing w:line="260" w:lineRule="atLeast"/>
              <w:rPr>
                <w:rFonts w:eastAsia="Calibri"/>
                <w:lang w:eastAsia="en-US"/>
              </w:rPr>
            </w:pPr>
            <w:r>
              <w:rPr>
                <w:rFonts w:eastAsia="Calibri"/>
                <w:lang w:eastAsia="en-US"/>
              </w:rPr>
              <w:t>4.30E-03</w:t>
            </w:r>
          </w:p>
        </w:tc>
      </w:tr>
      <w:tr w:rsidR="00D14200" w:rsidRPr="00CC6704" w14:paraId="12F37591" w14:textId="77777777" w:rsidTr="00261A29">
        <w:trPr>
          <w:trHeight w:val="680"/>
        </w:trPr>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09378453" w14:textId="77777777" w:rsidR="00D14200" w:rsidRDefault="00D14200" w:rsidP="00261A29">
            <w:pPr>
              <w:spacing w:line="260" w:lineRule="atLeast"/>
              <w:rPr>
                <w:rFonts w:eastAsia="Calibri"/>
                <w:b/>
                <w:iCs/>
                <w:lang w:eastAsia="en-US"/>
              </w:rPr>
            </w:pPr>
            <w:r>
              <w:rPr>
                <w:rFonts w:eastAsia="Calibri"/>
                <w:b/>
                <w:iCs/>
                <w:lang w:eastAsia="en-US"/>
              </w:rPr>
              <w:t>Iodate (IO</w:t>
            </w:r>
            <w:r w:rsidRPr="006B5EF2">
              <w:rPr>
                <w:rFonts w:eastAsia="Calibri"/>
                <w:b/>
                <w:iCs/>
                <w:vertAlign w:val="subscript"/>
                <w:lang w:eastAsia="en-US"/>
              </w:rPr>
              <w:t>3</w:t>
            </w:r>
            <w:r w:rsidRPr="006B5EF2">
              <w:rPr>
                <w:rFonts w:eastAsia="Calibri"/>
                <w:b/>
                <w:iCs/>
                <w:vertAlign w:val="superscript"/>
                <w:lang w:eastAsia="en-US"/>
              </w:rPr>
              <w:t>-</w:t>
            </w:r>
            <w:r>
              <w:rPr>
                <w:rFonts w:eastAsia="Calibri"/>
                <w:b/>
                <w:iCs/>
                <w:lang w:eastAsia="en-US"/>
              </w:rPr>
              <w:t>)</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31DC2CD5" w14:textId="77777777" w:rsidR="00D14200" w:rsidRPr="00CC6704" w:rsidRDefault="00D14200" w:rsidP="00261A29">
            <w:pPr>
              <w:spacing w:line="260" w:lineRule="atLeast"/>
              <w:rPr>
                <w:rFonts w:eastAsia="Calibri"/>
                <w:lang w:eastAsia="en-US"/>
              </w:rPr>
            </w:pPr>
            <w:r>
              <w:rPr>
                <w:rFonts w:eastAsia="Calibri"/>
                <w:lang w:eastAsia="en-US"/>
              </w:rPr>
              <w:t>-</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66B0C88F" w14:textId="77777777" w:rsidR="00D14200" w:rsidRPr="00CC6704" w:rsidRDefault="00D14200" w:rsidP="00261A29">
            <w:pPr>
              <w:spacing w:line="260" w:lineRule="atLeast"/>
              <w:rPr>
                <w:rFonts w:eastAsia="Calibri"/>
                <w:lang w:eastAsia="en-US"/>
              </w:rPr>
            </w:pPr>
            <w:r>
              <w:rPr>
                <w:rFonts w:eastAsia="Calibri"/>
                <w:lang w:eastAsia="en-US"/>
              </w:rPr>
              <w:t>5.85E-02</w:t>
            </w:r>
          </w:p>
        </w:tc>
        <w:tc>
          <w:tcPr>
            <w:tcW w:w="1000" w:type="pct"/>
            <w:vMerge/>
            <w:tcBorders>
              <w:left w:val="single" w:sz="4" w:space="0" w:color="auto"/>
              <w:right w:val="single" w:sz="4" w:space="0" w:color="auto"/>
            </w:tcBorders>
            <w:shd w:val="clear" w:color="auto" w:fill="FFFFFF"/>
            <w:vAlign w:val="center"/>
          </w:tcPr>
          <w:p w14:paraId="270B0658" w14:textId="77777777" w:rsidR="00D14200" w:rsidRPr="00CC6704" w:rsidRDefault="00D14200" w:rsidP="00261A29">
            <w:pPr>
              <w:spacing w:line="260" w:lineRule="atLeast"/>
              <w:rPr>
                <w:rFonts w:eastAsia="Calibri"/>
                <w:lang w:eastAsia="en-US"/>
              </w:rPr>
            </w:pPr>
          </w:p>
        </w:tc>
        <w:tc>
          <w:tcPr>
            <w:tcW w:w="1000" w:type="pct"/>
            <w:tcBorders>
              <w:top w:val="single" w:sz="4" w:space="0" w:color="auto"/>
              <w:left w:val="single" w:sz="4" w:space="0" w:color="auto"/>
              <w:bottom w:val="single" w:sz="4" w:space="0" w:color="auto"/>
              <w:right w:val="single" w:sz="4" w:space="0" w:color="auto"/>
            </w:tcBorders>
            <w:vAlign w:val="center"/>
          </w:tcPr>
          <w:p w14:paraId="6CFF2320" w14:textId="77777777" w:rsidR="00D14200" w:rsidRPr="00CC6704" w:rsidRDefault="00D14200" w:rsidP="00261A29">
            <w:pPr>
              <w:spacing w:line="260" w:lineRule="atLeast"/>
              <w:rPr>
                <w:rFonts w:eastAsia="Calibri"/>
                <w:lang w:eastAsia="en-US"/>
              </w:rPr>
            </w:pPr>
            <w:r>
              <w:rPr>
                <w:rFonts w:eastAsia="Calibri"/>
                <w:lang w:eastAsia="en-US"/>
              </w:rPr>
              <w:t>3.04E-01</w:t>
            </w:r>
          </w:p>
        </w:tc>
      </w:tr>
    </w:tbl>
    <w:p w14:paraId="306BB0E0" w14:textId="77777777" w:rsidR="00D53823" w:rsidRPr="006B5EF2" w:rsidRDefault="00D53823" w:rsidP="00D53823">
      <w:pPr>
        <w:spacing w:line="260" w:lineRule="atLeast"/>
        <w:jc w:val="both"/>
        <w:rPr>
          <w:rFonts w:eastAsia="Calibri"/>
          <w:sz w:val="18"/>
          <w:szCs w:val="18"/>
          <w:lang w:eastAsia="en-US"/>
        </w:rPr>
      </w:pPr>
      <w:r w:rsidRPr="006B5EF2">
        <w:rPr>
          <w:rFonts w:eastAsia="Calibri"/>
          <w:sz w:val="18"/>
          <w:szCs w:val="18"/>
          <w:lang w:eastAsia="en-US"/>
        </w:rPr>
        <w:t xml:space="preserve">* According to the iodine CAR (December, 2013), the PNECsediment values were calculated on the basis of the PNECaquatic values, using the equilibrium partitioning method.  </w:t>
      </w:r>
    </w:p>
    <w:p w14:paraId="02150D1A" w14:textId="667563EE" w:rsidR="00D53823" w:rsidRDefault="00D53823" w:rsidP="00D53823">
      <w:pPr>
        <w:spacing w:line="260" w:lineRule="atLeast"/>
        <w:rPr>
          <w:rFonts w:eastAsia="Calibri"/>
          <w:lang w:eastAsia="en-US"/>
        </w:rPr>
      </w:pPr>
    </w:p>
    <w:p w14:paraId="7CA43D3D" w14:textId="77777777" w:rsidR="00D53823" w:rsidRDefault="00D53823" w:rsidP="00D53823">
      <w:pPr>
        <w:spacing w:line="260" w:lineRule="atLeast"/>
        <w:rPr>
          <w:rFonts w:eastAsia="Calibri"/>
          <w:lang w:eastAsia="en-US"/>
        </w:rPr>
      </w:pPr>
    </w:p>
    <w:p w14:paraId="43CE401A" w14:textId="77777777" w:rsidR="00D53823" w:rsidRDefault="00D53823" w:rsidP="00D53823">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0"/>
        <w:gridCol w:w="1841"/>
        <w:gridCol w:w="1841"/>
        <w:gridCol w:w="1841"/>
      </w:tblGrid>
      <w:tr w:rsidR="00D53823" w:rsidRPr="006129DF" w14:paraId="3016156A" w14:textId="77777777" w:rsidTr="00261A29">
        <w:trPr>
          <w:trHeight w:val="401"/>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5A7E086D" w14:textId="77777777" w:rsidR="00D53823" w:rsidRPr="006B5EF2" w:rsidRDefault="00D53823" w:rsidP="00261A29">
            <w:pPr>
              <w:autoSpaceDE w:val="0"/>
              <w:spacing w:before="60" w:after="60" w:line="260" w:lineRule="atLeast"/>
              <w:jc w:val="center"/>
              <w:rPr>
                <w:rFonts w:eastAsia="Calibri" w:cs="Arial"/>
                <w:b/>
                <w:bCs/>
                <w:lang w:eastAsia="en-GB"/>
              </w:rPr>
            </w:pPr>
            <w:r w:rsidRPr="006B5EF2">
              <w:rPr>
                <w:rFonts w:eastAsia="Calibri" w:cs="Arial"/>
                <w:b/>
                <w:bCs/>
                <w:lang w:eastAsia="en-GB"/>
              </w:rPr>
              <w:t xml:space="preserve">Summary table on PNEC values </w:t>
            </w:r>
            <w:r>
              <w:rPr>
                <w:rFonts w:eastAsia="Calibri" w:cs="Arial"/>
                <w:b/>
                <w:bCs/>
                <w:lang w:eastAsia="en-GB"/>
              </w:rPr>
              <w:t>L (+) lactic acid</w:t>
            </w:r>
          </w:p>
        </w:tc>
      </w:tr>
      <w:tr w:rsidR="00D53823" w14:paraId="314C77E8" w14:textId="77777777" w:rsidTr="00261A29">
        <w:trPr>
          <w:trHeight w:val="680"/>
        </w:trPr>
        <w:tc>
          <w:tcPr>
            <w:tcW w:w="1000" w:type="pct"/>
            <w:vMerge w:val="restart"/>
            <w:tcBorders>
              <w:top w:val="single" w:sz="4" w:space="0" w:color="auto"/>
              <w:left w:val="single" w:sz="4" w:space="0" w:color="auto"/>
              <w:right w:val="single" w:sz="4" w:space="0" w:color="auto"/>
            </w:tcBorders>
            <w:shd w:val="clear" w:color="auto" w:fill="FFFFFF"/>
            <w:vAlign w:val="center"/>
          </w:tcPr>
          <w:p w14:paraId="5A4058DA" w14:textId="77777777" w:rsidR="00D53823" w:rsidRPr="006B5EF2" w:rsidRDefault="00D53823" w:rsidP="00261A29">
            <w:pPr>
              <w:autoSpaceDE w:val="0"/>
              <w:autoSpaceDN w:val="0"/>
              <w:adjustRightInd w:val="0"/>
              <w:spacing w:before="60" w:after="60" w:line="260" w:lineRule="atLeast"/>
              <w:jc w:val="center"/>
              <w:rPr>
                <w:rFonts w:eastAsia="Calibri" w:cs="Arial"/>
                <w:b/>
                <w:bCs/>
                <w:color w:val="000000"/>
                <w:lang w:eastAsia="en-GB"/>
              </w:rPr>
            </w:pPr>
            <w:r w:rsidRPr="006B5EF2">
              <w:rPr>
                <w:rFonts w:eastAsia="Calibri" w:cs="Arial"/>
                <w:b/>
                <w:bCs/>
                <w:color w:val="000000"/>
                <w:lang w:eastAsia="en-GB"/>
              </w:rPr>
              <w:t>Active substance</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9D78C3" w14:textId="77777777" w:rsidR="00D53823" w:rsidRPr="006B5EF2" w:rsidRDefault="00D53823" w:rsidP="00261A29">
            <w:pPr>
              <w:autoSpaceDE w:val="0"/>
              <w:autoSpaceDN w:val="0"/>
              <w:adjustRightInd w:val="0"/>
              <w:spacing w:before="60" w:after="60" w:line="260" w:lineRule="atLeast"/>
              <w:jc w:val="center"/>
              <w:rPr>
                <w:rFonts w:eastAsia="Calibri" w:cs="Arial"/>
                <w:bCs/>
                <w:color w:val="000000"/>
                <w:lang w:eastAsia="en-GB"/>
              </w:rPr>
            </w:pPr>
            <w:r w:rsidRPr="006B5EF2">
              <w:rPr>
                <w:rFonts w:eastAsia="Calibri" w:cs="Arial"/>
                <w:b/>
                <w:bCs/>
                <w:color w:val="000000"/>
                <w:lang w:eastAsia="en-GB"/>
              </w:rPr>
              <w:t>PNEC</w:t>
            </w:r>
            <w:r w:rsidRPr="006B5EF2">
              <w:rPr>
                <w:rFonts w:eastAsia="Calibri" w:cs="Arial"/>
                <w:b/>
                <w:bCs/>
                <w:color w:val="000000"/>
                <w:vertAlign w:val="subscript"/>
                <w:lang w:eastAsia="en-GB"/>
              </w:rPr>
              <w:t>STP</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2EBB50" w14:textId="77777777" w:rsidR="00D53823" w:rsidRPr="006B5EF2" w:rsidRDefault="00D53823" w:rsidP="00261A29">
            <w:pPr>
              <w:spacing w:before="60" w:after="60" w:line="276" w:lineRule="auto"/>
              <w:jc w:val="center"/>
              <w:rPr>
                <w:rFonts w:eastAsia="Calibri" w:cs="Arial"/>
                <w:lang w:eastAsia="en-GB"/>
              </w:rPr>
            </w:pPr>
            <w:r w:rsidRPr="006B5EF2">
              <w:rPr>
                <w:rFonts w:eastAsia="Calibri" w:cs="Arial"/>
                <w:b/>
                <w:bCs/>
                <w:lang w:eastAsia="en-GB"/>
              </w:rPr>
              <w:t>PNEC</w:t>
            </w:r>
            <w:r w:rsidRPr="006B5EF2">
              <w:rPr>
                <w:rFonts w:eastAsia="Calibri" w:cs="Arial"/>
                <w:b/>
                <w:bCs/>
                <w:vertAlign w:val="subscript"/>
                <w:lang w:eastAsia="en-GB"/>
              </w:rPr>
              <w:t>water</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D4CA40" w14:textId="77777777" w:rsidR="00D53823" w:rsidRPr="006B5EF2" w:rsidRDefault="00D53823" w:rsidP="00261A29">
            <w:pPr>
              <w:spacing w:before="60" w:after="60" w:line="276" w:lineRule="auto"/>
              <w:jc w:val="center"/>
              <w:rPr>
                <w:rFonts w:eastAsia="Calibri" w:cs="Arial"/>
                <w:b/>
                <w:lang w:eastAsia="en-GB"/>
              </w:rPr>
            </w:pPr>
            <w:r w:rsidRPr="006B5EF2">
              <w:rPr>
                <w:rFonts w:eastAsia="Calibri" w:cs="Arial"/>
                <w:b/>
                <w:lang w:eastAsia="en-GB"/>
              </w:rPr>
              <w:t>PNEC</w:t>
            </w:r>
            <w:r w:rsidRPr="006B5EF2">
              <w:rPr>
                <w:rFonts w:eastAsia="Calibri" w:cs="Arial"/>
                <w:b/>
                <w:vertAlign w:val="subscript"/>
                <w:lang w:eastAsia="en-GB"/>
              </w:rPr>
              <w:t>sed</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5FB916" w14:textId="77777777" w:rsidR="00D53823" w:rsidRPr="006B5EF2" w:rsidRDefault="00D53823" w:rsidP="00261A29">
            <w:pPr>
              <w:spacing w:before="60" w:after="60" w:line="276" w:lineRule="auto"/>
              <w:jc w:val="center"/>
              <w:rPr>
                <w:rFonts w:eastAsia="Calibri" w:cs="Arial"/>
                <w:lang w:eastAsia="en-GB"/>
              </w:rPr>
            </w:pPr>
            <w:r w:rsidRPr="006B5EF2">
              <w:rPr>
                <w:rFonts w:eastAsia="Calibri" w:cs="Arial"/>
                <w:b/>
                <w:bCs/>
                <w:lang w:eastAsia="en-GB"/>
              </w:rPr>
              <w:t>PNEC</w:t>
            </w:r>
            <w:r w:rsidRPr="006B5EF2">
              <w:rPr>
                <w:rFonts w:eastAsia="Calibri" w:cs="Arial"/>
                <w:b/>
                <w:bCs/>
                <w:vertAlign w:val="subscript"/>
                <w:lang w:eastAsia="en-GB"/>
              </w:rPr>
              <w:t>soil</w:t>
            </w:r>
          </w:p>
        </w:tc>
      </w:tr>
      <w:tr w:rsidR="00D53823" w14:paraId="7E3132F9" w14:textId="77777777" w:rsidTr="00261A29">
        <w:trPr>
          <w:trHeight w:val="680"/>
        </w:trPr>
        <w:tc>
          <w:tcPr>
            <w:tcW w:w="1000" w:type="pct"/>
            <w:vMerge/>
            <w:tcBorders>
              <w:left w:val="single" w:sz="4" w:space="0" w:color="auto"/>
              <w:bottom w:val="single" w:sz="4" w:space="0" w:color="auto"/>
              <w:right w:val="single" w:sz="4" w:space="0" w:color="auto"/>
            </w:tcBorders>
            <w:shd w:val="clear" w:color="auto" w:fill="FFFFFF"/>
            <w:vAlign w:val="center"/>
          </w:tcPr>
          <w:p w14:paraId="5DA0BCDF" w14:textId="77777777" w:rsidR="00D53823" w:rsidRPr="006B5EF2" w:rsidRDefault="00D53823" w:rsidP="00261A29">
            <w:pPr>
              <w:autoSpaceDE w:val="0"/>
              <w:autoSpaceDN w:val="0"/>
              <w:adjustRightInd w:val="0"/>
              <w:spacing w:before="60" w:after="60" w:line="260" w:lineRule="atLeast"/>
              <w:jc w:val="center"/>
              <w:rPr>
                <w:rFonts w:eastAsia="Calibri" w:cs="Arial"/>
                <w:bCs/>
                <w:color w:val="000000"/>
                <w:lang w:eastAsia="en-GB"/>
              </w:rPr>
            </w:pP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7A9CB0" w14:textId="77777777" w:rsidR="00D53823" w:rsidRPr="006B5EF2" w:rsidRDefault="00D53823" w:rsidP="00261A29">
            <w:pPr>
              <w:autoSpaceDE w:val="0"/>
              <w:autoSpaceDN w:val="0"/>
              <w:adjustRightInd w:val="0"/>
              <w:spacing w:before="60" w:after="60" w:line="260" w:lineRule="atLeast"/>
              <w:jc w:val="center"/>
              <w:rPr>
                <w:rFonts w:eastAsia="Calibri" w:cs="Arial"/>
                <w:color w:val="000000"/>
                <w:lang w:eastAsia="en-GB"/>
              </w:rPr>
            </w:pPr>
            <w:r w:rsidRPr="006B5EF2">
              <w:rPr>
                <w:rFonts w:eastAsia="Calibri" w:cs="Arial"/>
                <w:bCs/>
                <w:color w:val="000000"/>
                <w:lang w:eastAsia="en-GB"/>
              </w:rPr>
              <w:t>[mg/L]</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D9F86F" w14:textId="77777777" w:rsidR="00D53823" w:rsidRPr="006B5EF2" w:rsidRDefault="00D53823" w:rsidP="00261A29">
            <w:pPr>
              <w:autoSpaceDE w:val="0"/>
              <w:autoSpaceDN w:val="0"/>
              <w:adjustRightInd w:val="0"/>
              <w:spacing w:before="60" w:after="60" w:line="260" w:lineRule="atLeast"/>
              <w:jc w:val="center"/>
              <w:rPr>
                <w:rFonts w:eastAsia="Calibri" w:cs="Arial"/>
                <w:bCs/>
                <w:color w:val="000000"/>
                <w:lang w:eastAsia="en-GB"/>
              </w:rPr>
            </w:pPr>
            <w:r w:rsidRPr="006B5EF2">
              <w:rPr>
                <w:rFonts w:eastAsia="Calibri" w:cs="Arial"/>
                <w:bCs/>
                <w:color w:val="000000"/>
                <w:lang w:eastAsia="en-GB"/>
              </w:rPr>
              <w:t>[mg/L]</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1C94C3" w14:textId="77777777" w:rsidR="00D53823" w:rsidRPr="006B5EF2" w:rsidRDefault="00D53823" w:rsidP="00261A29">
            <w:pPr>
              <w:autoSpaceDE w:val="0"/>
              <w:autoSpaceDN w:val="0"/>
              <w:adjustRightInd w:val="0"/>
              <w:spacing w:before="60" w:after="60" w:line="260" w:lineRule="atLeast"/>
              <w:jc w:val="center"/>
              <w:rPr>
                <w:rFonts w:eastAsia="Calibri" w:cs="Arial"/>
                <w:color w:val="000000"/>
                <w:lang w:eastAsia="en-GB"/>
              </w:rPr>
            </w:pPr>
            <w:r w:rsidRPr="006B5EF2">
              <w:rPr>
                <w:rFonts w:eastAsia="Calibri" w:cs="Arial"/>
                <w:bCs/>
                <w:color w:val="000000"/>
                <w:lang w:eastAsia="en-GB"/>
              </w:rPr>
              <w:t>[mg/kg</w:t>
            </w:r>
            <w:r w:rsidRPr="006B5EF2">
              <w:rPr>
                <w:rFonts w:eastAsia="Calibri" w:cs="Arial"/>
                <w:bCs/>
                <w:color w:val="000000"/>
                <w:vertAlign w:val="subscript"/>
                <w:lang w:eastAsia="en-GB"/>
              </w:rPr>
              <w:t>wwt</w:t>
            </w:r>
            <w:r w:rsidRPr="006B5EF2">
              <w:rPr>
                <w:rFonts w:eastAsia="Calibri" w:cs="Arial"/>
                <w:bCs/>
                <w:color w:val="000000"/>
                <w:lang w:eastAsia="en-GB"/>
              </w:rPr>
              <w:t>]</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83DFE6" w14:textId="77777777" w:rsidR="00D53823" w:rsidRPr="006B5EF2" w:rsidRDefault="00D53823" w:rsidP="00261A29">
            <w:pPr>
              <w:autoSpaceDE w:val="0"/>
              <w:autoSpaceDN w:val="0"/>
              <w:adjustRightInd w:val="0"/>
              <w:spacing w:before="60" w:after="60" w:line="260" w:lineRule="atLeast"/>
              <w:jc w:val="center"/>
              <w:rPr>
                <w:rFonts w:eastAsia="Calibri" w:cs="Arial"/>
                <w:bCs/>
                <w:color w:val="000000"/>
                <w:lang w:eastAsia="en-GB"/>
              </w:rPr>
            </w:pPr>
            <w:r w:rsidRPr="006B5EF2">
              <w:rPr>
                <w:rFonts w:eastAsia="Calibri" w:cs="Arial"/>
                <w:bCs/>
                <w:color w:val="000000"/>
                <w:lang w:eastAsia="en-GB"/>
              </w:rPr>
              <w:t>[mg/kg</w:t>
            </w:r>
            <w:r w:rsidRPr="006B5EF2">
              <w:rPr>
                <w:rFonts w:eastAsia="Calibri" w:cs="Arial"/>
                <w:bCs/>
                <w:color w:val="000000"/>
                <w:vertAlign w:val="subscript"/>
                <w:lang w:eastAsia="en-GB"/>
              </w:rPr>
              <w:t>wwt</w:t>
            </w:r>
            <w:r w:rsidRPr="006B5EF2">
              <w:rPr>
                <w:rFonts w:eastAsia="Calibri" w:cs="Arial"/>
                <w:bCs/>
                <w:color w:val="000000"/>
                <w:lang w:eastAsia="en-GB"/>
              </w:rPr>
              <w:t>]</w:t>
            </w:r>
          </w:p>
        </w:tc>
      </w:tr>
      <w:tr w:rsidR="00D53823" w14:paraId="79889138" w14:textId="77777777" w:rsidTr="00261A29">
        <w:trPr>
          <w:trHeight w:val="680"/>
        </w:trPr>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407D720B" w14:textId="77777777" w:rsidR="00D53823" w:rsidRPr="006B5EF2" w:rsidRDefault="00D53823" w:rsidP="00261A29">
            <w:pPr>
              <w:autoSpaceDE w:val="0"/>
              <w:autoSpaceDN w:val="0"/>
              <w:adjustRightInd w:val="0"/>
              <w:spacing w:before="60" w:after="60" w:line="260" w:lineRule="atLeast"/>
              <w:jc w:val="center"/>
              <w:rPr>
                <w:rFonts w:eastAsia="Calibri" w:cs="Arial"/>
                <w:color w:val="000000"/>
                <w:lang w:eastAsia="en-GB"/>
              </w:rPr>
            </w:pPr>
            <w:r w:rsidRPr="006B5EF2">
              <w:rPr>
                <w:rFonts w:eastAsia="Calibri" w:cs="Times New Roman"/>
                <w:b/>
                <w:iCs/>
                <w:lang w:eastAsia="en-US"/>
              </w:rPr>
              <w:t>L(+) Lactic acid</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8CE5F1" w14:textId="77777777" w:rsidR="00D53823" w:rsidRPr="006B5EF2" w:rsidRDefault="00D53823" w:rsidP="00261A29">
            <w:pPr>
              <w:autoSpaceDE w:val="0"/>
              <w:autoSpaceDN w:val="0"/>
              <w:adjustRightInd w:val="0"/>
              <w:spacing w:before="60" w:after="60" w:line="260" w:lineRule="atLeast"/>
              <w:jc w:val="center"/>
              <w:rPr>
                <w:rFonts w:eastAsia="Calibri" w:cs="Arial"/>
                <w:color w:val="000000"/>
                <w:lang w:eastAsia="en-GB"/>
              </w:rPr>
            </w:pPr>
            <w:r w:rsidRPr="006B5EF2">
              <w:rPr>
                <w:rFonts w:eastAsia="Calibri" w:cs="Arial"/>
                <w:color w:val="000000"/>
                <w:lang w:eastAsia="en-GB"/>
              </w:rPr>
              <w:t>10</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5E0F23" w14:textId="77777777" w:rsidR="00D53823" w:rsidRPr="006B5EF2" w:rsidRDefault="00D53823" w:rsidP="00261A29">
            <w:pPr>
              <w:spacing w:before="60" w:after="60" w:line="276" w:lineRule="auto"/>
              <w:jc w:val="center"/>
              <w:rPr>
                <w:rFonts w:eastAsia="Calibri" w:cs="Arial"/>
                <w:vertAlign w:val="superscript"/>
                <w:lang w:eastAsia="en-GB"/>
              </w:rPr>
            </w:pPr>
            <w:r w:rsidRPr="006B5EF2">
              <w:rPr>
                <w:rFonts w:eastAsia="Calibri" w:cs="Arial"/>
                <w:lang w:eastAsia="en-GB"/>
              </w:rPr>
              <w:t>3.9</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77A196" w14:textId="70EFFDDE" w:rsidR="00D53823" w:rsidRPr="006B5EF2" w:rsidRDefault="004236E4" w:rsidP="00261A29">
            <w:pPr>
              <w:spacing w:before="60" w:after="60" w:line="276" w:lineRule="auto"/>
              <w:jc w:val="center"/>
              <w:rPr>
                <w:rFonts w:eastAsia="Calibri" w:cs="Arial"/>
                <w:lang w:eastAsia="en-GB"/>
              </w:rPr>
            </w:pPr>
            <w:r w:rsidRPr="001B3405">
              <w:rPr>
                <w:rFonts w:eastAsia="Calibri"/>
                <w:lang w:eastAsia="en-US"/>
              </w:rPr>
              <w:t>Not used in the risk assessment</w:t>
            </w:r>
            <w:r>
              <w:rPr>
                <w:rFonts w:eastAsia="Calibri"/>
                <w:lang w:eastAsia="en-US"/>
              </w:rPr>
              <w:t>*</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A7EB23C" w14:textId="77777777" w:rsidR="00D53823" w:rsidRPr="006B5EF2" w:rsidRDefault="00D53823" w:rsidP="00261A29">
            <w:pPr>
              <w:spacing w:before="60" w:after="60" w:line="276" w:lineRule="auto"/>
              <w:jc w:val="center"/>
              <w:rPr>
                <w:rFonts w:eastAsia="Calibri" w:cs="Arial"/>
                <w:lang w:eastAsia="en-GB"/>
              </w:rPr>
            </w:pPr>
            <w:r w:rsidRPr="006B5EF2">
              <w:rPr>
                <w:rFonts w:eastAsia="Calibri" w:cs="Arial"/>
                <w:lang w:eastAsia="en-GB"/>
              </w:rPr>
              <w:t>1.9*</w:t>
            </w:r>
          </w:p>
        </w:tc>
      </w:tr>
    </w:tbl>
    <w:p w14:paraId="073800FE" w14:textId="6E2EE3FF" w:rsidR="00D53823" w:rsidRDefault="00D53823" w:rsidP="00D53823">
      <w:pPr>
        <w:spacing w:line="260" w:lineRule="atLeast"/>
        <w:jc w:val="both"/>
        <w:rPr>
          <w:rFonts w:eastAsia="Calibri"/>
          <w:sz w:val="18"/>
          <w:szCs w:val="18"/>
          <w:lang w:eastAsia="en-US"/>
        </w:rPr>
      </w:pPr>
      <w:r w:rsidRPr="00226108">
        <w:rPr>
          <w:rFonts w:eastAsia="Calibri"/>
          <w:sz w:val="18"/>
          <w:szCs w:val="18"/>
          <w:lang w:eastAsia="en-US"/>
        </w:rPr>
        <w:t>* The PNECsoil and the PNECsediment are derived using the equilibrium partitioning method (ECHA Guidance on BPR Vol IV, Part B, v2.0, 2017, equations 89 and 91).</w:t>
      </w:r>
    </w:p>
    <w:p w14:paraId="17ED902C" w14:textId="494A0204" w:rsidR="00865129" w:rsidRDefault="00865129" w:rsidP="00D53823">
      <w:pPr>
        <w:spacing w:line="260" w:lineRule="atLeast"/>
        <w:jc w:val="both"/>
        <w:rPr>
          <w:rFonts w:eastAsia="Calibri"/>
          <w:sz w:val="18"/>
          <w:szCs w:val="18"/>
          <w:lang w:eastAsia="en-US"/>
        </w:rPr>
      </w:pPr>
    </w:p>
    <w:p w14:paraId="373C35D6" w14:textId="77777777" w:rsidR="00865129" w:rsidRPr="00226108" w:rsidRDefault="00865129" w:rsidP="00D53823">
      <w:pPr>
        <w:spacing w:line="260" w:lineRule="atLeast"/>
        <w:jc w:val="both"/>
        <w:rPr>
          <w:rFonts w:eastAsia="Calibri"/>
          <w:sz w:val="18"/>
          <w:szCs w:val="18"/>
          <w:lang w:eastAsia="en-US"/>
        </w:rPr>
      </w:pPr>
    </w:p>
    <w:p w14:paraId="636AEF59" w14:textId="403BD8BE" w:rsidR="009D0C0B" w:rsidRDefault="00FA480B">
      <w:pPr>
        <w:pStyle w:val="Titre4"/>
        <w:rPr>
          <w:rFonts w:ascii="Times New Roman" w:hAnsi="Times New Roman" w:cs="Times New Roman"/>
          <w:lang w:eastAsia="en-US"/>
        </w:rPr>
      </w:pPr>
      <w:bookmarkStart w:id="76" w:name="_Toc74732496"/>
      <w:r>
        <w:t>Exposure assessment</w:t>
      </w:r>
      <w:bookmarkEnd w:id="76"/>
    </w:p>
    <w:p w14:paraId="186D23B1" w14:textId="77777777" w:rsidR="009D0C0B" w:rsidRDefault="009D0C0B">
      <w:pPr>
        <w:spacing w:line="276" w:lineRule="auto"/>
        <w:rPr>
          <w:rFonts w:ascii="Times New Roman" w:eastAsia="Calibri" w:hAnsi="Times New Roman" w:cs="Times New Roman"/>
          <w:lang w:eastAsia="en-US"/>
        </w:rPr>
      </w:pPr>
    </w:p>
    <w:p w14:paraId="5BFD7407" w14:textId="062350B2" w:rsidR="00567E0E" w:rsidRDefault="00567E0E" w:rsidP="00567E0E">
      <w:pPr>
        <w:spacing w:line="276" w:lineRule="auto"/>
        <w:rPr>
          <w:rFonts w:ascii="Times New Roman" w:eastAsia="Calibri" w:hAnsi="Times New Roman" w:cs="Times New Roman"/>
          <w:i/>
          <w:lang w:eastAsia="en-US"/>
        </w:rPr>
      </w:pPr>
    </w:p>
    <w:p w14:paraId="255929DB" w14:textId="77777777" w:rsidR="00567E0E" w:rsidRPr="006B5EF2" w:rsidRDefault="00567E0E" w:rsidP="00567E0E">
      <w:pPr>
        <w:spacing w:line="276" w:lineRule="auto"/>
        <w:rPr>
          <w:rFonts w:eastAsia="Calibri"/>
          <w:b/>
          <w:lang w:eastAsia="en-US"/>
        </w:rPr>
      </w:pPr>
      <w:r w:rsidRPr="006B5EF2">
        <w:rPr>
          <w:b/>
        </w:rPr>
        <w:t>General information</w:t>
      </w:r>
    </w:p>
    <w:tbl>
      <w:tblPr>
        <w:tblW w:w="0" w:type="auto"/>
        <w:tblInd w:w="108" w:type="dxa"/>
        <w:tblLayout w:type="fixed"/>
        <w:tblLook w:val="0000" w:firstRow="0" w:lastRow="0" w:firstColumn="0" w:lastColumn="0" w:noHBand="0" w:noVBand="0"/>
      </w:tblPr>
      <w:tblGrid>
        <w:gridCol w:w="2943"/>
        <w:gridCol w:w="6423"/>
      </w:tblGrid>
      <w:tr w:rsidR="00567E0E" w14:paraId="310094AD"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68A76CF4" w14:textId="77777777" w:rsidR="00567E0E" w:rsidRDefault="00567E0E" w:rsidP="00261A29">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BC7E5" w14:textId="77777777" w:rsidR="00567E0E" w:rsidRPr="0018153F" w:rsidRDefault="00567E0E" w:rsidP="00261A29">
            <w:pPr>
              <w:spacing w:line="276" w:lineRule="auto"/>
            </w:pPr>
            <w:r w:rsidRPr="006B5EF2">
              <w:rPr>
                <w:rFonts w:eastAsia="Calibri" w:cs="Times New Roman"/>
                <w:lang w:eastAsia="en-US"/>
              </w:rPr>
              <w:t xml:space="preserve">PT </w:t>
            </w:r>
            <w:r>
              <w:rPr>
                <w:rFonts w:eastAsia="Calibri" w:cs="Times New Roman"/>
                <w:lang w:eastAsia="en-US"/>
              </w:rPr>
              <w:t>3</w:t>
            </w:r>
          </w:p>
        </w:tc>
      </w:tr>
      <w:tr w:rsidR="00567E0E" w14:paraId="6D2FB8E3"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7E548DAE" w14:textId="77777777" w:rsidR="00567E0E" w:rsidRDefault="00567E0E" w:rsidP="00261A29">
            <w:pPr>
              <w:spacing w:line="276" w:lineRule="auto"/>
              <w:rPr>
                <w:rFonts w:ascii="Times New Roman" w:eastAsia="Calibri" w:hAnsi="Times New Roman" w:cs="Times New Roman"/>
                <w:i/>
                <w:color w:val="FF0000"/>
                <w:lang w:eastAsia="en-US"/>
              </w:rPr>
            </w:pPr>
            <w:r>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4E71" w14:textId="1584F082" w:rsidR="00567E0E" w:rsidRDefault="00567E0E" w:rsidP="00261A29">
            <w:pPr>
              <w:spacing w:line="276" w:lineRule="auto"/>
              <w:rPr>
                <w:rFonts w:eastAsia="Calibri" w:cs="Times New Roman"/>
                <w:lang w:eastAsia="en-US"/>
              </w:rPr>
            </w:pPr>
            <w:r w:rsidRPr="0018153F">
              <w:rPr>
                <w:rFonts w:eastAsia="Calibri" w:cs="Times New Roman"/>
                <w:lang w:eastAsia="en-US"/>
              </w:rPr>
              <w:t>Teat disinfection; Liquid dipping after milking</w:t>
            </w:r>
            <w:r>
              <w:rPr>
                <w:rFonts w:eastAsia="Calibri" w:cs="Times New Roman"/>
                <w:lang w:eastAsia="en-US"/>
              </w:rPr>
              <w:t xml:space="preserve"> (Manual and a</w:t>
            </w:r>
            <w:r w:rsidR="00865129">
              <w:rPr>
                <w:rFonts w:eastAsia="Calibri" w:cs="Times New Roman"/>
                <w:lang w:eastAsia="en-US"/>
              </w:rPr>
              <w:t>u</w:t>
            </w:r>
            <w:r>
              <w:rPr>
                <w:rFonts w:eastAsia="Calibri" w:cs="Times New Roman"/>
                <w:lang w:eastAsia="en-US"/>
              </w:rPr>
              <w:t>tomatic application)</w:t>
            </w:r>
            <w:r w:rsidR="002D0BFB">
              <w:rPr>
                <w:rFonts w:eastAsia="Calibri" w:cs="Times New Roman"/>
                <w:lang w:eastAsia="en-US"/>
              </w:rPr>
              <w:t>:</w:t>
            </w:r>
          </w:p>
          <w:p w14:paraId="2459525C" w14:textId="77777777" w:rsidR="002D0BFB" w:rsidRDefault="002D0BFB" w:rsidP="00261A29">
            <w:pPr>
              <w:spacing w:line="276" w:lineRule="auto"/>
              <w:rPr>
                <w:rFonts w:eastAsia="Calibri" w:cs="Times New Roman"/>
                <w:lang w:eastAsia="en-US"/>
              </w:rPr>
            </w:pPr>
            <w:r>
              <w:rPr>
                <w:rFonts w:eastAsia="Calibri" w:cs="Times New Roman"/>
                <w:lang w:eastAsia="en-US"/>
              </w:rPr>
              <w:t xml:space="preserve">- </w:t>
            </w:r>
            <w:r w:rsidR="00567E0E" w:rsidRPr="004518A4">
              <w:rPr>
                <w:rFonts w:eastAsia="Calibri" w:cs="Times New Roman"/>
                <w:lang w:eastAsia="en-US"/>
              </w:rPr>
              <w:t>Emission to the STP via wastewater</w:t>
            </w:r>
          </w:p>
          <w:p w14:paraId="14E9ECD7" w14:textId="658B6C98" w:rsidR="00567E0E" w:rsidRPr="006B5EF2" w:rsidRDefault="002D0BFB" w:rsidP="002D0BFB">
            <w:pPr>
              <w:spacing w:line="276" w:lineRule="auto"/>
              <w:rPr>
                <w:rFonts w:eastAsia="Calibri" w:cs="Times New Roman"/>
                <w:lang w:eastAsia="en-US"/>
              </w:rPr>
            </w:pPr>
            <w:r>
              <w:rPr>
                <w:rFonts w:eastAsia="Calibri" w:cs="Times New Roman"/>
                <w:lang w:eastAsia="en-US"/>
              </w:rPr>
              <w:t>-</w:t>
            </w:r>
            <w:r w:rsidR="00567E0E">
              <w:rPr>
                <w:rFonts w:eastAsia="Calibri" w:cs="Times New Roman"/>
                <w:lang w:eastAsia="en-US"/>
              </w:rPr>
              <w:t xml:space="preserve"> </w:t>
            </w:r>
            <w:r>
              <w:rPr>
                <w:rFonts w:eastAsia="Calibri" w:cs="Times New Roman"/>
                <w:lang w:eastAsia="en-US"/>
              </w:rPr>
              <w:t>E</w:t>
            </w:r>
            <w:r w:rsidR="00567E0E" w:rsidRPr="004518A4">
              <w:rPr>
                <w:rFonts w:eastAsia="Calibri" w:cs="Times New Roman"/>
                <w:lang w:eastAsia="en-US"/>
              </w:rPr>
              <w:t>mission to soil via manure/slurry</w:t>
            </w:r>
            <w:r w:rsidR="00567E0E" w:rsidRPr="004518A4" w:rsidDel="0018153F">
              <w:rPr>
                <w:rFonts w:eastAsia="Calibri" w:cs="Times New Roman"/>
                <w:lang w:eastAsia="en-US"/>
              </w:rPr>
              <w:t xml:space="preserve"> </w:t>
            </w:r>
          </w:p>
        </w:tc>
      </w:tr>
      <w:tr w:rsidR="00567E0E" w14:paraId="2E9B33C6"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5AD4D2ED" w14:textId="77777777" w:rsidR="00567E0E" w:rsidRDefault="00567E0E" w:rsidP="00261A29">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AEAE" w14:textId="77777777" w:rsidR="00567E0E" w:rsidRDefault="00567E0E" w:rsidP="00261A29">
            <w:pPr>
              <w:spacing w:line="276" w:lineRule="auto"/>
              <w:rPr>
                <w:rFonts w:eastAsia="Calibri" w:cs="Times New Roman"/>
                <w:lang w:eastAsia="en-US"/>
              </w:rPr>
            </w:pPr>
            <w:r w:rsidRPr="0018153F">
              <w:rPr>
                <w:rFonts w:eastAsia="Calibri" w:cs="Times New Roman"/>
                <w:lang w:eastAsia="en-US"/>
              </w:rPr>
              <w:t>Emission Scenario Document for Product Type 3: Veterinary hygiene biocidal products, 2011</w:t>
            </w:r>
          </w:p>
          <w:p w14:paraId="48B62838" w14:textId="77777777" w:rsidR="00567E0E" w:rsidRDefault="00567E0E" w:rsidP="00261A29">
            <w:pPr>
              <w:spacing w:line="276" w:lineRule="auto"/>
              <w:rPr>
                <w:rFonts w:eastAsia="Calibri" w:cs="Times New Roman"/>
                <w:lang w:eastAsia="en-US"/>
              </w:rPr>
            </w:pPr>
          </w:p>
          <w:p w14:paraId="0F31D279" w14:textId="77777777" w:rsidR="00567E0E" w:rsidRPr="004518A4" w:rsidRDefault="00567E0E" w:rsidP="00261A29">
            <w:pPr>
              <w:spacing w:line="276" w:lineRule="auto"/>
              <w:rPr>
                <w:rFonts w:eastAsia="Calibri" w:cs="Times New Roman"/>
                <w:lang w:eastAsia="en-US"/>
              </w:rPr>
            </w:pPr>
            <w:r w:rsidRPr="004518A4">
              <w:rPr>
                <w:rFonts w:eastAsia="Calibri" w:cs="Times New Roman"/>
                <w:lang w:eastAsia="en-US"/>
              </w:rPr>
              <w:lastRenderedPageBreak/>
              <w:t>OECD SERIES ON EMISSION SCENARIO DOCUMENTS, Number 14: Emission Scenario Document for Insecticides for Stables and Manure Storage systems ENV/JM/MONO(2006)4</w:t>
            </w:r>
          </w:p>
          <w:p w14:paraId="0564358A" w14:textId="77777777" w:rsidR="00567E0E" w:rsidRPr="004518A4" w:rsidRDefault="00567E0E" w:rsidP="00261A29">
            <w:pPr>
              <w:spacing w:line="276" w:lineRule="auto"/>
              <w:rPr>
                <w:rFonts w:eastAsia="Calibri" w:cs="Times New Roman"/>
                <w:lang w:eastAsia="en-US"/>
              </w:rPr>
            </w:pPr>
          </w:p>
          <w:p w14:paraId="7066B0D8" w14:textId="77777777" w:rsidR="00567E0E" w:rsidRPr="0018153F" w:rsidRDefault="00567E0E" w:rsidP="00261A29">
            <w:pPr>
              <w:spacing w:line="276" w:lineRule="auto"/>
            </w:pPr>
            <w:r w:rsidRPr="004518A4">
              <w:rPr>
                <w:rFonts w:eastAsia="Calibri" w:cs="Times New Roman"/>
                <w:lang w:eastAsia="en-US"/>
              </w:rPr>
              <w:t>Technical Agreements for Biocides v2.1, December 2019</w:t>
            </w:r>
          </w:p>
        </w:tc>
      </w:tr>
      <w:tr w:rsidR="00567E0E" w14:paraId="2E6A524B"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131DFC96" w14:textId="77777777" w:rsidR="00567E0E" w:rsidRDefault="00567E0E" w:rsidP="00261A29">
            <w:pPr>
              <w:spacing w:line="276" w:lineRule="auto"/>
              <w:rPr>
                <w:rFonts w:ascii="Times New Roman" w:eastAsia="Calibri" w:hAnsi="Times New Roman" w:cs="Times New Roman"/>
                <w:i/>
                <w:lang w:eastAsia="en-US"/>
              </w:rPr>
            </w:pPr>
            <w:r>
              <w:rPr>
                <w:rFonts w:eastAsia="Calibri"/>
                <w:lang w:eastAsia="en-US"/>
              </w:rPr>
              <w:lastRenderedPageBreak/>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FCF2D" w14:textId="77777777" w:rsidR="00567E0E" w:rsidRPr="006B5EF2" w:rsidRDefault="00567E0E" w:rsidP="00261A29">
            <w:pPr>
              <w:spacing w:after="120" w:line="260" w:lineRule="atLeast"/>
              <w:rPr>
                <w:rFonts w:eastAsia="Calibri" w:cs="Times New Roman"/>
                <w:lang w:val="it-IT" w:eastAsia="en-US"/>
              </w:rPr>
            </w:pPr>
          </w:p>
          <w:p w14:paraId="5C6BAC2A" w14:textId="77777777" w:rsidR="00567E0E" w:rsidRPr="006B5EF2" w:rsidRDefault="00567E0E" w:rsidP="00261A29">
            <w:pPr>
              <w:spacing w:line="276" w:lineRule="auto"/>
              <w:rPr>
                <w:rFonts w:eastAsia="Calibri" w:cs="Times New Roman"/>
                <w:lang w:val="it-IT" w:eastAsia="en-US"/>
              </w:rPr>
            </w:pPr>
            <w:r w:rsidRPr="006B5EF2">
              <w:rPr>
                <w:rFonts w:eastAsia="Calibri" w:cs="Times New Roman"/>
                <w:lang w:val="it-IT" w:eastAsia="en-US"/>
              </w:rPr>
              <w:t>Average consumption</w:t>
            </w:r>
          </w:p>
          <w:p w14:paraId="29B8B7A7" w14:textId="77777777" w:rsidR="00567E0E" w:rsidRPr="0018153F" w:rsidRDefault="00567E0E" w:rsidP="00261A29">
            <w:pPr>
              <w:spacing w:line="276" w:lineRule="auto"/>
            </w:pPr>
          </w:p>
        </w:tc>
      </w:tr>
      <w:tr w:rsidR="00567E0E" w14:paraId="7D5ECE87"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3FE3CBCE" w14:textId="77777777" w:rsidR="00567E0E" w:rsidRDefault="00567E0E" w:rsidP="00261A29">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E7F65" w14:textId="77777777" w:rsidR="00567E0E" w:rsidRDefault="00567E0E" w:rsidP="00261A29">
            <w:pPr>
              <w:spacing w:line="276" w:lineRule="auto"/>
              <w:rPr>
                <w:rFonts w:eastAsia="Calibri" w:cs="Times New Roman"/>
                <w:lang w:eastAsia="en-US"/>
              </w:rPr>
            </w:pPr>
            <w:r w:rsidRPr="0018153F">
              <w:rPr>
                <w:rFonts w:eastAsia="Calibri" w:cs="Times New Roman"/>
                <w:lang w:eastAsia="en-US"/>
              </w:rPr>
              <w:t>Calculated based on ECHA Guidance on the BPR Vol IV, Part B; April 2015</w:t>
            </w:r>
          </w:p>
          <w:p w14:paraId="443A0C33" w14:textId="77777777" w:rsidR="00567E0E" w:rsidRDefault="00567E0E" w:rsidP="00261A29">
            <w:pPr>
              <w:spacing w:line="276" w:lineRule="auto"/>
              <w:rPr>
                <w:rFonts w:eastAsia="Calibri" w:cs="Times New Roman"/>
                <w:lang w:eastAsia="en-US"/>
              </w:rPr>
            </w:pPr>
          </w:p>
          <w:p w14:paraId="01F2D773" w14:textId="77777777" w:rsidR="00567E0E" w:rsidRPr="004518A4" w:rsidRDefault="00567E0E" w:rsidP="00261A29">
            <w:pPr>
              <w:spacing w:line="276" w:lineRule="auto"/>
              <w:rPr>
                <w:rFonts w:eastAsia="Calibri" w:cs="Times New Roman"/>
                <w:lang w:eastAsia="en-US"/>
              </w:rPr>
            </w:pPr>
            <w:r w:rsidRPr="004518A4">
              <w:rPr>
                <w:rFonts w:eastAsia="Calibri" w:cs="Times New Roman"/>
                <w:lang w:eastAsia="en-US"/>
              </w:rPr>
              <w:t xml:space="preserve">Assessment report: L(+) Lactic acid Product-type 02, 03 and 04, June 2017 and </w:t>
            </w:r>
            <w:r>
              <w:rPr>
                <w:rFonts w:eastAsia="Calibri" w:cs="Times New Roman"/>
                <w:lang w:eastAsia="en-US"/>
              </w:rPr>
              <w:t>Iodine</w:t>
            </w:r>
            <w:r w:rsidRPr="004518A4">
              <w:rPr>
                <w:rFonts w:eastAsia="Calibri" w:cs="Times New Roman"/>
                <w:lang w:eastAsia="en-US"/>
              </w:rPr>
              <w:t xml:space="preserve"> Product-type 1</w:t>
            </w:r>
            <w:r>
              <w:rPr>
                <w:rFonts w:eastAsia="Calibri" w:cs="Times New Roman"/>
                <w:lang w:eastAsia="en-US"/>
              </w:rPr>
              <w:t>, 3, 4, 22</w:t>
            </w:r>
            <w:r w:rsidRPr="004518A4">
              <w:rPr>
                <w:rFonts w:eastAsia="Calibri" w:cs="Times New Roman"/>
                <w:lang w:eastAsia="en-US"/>
              </w:rPr>
              <w:t xml:space="preserve">, </w:t>
            </w:r>
            <w:r>
              <w:rPr>
                <w:rFonts w:eastAsia="Calibri" w:cs="Times New Roman"/>
                <w:lang w:eastAsia="en-US"/>
              </w:rPr>
              <w:t>December 2013</w:t>
            </w:r>
          </w:p>
          <w:p w14:paraId="5C3FFEDD" w14:textId="77777777" w:rsidR="00567E0E" w:rsidRPr="004518A4" w:rsidRDefault="00567E0E" w:rsidP="00261A29">
            <w:pPr>
              <w:spacing w:line="276" w:lineRule="auto"/>
              <w:rPr>
                <w:rFonts w:eastAsia="Calibri" w:cs="Times New Roman"/>
                <w:lang w:eastAsia="en-US"/>
              </w:rPr>
            </w:pPr>
          </w:p>
          <w:p w14:paraId="1E2144F3" w14:textId="77777777" w:rsidR="00567E0E" w:rsidRPr="0018153F" w:rsidRDefault="00567E0E" w:rsidP="00261A29">
            <w:pPr>
              <w:spacing w:line="276" w:lineRule="auto"/>
            </w:pPr>
            <w:r w:rsidRPr="004518A4">
              <w:rPr>
                <w:rFonts w:eastAsia="Calibri" w:cs="Times New Roman"/>
                <w:lang w:eastAsia="en-US"/>
              </w:rPr>
              <w:t>Technical Agreements for Biocides v2.1, December 2019</w:t>
            </w:r>
          </w:p>
        </w:tc>
      </w:tr>
      <w:tr w:rsidR="00567E0E" w14:paraId="3D2A8386"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39261059" w14:textId="77777777" w:rsidR="00567E0E" w:rsidRDefault="00567E0E" w:rsidP="00261A29">
            <w:pPr>
              <w:spacing w:line="276" w:lineRule="auto"/>
              <w:rPr>
                <w:rFonts w:ascii="Times New Roman" w:eastAsia="Calibri" w:hAnsi="Times New Roman" w:cs="Times New Roman"/>
                <w:i/>
                <w:lang w:eastAsia="en-US"/>
              </w:rPr>
            </w:pPr>
            <w:r>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F130" w14:textId="77777777" w:rsidR="00567E0E" w:rsidRPr="0018153F" w:rsidRDefault="00567E0E" w:rsidP="00261A29">
            <w:pPr>
              <w:spacing w:line="276" w:lineRule="auto"/>
            </w:pPr>
            <w:r>
              <w:rPr>
                <w:rFonts w:eastAsia="Calibri" w:cs="Times New Roman"/>
                <w:lang w:eastAsia="en-US"/>
              </w:rPr>
              <w:t>No</w:t>
            </w:r>
          </w:p>
        </w:tc>
      </w:tr>
      <w:tr w:rsidR="00567E0E" w14:paraId="13EBE4D3"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2304714A" w14:textId="77777777" w:rsidR="00567E0E" w:rsidRDefault="00567E0E" w:rsidP="00261A29">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AF3E7" w14:textId="77777777" w:rsidR="00567E0E" w:rsidRPr="0018153F" w:rsidRDefault="00567E0E" w:rsidP="00261A29">
            <w:pPr>
              <w:spacing w:line="276" w:lineRule="auto"/>
            </w:pPr>
            <w:r w:rsidRPr="006B5EF2">
              <w:rPr>
                <w:rFonts w:eastAsia="Calibri" w:cs="Times New Roman"/>
                <w:lang w:eastAsia="en-US"/>
              </w:rPr>
              <w:t>N</w:t>
            </w:r>
            <w:r>
              <w:rPr>
                <w:rFonts w:eastAsia="Calibri" w:cs="Times New Roman"/>
                <w:lang w:eastAsia="en-US"/>
              </w:rPr>
              <w:t>o</w:t>
            </w:r>
          </w:p>
        </w:tc>
      </w:tr>
      <w:tr w:rsidR="00567E0E" w14:paraId="20A0E69E"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5BB62886" w14:textId="77777777" w:rsidR="00567E0E" w:rsidRDefault="00567E0E" w:rsidP="00261A29">
            <w:pPr>
              <w:spacing w:line="276" w:lineRule="auto"/>
              <w:rPr>
                <w:rFonts w:ascii="Times New Roman" w:eastAsia="Calibri" w:hAnsi="Times New Roman" w:cs="Times New Roman"/>
                <w:i/>
                <w:color w:val="000000"/>
                <w:sz w:val="18"/>
                <w:szCs w:val="18"/>
                <w:lang w:eastAsia="en-US"/>
              </w:rPr>
            </w:pPr>
            <w:r>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1649" w14:textId="77777777" w:rsidR="00567E0E" w:rsidRPr="006B5EF2" w:rsidRDefault="00567E0E" w:rsidP="00261A29">
            <w:pPr>
              <w:spacing w:before="60" w:after="60" w:line="276" w:lineRule="auto"/>
              <w:rPr>
                <w:rFonts w:eastAsia="Calibri" w:cs="Times New Roman"/>
                <w:lang w:eastAsia="en-US"/>
              </w:rPr>
            </w:pPr>
            <w:r w:rsidRPr="006B5EF2">
              <w:rPr>
                <w:rFonts w:eastAsia="Calibri" w:cs="Times New Roman"/>
                <w:lang w:eastAsia="en-US"/>
              </w:rPr>
              <w:t>Production: No</w:t>
            </w:r>
          </w:p>
          <w:p w14:paraId="5142C8CF" w14:textId="77777777" w:rsidR="00567E0E" w:rsidRPr="006B5EF2" w:rsidRDefault="00567E0E" w:rsidP="00261A29">
            <w:pPr>
              <w:spacing w:before="60" w:after="60" w:line="276" w:lineRule="auto"/>
              <w:rPr>
                <w:rFonts w:eastAsia="Calibri" w:cs="Times New Roman"/>
                <w:lang w:eastAsia="en-US"/>
              </w:rPr>
            </w:pPr>
            <w:r w:rsidRPr="006B5EF2">
              <w:rPr>
                <w:rFonts w:eastAsia="Calibri" w:cs="Times New Roman"/>
                <w:lang w:eastAsia="en-US"/>
              </w:rPr>
              <w:t>Formulation</w:t>
            </w:r>
            <w:r>
              <w:rPr>
                <w:rFonts w:eastAsia="Calibri" w:cs="Times New Roman"/>
                <w:lang w:eastAsia="en-US"/>
              </w:rPr>
              <w:t>:</w:t>
            </w:r>
            <w:r w:rsidRPr="006B5EF2">
              <w:rPr>
                <w:rFonts w:eastAsia="Calibri" w:cs="Times New Roman"/>
                <w:lang w:eastAsia="en-US"/>
              </w:rPr>
              <w:t>No</w:t>
            </w:r>
          </w:p>
          <w:p w14:paraId="0A1E8252" w14:textId="77777777" w:rsidR="00567E0E" w:rsidRPr="006B5EF2" w:rsidRDefault="00567E0E" w:rsidP="00261A29">
            <w:pPr>
              <w:spacing w:before="60" w:after="60" w:line="276" w:lineRule="auto"/>
              <w:rPr>
                <w:rFonts w:eastAsia="Calibri" w:cs="Times New Roman"/>
                <w:lang w:eastAsia="en-US"/>
              </w:rPr>
            </w:pPr>
            <w:r w:rsidRPr="006B5EF2">
              <w:rPr>
                <w:rFonts w:eastAsia="Calibri" w:cs="Times New Roman"/>
                <w:lang w:eastAsia="en-US"/>
              </w:rPr>
              <w:t>Use: Yes</w:t>
            </w:r>
          </w:p>
          <w:p w14:paraId="4F7A4474" w14:textId="77777777" w:rsidR="00567E0E" w:rsidRPr="0018153F" w:rsidRDefault="00567E0E" w:rsidP="00261A29">
            <w:pPr>
              <w:spacing w:line="276" w:lineRule="auto"/>
            </w:pPr>
            <w:r w:rsidRPr="006B5EF2">
              <w:rPr>
                <w:rFonts w:eastAsia="Calibri" w:cs="Times New Roman"/>
                <w:lang w:eastAsia="en-US"/>
              </w:rPr>
              <w:t>Service life: No</w:t>
            </w:r>
          </w:p>
        </w:tc>
      </w:tr>
      <w:tr w:rsidR="00567E0E" w14:paraId="4041C912" w14:textId="77777777" w:rsidTr="00261A29">
        <w:tc>
          <w:tcPr>
            <w:tcW w:w="2943" w:type="dxa"/>
            <w:tcBorders>
              <w:top w:val="single" w:sz="4" w:space="0" w:color="000000"/>
              <w:left w:val="single" w:sz="4" w:space="0" w:color="000000"/>
              <w:bottom w:val="single" w:sz="4" w:space="0" w:color="000000"/>
            </w:tcBorders>
            <w:shd w:val="clear" w:color="auto" w:fill="FFFFCC"/>
            <w:vAlign w:val="center"/>
          </w:tcPr>
          <w:p w14:paraId="57BBF205" w14:textId="77777777" w:rsidR="00567E0E" w:rsidRDefault="00567E0E" w:rsidP="00261A29">
            <w:pPr>
              <w:spacing w:line="276" w:lineRule="auto"/>
              <w:rPr>
                <w:rFonts w:eastAsia="Calibri"/>
                <w:i/>
                <w:color w:val="000000"/>
                <w:lang w:eastAsia="en-US"/>
              </w:rPr>
            </w:pPr>
            <w:r>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939D" w14:textId="77777777" w:rsidR="00567E0E" w:rsidRDefault="00567E0E" w:rsidP="00261A29">
            <w:pPr>
              <w:snapToGrid w:val="0"/>
              <w:spacing w:line="276" w:lineRule="auto"/>
              <w:rPr>
                <w:rFonts w:eastAsia="Calibri"/>
                <w:i/>
                <w:color w:val="000000"/>
                <w:lang w:eastAsia="en-US"/>
              </w:rPr>
            </w:pPr>
          </w:p>
          <w:p w14:paraId="286BDA29" w14:textId="77777777" w:rsidR="00567E0E" w:rsidRDefault="00567E0E" w:rsidP="00261A29">
            <w:pPr>
              <w:spacing w:line="276" w:lineRule="auto"/>
              <w:rPr>
                <w:rFonts w:eastAsia="Calibri"/>
                <w:i/>
                <w:color w:val="000000"/>
                <w:lang w:eastAsia="en-US"/>
              </w:rPr>
            </w:pPr>
            <w:r>
              <w:rPr>
                <w:rFonts w:eastAsia="Calibri"/>
                <w:i/>
                <w:color w:val="000000"/>
                <w:lang w:eastAsia="en-US"/>
              </w:rPr>
              <w:t>/</w:t>
            </w:r>
          </w:p>
          <w:p w14:paraId="4C9D0E7E" w14:textId="77777777" w:rsidR="00567E0E" w:rsidRDefault="00567E0E" w:rsidP="00261A29">
            <w:pPr>
              <w:spacing w:line="276" w:lineRule="auto"/>
              <w:rPr>
                <w:rFonts w:eastAsia="Calibri"/>
                <w:i/>
                <w:color w:val="000000"/>
                <w:lang w:eastAsia="en-US"/>
              </w:rPr>
            </w:pPr>
          </w:p>
        </w:tc>
      </w:tr>
    </w:tbl>
    <w:p w14:paraId="36CB9473" w14:textId="77777777" w:rsidR="00567E0E" w:rsidRDefault="00567E0E" w:rsidP="00567E0E">
      <w:pPr>
        <w:spacing w:line="260" w:lineRule="atLeast"/>
        <w:rPr>
          <w:rFonts w:ascii="Times New Roman" w:eastAsia="Calibri" w:hAnsi="Times New Roman" w:cs="Times New Roman"/>
          <w:iCs/>
          <w:lang w:val="fr-FR" w:eastAsia="en-US"/>
        </w:rPr>
      </w:pPr>
    </w:p>
    <w:p w14:paraId="57E6B2CF" w14:textId="77777777" w:rsidR="00567E0E" w:rsidRPr="006B5EF2" w:rsidRDefault="00567E0E" w:rsidP="00567E0E">
      <w:pPr>
        <w:spacing w:line="260" w:lineRule="atLeast"/>
        <w:rPr>
          <w:rFonts w:ascii="Times New Roman" w:eastAsia="Calibri" w:hAnsi="Times New Roman" w:cs="Times New Roman"/>
          <w:iCs/>
          <w:lang w:val="en-US" w:eastAsia="en-US"/>
        </w:rPr>
      </w:pPr>
    </w:p>
    <w:p w14:paraId="48668405" w14:textId="77777777" w:rsidR="00567E0E" w:rsidRDefault="00567E0E" w:rsidP="00CC0F55">
      <w:pPr>
        <w:rPr>
          <w:rFonts w:eastAsia="Calibri"/>
          <w:b/>
          <w:bCs/>
          <w:i/>
          <w:sz w:val="22"/>
          <w:szCs w:val="22"/>
          <w:lang w:eastAsia="en-US"/>
        </w:rPr>
      </w:pPr>
      <w:r>
        <w:rPr>
          <w:rFonts w:eastAsia="Calibri"/>
          <w:b/>
          <w:i/>
          <w:sz w:val="22"/>
          <w:szCs w:val="22"/>
          <w:lang w:eastAsia="en-US"/>
        </w:rPr>
        <w:t>Emission estimation</w:t>
      </w:r>
    </w:p>
    <w:p w14:paraId="1FE37EF9" w14:textId="77777777" w:rsidR="00567E0E" w:rsidRDefault="00567E0E" w:rsidP="00567E0E">
      <w:pPr>
        <w:jc w:val="both"/>
        <w:rPr>
          <w:rFonts w:eastAsia="Calibri" w:cs="Times New Roman"/>
          <w:lang w:eastAsia="en-US"/>
        </w:rPr>
      </w:pPr>
    </w:p>
    <w:p w14:paraId="6982BB35" w14:textId="77777777" w:rsidR="00567E0E" w:rsidRDefault="00567E0E" w:rsidP="00567E0E">
      <w:pPr>
        <w:jc w:val="both"/>
        <w:rPr>
          <w:rFonts w:eastAsia="Calibri" w:cs="Times New Roman"/>
          <w:lang w:eastAsia="en-US"/>
        </w:rPr>
      </w:pPr>
    </w:p>
    <w:p w14:paraId="5754D837" w14:textId="3F49AC4E" w:rsidR="00567E0E" w:rsidRDefault="00567E0E" w:rsidP="00567E0E">
      <w:pPr>
        <w:jc w:val="both"/>
        <w:rPr>
          <w:rFonts w:eastAsia="Calibri" w:cs="Times New Roman"/>
          <w:lang w:eastAsia="en-US"/>
        </w:rPr>
      </w:pPr>
      <w:r w:rsidRPr="00FC4CEE">
        <w:rPr>
          <w:rFonts w:eastAsia="Calibri" w:cs="Times New Roman"/>
          <w:lang w:eastAsia="en-US"/>
        </w:rPr>
        <w:t xml:space="preserve">The quantity of iodine (I2) in </w:t>
      </w:r>
      <w:r>
        <w:rPr>
          <w:rFonts w:eastAsia="Calibri" w:cs="Times New Roman"/>
          <w:lang w:eastAsia="en-US"/>
        </w:rPr>
        <w:t xml:space="preserve">PVPI is at a minimum concentration of 0.081% and maximum concentration of 0.108 </w:t>
      </w:r>
      <w:r w:rsidRPr="00FC4CEE">
        <w:rPr>
          <w:rFonts w:eastAsia="Calibri" w:cs="Times New Roman"/>
          <w:lang w:eastAsia="en-US"/>
        </w:rPr>
        <w:t xml:space="preserve">% w/w. The </w:t>
      </w:r>
      <w:r>
        <w:rPr>
          <w:rFonts w:eastAsia="Calibri" w:cs="Times New Roman"/>
          <w:lang w:eastAsia="en-US"/>
        </w:rPr>
        <w:t>quantity of iodid</w:t>
      </w:r>
      <w:r w:rsidRPr="00FC4CEE">
        <w:rPr>
          <w:rFonts w:eastAsia="Calibri" w:cs="Times New Roman"/>
          <w:lang w:eastAsia="en-US"/>
        </w:rPr>
        <w:t>e</w:t>
      </w:r>
      <w:r>
        <w:rPr>
          <w:rFonts w:eastAsia="Calibri" w:cs="Times New Roman"/>
          <w:lang w:eastAsia="en-US"/>
        </w:rPr>
        <w:t>/iodate (I- form</w:t>
      </w:r>
      <w:r w:rsidRPr="00FC4CEE">
        <w:rPr>
          <w:rFonts w:eastAsia="Calibri" w:cs="Times New Roman"/>
          <w:lang w:eastAsia="en-US"/>
        </w:rPr>
        <w:t xml:space="preserve">) in </w:t>
      </w:r>
      <w:r>
        <w:rPr>
          <w:rFonts w:eastAsia="Calibri" w:cs="Times New Roman"/>
          <w:lang w:eastAsia="en-US"/>
        </w:rPr>
        <w:t xml:space="preserve">PVPI is at concentration of 0.045% </w:t>
      </w:r>
      <w:r w:rsidRPr="00FC4CEE">
        <w:rPr>
          <w:rFonts w:eastAsia="Calibri" w:cs="Times New Roman"/>
          <w:lang w:eastAsia="en-US"/>
        </w:rPr>
        <w:t>w/w.</w:t>
      </w:r>
      <w:r>
        <w:rPr>
          <w:rFonts w:eastAsia="Calibri" w:cs="Times New Roman"/>
          <w:lang w:eastAsia="en-US"/>
        </w:rPr>
        <w:t xml:space="preserve"> Therefore, the total of iodine forms contained in PVPI is 0.153% w/w.</w:t>
      </w:r>
    </w:p>
    <w:p w14:paraId="6CF78866" w14:textId="77777777" w:rsidR="00567E0E" w:rsidRDefault="00567E0E" w:rsidP="00567E0E">
      <w:pPr>
        <w:jc w:val="both"/>
        <w:rPr>
          <w:rFonts w:eastAsia="Calibri" w:cs="Times New Roman"/>
          <w:lang w:eastAsia="en-US"/>
        </w:rPr>
      </w:pPr>
    </w:p>
    <w:p w14:paraId="6F38A9C3" w14:textId="302702A5" w:rsidR="00567E0E" w:rsidRDefault="00567E0E" w:rsidP="00567E0E">
      <w:pPr>
        <w:jc w:val="both"/>
        <w:rPr>
          <w:rFonts w:eastAsia="Calibri" w:cs="Times New Roman"/>
          <w:lang w:eastAsia="en-US"/>
        </w:rPr>
      </w:pPr>
      <w:r w:rsidRPr="00FC4CEE">
        <w:rPr>
          <w:rFonts w:eastAsia="Calibri" w:cs="Times New Roman"/>
          <w:lang w:eastAsia="en-US"/>
        </w:rPr>
        <w:t xml:space="preserve">On the other hand, </w:t>
      </w:r>
      <w:r w:rsidR="00FE15A1">
        <w:rPr>
          <w:rFonts w:eastAsia="Calibri" w:cs="Times New Roman"/>
          <w:lang w:eastAsia="en-US"/>
        </w:rPr>
        <w:t>some co-formulants can also</w:t>
      </w:r>
      <w:r w:rsidRPr="00FC4CEE">
        <w:rPr>
          <w:rFonts w:eastAsia="Calibri" w:cs="Times New Roman"/>
          <w:lang w:eastAsia="en-US"/>
        </w:rPr>
        <w:t xml:space="preserve"> bring iodine to the mixture under I- form</w:t>
      </w:r>
      <w:r w:rsidR="00FE15A1">
        <w:rPr>
          <w:rFonts w:eastAsia="Calibri" w:cs="Times New Roman"/>
          <w:lang w:eastAsia="en-US"/>
        </w:rPr>
        <w:t>, at a rate of maximum</w:t>
      </w:r>
      <w:r>
        <w:rPr>
          <w:rFonts w:eastAsia="Calibri" w:cs="Times New Roman"/>
          <w:lang w:eastAsia="en-US"/>
        </w:rPr>
        <w:t xml:space="preserve"> 0.069% w/w. </w:t>
      </w:r>
      <w:r w:rsidRPr="00FC4CEE">
        <w:rPr>
          <w:rFonts w:eastAsia="Calibri" w:cs="Times New Roman"/>
          <w:lang w:eastAsia="en-US"/>
        </w:rPr>
        <w:t xml:space="preserve">Thus, to integrate the </w:t>
      </w:r>
      <w:r>
        <w:rPr>
          <w:rFonts w:eastAsia="Calibri" w:cs="Times New Roman"/>
          <w:lang w:eastAsia="en-US"/>
        </w:rPr>
        <w:t xml:space="preserve">total of the various form of iodine in the product, the quantity of iodine </w:t>
      </w:r>
      <w:r w:rsidR="00FE15A1">
        <w:rPr>
          <w:rFonts w:eastAsia="Calibri" w:cs="Times New Roman"/>
          <w:lang w:eastAsia="en-US"/>
        </w:rPr>
        <w:t>from co-formulants</w:t>
      </w:r>
      <w:r w:rsidRPr="00FC4CEE">
        <w:rPr>
          <w:rFonts w:eastAsia="Calibri" w:cs="Times New Roman"/>
          <w:lang w:eastAsia="en-US"/>
        </w:rPr>
        <w:t xml:space="preserve"> is added to the quantity of iodine from PVPI </w:t>
      </w:r>
      <w:r>
        <w:rPr>
          <w:rFonts w:eastAsia="Calibri" w:cs="Times New Roman"/>
          <w:lang w:eastAsia="en-US"/>
        </w:rPr>
        <w:t>in a worst case approach. T</w:t>
      </w:r>
      <w:r w:rsidRPr="00FC4CEE">
        <w:rPr>
          <w:rFonts w:eastAsia="Calibri" w:cs="Times New Roman"/>
          <w:lang w:eastAsia="en-US"/>
        </w:rPr>
        <w:t xml:space="preserve">he quantity of the various forms of iodine in </w:t>
      </w:r>
      <w:r>
        <w:rPr>
          <w:rFonts w:eastAsia="Calibri" w:cs="Times New Roman"/>
          <w:lang w:eastAsia="en-US"/>
        </w:rPr>
        <w:t>ALGOFILM</w:t>
      </w:r>
      <w:r w:rsidRPr="00FC4CEE">
        <w:rPr>
          <w:rFonts w:eastAsia="Calibri" w:cs="Times New Roman"/>
          <w:lang w:eastAsia="en-US"/>
        </w:rPr>
        <w:t xml:space="preserve"> is </w:t>
      </w:r>
      <w:r>
        <w:rPr>
          <w:rFonts w:eastAsia="Calibri" w:cs="Times New Roman"/>
          <w:lang w:eastAsia="en-US"/>
        </w:rPr>
        <w:t>therefore</w:t>
      </w:r>
      <w:r w:rsidRPr="00FC4CEE">
        <w:rPr>
          <w:rFonts w:eastAsia="Calibri" w:cs="Times New Roman"/>
          <w:lang w:eastAsia="en-US"/>
        </w:rPr>
        <w:t>: 0.1</w:t>
      </w:r>
      <w:r>
        <w:rPr>
          <w:rFonts w:eastAsia="Calibri" w:cs="Times New Roman"/>
          <w:lang w:eastAsia="en-US"/>
        </w:rPr>
        <w:t>53 + 0.069 =0.222</w:t>
      </w:r>
      <w:r w:rsidRPr="00FC4CEE">
        <w:rPr>
          <w:rFonts w:eastAsia="Calibri" w:cs="Times New Roman"/>
          <w:lang w:eastAsia="en-US"/>
        </w:rPr>
        <w:t>% for the environmental risk assessment.</w:t>
      </w:r>
    </w:p>
    <w:p w14:paraId="2282E577" w14:textId="2C1A5D98" w:rsidR="002D0BFB" w:rsidRDefault="002D0BFB" w:rsidP="00567E0E">
      <w:pPr>
        <w:jc w:val="both"/>
        <w:rPr>
          <w:rFonts w:eastAsia="Calibri" w:cs="Times New Roman"/>
          <w:lang w:eastAsia="en-US"/>
        </w:rPr>
      </w:pPr>
    </w:p>
    <w:p w14:paraId="42EBE80C" w14:textId="49D23D02" w:rsidR="002D0BFB" w:rsidRPr="002D0BFB" w:rsidRDefault="002D0BFB" w:rsidP="002D0BFB">
      <w:pPr>
        <w:jc w:val="both"/>
        <w:rPr>
          <w:rFonts w:eastAsia="Calibri" w:cs="Times New Roman"/>
          <w:lang w:eastAsia="en-US"/>
        </w:rPr>
      </w:pPr>
      <w:r w:rsidRPr="002D0BFB">
        <w:rPr>
          <w:rFonts w:eastAsia="Calibri" w:cs="Times New Roman"/>
          <w:lang w:eastAsia="en-US"/>
        </w:rPr>
        <w:t>Only the predicted environmental concentrations (PECs) based on the nitrogen emission standards are presented in the current PAR</w:t>
      </w:r>
      <w:r w:rsidR="00390618">
        <w:rPr>
          <w:rFonts w:eastAsia="Calibri" w:cs="Times New Roman"/>
          <w:lang w:eastAsia="en-US"/>
        </w:rPr>
        <w:t xml:space="preserve"> as a worst case situation</w:t>
      </w:r>
      <w:r w:rsidRPr="002D0BFB">
        <w:rPr>
          <w:rFonts w:eastAsia="Calibri" w:cs="Times New Roman"/>
          <w:lang w:eastAsia="en-US"/>
        </w:rPr>
        <w:t>.</w:t>
      </w:r>
    </w:p>
    <w:p w14:paraId="6F31F04B" w14:textId="77777777" w:rsidR="002D0BFB" w:rsidRPr="002D0BFB" w:rsidRDefault="002D0BFB" w:rsidP="002D0BFB">
      <w:pPr>
        <w:jc w:val="both"/>
        <w:rPr>
          <w:rFonts w:eastAsia="Calibri" w:cs="Times New Roman"/>
          <w:lang w:eastAsia="en-US"/>
        </w:rPr>
      </w:pPr>
    </w:p>
    <w:p w14:paraId="6CA298AA" w14:textId="77777777" w:rsidR="002D0BFB" w:rsidRDefault="002D0BFB" w:rsidP="00567E0E">
      <w:pPr>
        <w:spacing w:line="260" w:lineRule="atLeast"/>
        <w:jc w:val="both"/>
        <w:rPr>
          <w:rFonts w:eastAsia="Calibri"/>
          <w:bCs/>
          <w:lang w:eastAsia="en-US"/>
        </w:rPr>
      </w:pPr>
    </w:p>
    <w:p w14:paraId="7AF4F692" w14:textId="218CEDC2" w:rsidR="00567E0E" w:rsidRDefault="00567E0E" w:rsidP="00567E0E">
      <w:pPr>
        <w:spacing w:line="260" w:lineRule="atLeast"/>
        <w:jc w:val="both"/>
        <w:rPr>
          <w:rFonts w:eastAsia="Calibri"/>
          <w:bCs/>
          <w:lang w:eastAsia="en-US"/>
        </w:rPr>
      </w:pPr>
      <w:r w:rsidRPr="000C4CEF">
        <w:rPr>
          <w:rFonts w:eastAsia="Calibri"/>
          <w:bCs/>
          <w:lang w:eastAsia="en-US"/>
        </w:rPr>
        <w:t xml:space="preserve">Although iodine being an element </w:t>
      </w:r>
      <w:r w:rsidR="00390618">
        <w:rPr>
          <w:rFonts w:eastAsia="Calibri"/>
          <w:bCs/>
          <w:lang w:eastAsia="en-US"/>
        </w:rPr>
        <w:t xml:space="preserve">that </w:t>
      </w:r>
      <w:r w:rsidRPr="000C4CEF">
        <w:rPr>
          <w:rFonts w:eastAsia="Calibri"/>
          <w:bCs/>
          <w:lang w:eastAsia="en-US"/>
        </w:rPr>
        <w:t>does not degrade, it disappears from soils between two subsequent manure events due to leaching. The leaching rate constants and resulting PECs were calculated according to the guidance by applying an experimentally-derived solid-</w:t>
      </w:r>
      <w:r w:rsidRPr="000C4CEF">
        <w:rPr>
          <w:rFonts w:eastAsia="Calibri"/>
          <w:bCs/>
          <w:lang w:eastAsia="en-US"/>
        </w:rPr>
        <w:lastRenderedPageBreak/>
        <w:t>water partitioning coefficient for soils of 5.8 L/kg. The corresponding half-lives for leaching from the topsoil layer are 2571 d in arable land (20 cm) and 643 d in grassland (5 cm).</w:t>
      </w:r>
      <w:r w:rsidR="00884982">
        <w:rPr>
          <w:rFonts w:eastAsia="Calibri"/>
          <w:bCs/>
          <w:lang w:eastAsia="en-US"/>
        </w:rPr>
        <w:t xml:space="preserve"> These two values have been validated in WG for Union Authorisations containing iodine.</w:t>
      </w:r>
    </w:p>
    <w:p w14:paraId="10F00CB9" w14:textId="77777777" w:rsidR="00567E0E" w:rsidRPr="006B5EF2" w:rsidRDefault="00567E0E" w:rsidP="00567E0E">
      <w:pPr>
        <w:spacing w:line="260" w:lineRule="atLeast"/>
        <w:jc w:val="both"/>
        <w:rPr>
          <w:rFonts w:eastAsia="Calibri"/>
          <w:bCs/>
          <w:lang w:eastAsia="en-US"/>
        </w:rPr>
      </w:pPr>
    </w:p>
    <w:p w14:paraId="742ABC9C" w14:textId="77777777" w:rsidR="00567E0E" w:rsidRDefault="00567E0E" w:rsidP="00567E0E">
      <w:pPr>
        <w:spacing w:line="260" w:lineRule="atLeast"/>
        <w:rPr>
          <w:rFonts w:eastAsia="Calibri"/>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1843"/>
        <w:gridCol w:w="1211"/>
        <w:gridCol w:w="1144"/>
        <w:gridCol w:w="900"/>
        <w:gridCol w:w="1604"/>
      </w:tblGrid>
      <w:tr w:rsidR="00567E0E" w:rsidRPr="00A75C9A" w14:paraId="6515B280" w14:textId="77777777" w:rsidTr="00261A29">
        <w:trPr>
          <w:trHeight w:val="313"/>
        </w:trPr>
        <w:tc>
          <w:tcPr>
            <w:tcW w:w="0" w:type="auto"/>
            <w:gridSpan w:val="6"/>
            <w:shd w:val="clear" w:color="auto" w:fill="FFFFCC"/>
          </w:tcPr>
          <w:p w14:paraId="2692B425" w14:textId="77777777" w:rsidR="00567E0E" w:rsidRPr="00A75C9A" w:rsidRDefault="00567E0E" w:rsidP="00261A29">
            <w:pPr>
              <w:spacing w:line="260" w:lineRule="atLeast"/>
              <w:rPr>
                <w:rFonts w:eastAsia="Calibri"/>
                <w:b/>
                <w:bCs/>
                <w:lang w:eastAsia="en-US"/>
              </w:rPr>
            </w:pPr>
            <w:r w:rsidRPr="000C7E94">
              <w:rPr>
                <w:rFonts w:eastAsia="Calibri"/>
                <w:b/>
                <w:bCs/>
                <w:lang w:eastAsia="en-US"/>
              </w:rPr>
              <w:t>Input parameters for calculating the local emission</w:t>
            </w:r>
          </w:p>
        </w:tc>
      </w:tr>
      <w:tr w:rsidR="00567E0E" w:rsidRPr="00ED69F1" w14:paraId="08420153" w14:textId="77777777" w:rsidTr="00261A29">
        <w:trPr>
          <w:trHeight w:val="313"/>
        </w:trPr>
        <w:tc>
          <w:tcPr>
            <w:tcW w:w="0" w:type="auto"/>
            <w:shd w:val="clear" w:color="auto" w:fill="FFFFFF"/>
            <w:vAlign w:val="center"/>
          </w:tcPr>
          <w:p w14:paraId="0C6DC826" w14:textId="77777777" w:rsidR="00567E0E" w:rsidRPr="00F41A75" w:rsidRDefault="00567E0E" w:rsidP="00261A29">
            <w:pPr>
              <w:spacing w:line="260" w:lineRule="atLeast"/>
              <w:jc w:val="center"/>
              <w:rPr>
                <w:rFonts w:eastAsia="Calibri"/>
                <w:b/>
                <w:bCs/>
                <w:sz w:val="18"/>
                <w:szCs w:val="18"/>
                <w:lang w:eastAsia="en-US"/>
              </w:rPr>
            </w:pPr>
            <w:r>
              <w:rPr>
                <w:rFonts w:eastAsia="Calibri"/>
                <w:b/>
                <w:bCs/>
                <w:sz w:val="18"/>
                <w:szCs w:val="18"/>
                <w:lang w:eastAsia="en-US"/>
              </w:rPr>
              <w:t>Input</w:t>
            </w:r>
          </w:p>
        </w:tc>
        <w:tc>
          <w:tcPr>
            <w:tcW w:w="0" w:type="auto"/>
            <w:shd w:val="clear" w:color="auto" w:fill="FFFFFF"/>
            <w:vAlign w:val="center"/>
          </w:tcPr>
          <w:p w14:paraId="6AA3FFA4" w14:textId="77777777" w:rsidR="00567E0E" w:rsidRPr="00F41A75" w:rsidRDefault="00567E0E" w:rsidP="00261A29">
            <w:pPr>
              <w:spacing w:line="260" w:lineRule="atLeast"/>
              <w:jc w:val="center"/>
              <w:rPr>
                <w:rFonts w:eastAsia="Calibri"/>
                <w:b/>
                <w:bCs/>
                <w:sz w:val="18"/>
                <w:szCs w:val="18"/>
                <w:lang w:eastAsia="en-US"/>
              </w:rPr>
            </w:pPr>
            <w:r w:rsidRPr="00F41A75">
              <w:rPr>
                <w:rFonts w:eastAsia="Calibri"/>
                <w:b/>
                <w:bCs/>
                <w:sz w:val="18"/>
                <w:szCs w:val="18"/>
                <w:lang w:eastAsia="en-US"/>
              </w:rPr>
              <w:t>Nomenclature</w:t>
            </w:r>
          </w:p>
        </w:tc>
        <w:tc>
          <w:tcPr>
            <w:tcW w:w="0" w:type="auto"/>
            <w:gridSpan w:val="2"/>
            <w:shd w:val="clear" w:color="auto" w:fill="FFFFFF"/>
            <w:vAlign w:val="center"/>
          </w:tcPr>
          <w:p w14:paraId="30932C5E" w14:textId="77777777" w:rsidR="00567E0E" w:rsidRPr="00F41A75" w:rsidRDefault="00567E0E" w:rsidP="00261A29">
            <w:pPr>
              <w:spacing w:line="260" w:lineRule="atLeast"/>
              <w:jc w:val="center"/>
              <w:rPr>
                <w:rFonts w:eastAsia="Calibri"/>
                <w:b/>
                <w:bCs/>
                <w:sz w:val="18"/>
                <w:szCs w:val="18"/>
                <w:lang w:eastAsia="en-US"/>
              </w:rPr>
            </w:pPr>
            <w:r w:rsidRPr="00F41A75">
              <w:rPr>
                <w:rFonts w:eastAsia="Calibri"/>
                <w:b/>
                <w:bCs/>
                <w:sz w:val="18"/>
                <w:szCs w:val="18"/>
                <w:lang w:eastAsia="en-US"/>
              </w:rPr>
              <w:t>Value</w:t>
            </w:r>
          </w:p>
        </w:tc>
        <w:tc>
          <w:tcPr>
            <w:tcW w:w="0" w:type="auto"/>
            <w:shd w:val="clear" w:color="auto" w:fill="FFFFFF"/>
            <w:vAlign w:val="center"/>
          </w:tcPr>
          <w:p w14:paraId="1919DA4F" w14:textId="77777777" w:rsidR="00567E0E" w:rsidRPr="00F41A75" w:rsidRDefault="00567E0E" w:rsidP="00261A29">
            <w:pPr>
              <w:spacing w:line="260" w:lineRule="atLeast"/>
              <w:jc w:val="center"/>
              <w:rPr>
                <w:rFonts w:eastAsia="Calibri"/>
                <w:b/>
                <w:bCs/>
                <w:sz w:val="18"/>
                <w:szCs w:val="18"/>
                <w:lang w:eastAsia="en-US"/>
              </w:rPr>
            </w:pPr>
            <w:r w:rsidRPr="00F41A75">
              <w:rPr>
                <w:rFonts w:eastAsia="Calibri"/>
                <w:b/>
                <w:bCs/>
                <w:sz w:val="18"/>
                <w:szCs w:val="18"/>
                <w:lang w:eastAsia="en-US"/>
              </w:rPr>
              <w:t>Unit</w:t>
            </w:r>
          </w:p>
        </w:tc>
        <w:tc>
          <w:tcPr>
            <w:tcW w:w="0" w:type="auto"/>
            <w:shd w:val="clear" w:color="auto" w:fill="FFFFFF"/>
            <w:vAlign w:val="center"/>
          </w:tcPr>
          <w:p w14:paraId="0FD8B91B" w14:textId="77777777" w:rsidR="00567E0E" w:rsidRPr="00F41A75" w:rsidRDefault="00567E0E" w:rsidP="00261A29">
            <w:pPr>
              <w:spacing w:line="260" w:lineRule="atLeast"/>
              <w:jc w:val="center"/>
              <w:rPr>
                <w:rFonts w:eastAsia="Calibri"/>
                <w:b/>
                <w:bCs/>
                <w:sz w:val="18"/>
                <w:szCs w:val="18"/>
                <w:lang w:eastAsia="en-US"/>
              </w:rPr>
            </w:pPr>
            <w:r w:rsidRPr="000C7E94">
              <w:rPr>
                <w:rFonts w:eastAsia="Calibri"/>
                <w:b/>
                <w:bCs/>
                <w:sz w:val="18"/>
                <w:szCs w:val="18"/>
                <w:lang w:eastAsia="en-US"/>
              </w:rPr>
              <w:t>Remarks</w:t>
            </w:r>
          </w:p>
        </w:tc>
      </w:tr>
      <w:tr w:rsidR="00567E0E" w:rsidRPr="00ED69F1" w14:paraId="3BE34704" w14:textId="77777777" w:rsidTr="00261A29">
        <w:trPr>
          <w:trHeight w:val="313"/>
        </w:trPr>
        <w:tc>
          <w:tcPr>
            <w:tcW w:w="0" w:type="auto"/>
            <w:shd w:val="clear" w:color="auto" w:fill="FFFFFF"/>
            <w:vAlign w:val="center"/>
          </w:tcPr>
          <w:p w14:paraId="67398FB0" w14:textId="77777777" w:rsidR="00567E0E" w:rsidRPr="00F41A75" w:rsidRDefault="00567E0E" w:rsidP="00261A29">
            <w:pPr>
              <w:spacing w:line="260" w:lineRule="atLeast"/>
              <w:jc w:val="center"/>
              <w:rPr>
                <w:rFonts w:eastAsia="Calibri"/>
                <w:b/>
                <w:bCs/>
                <w:sz w:val="18"/>
                <w:szCs w:val="18"/>
                <w:lang w:eastAsia="en-US"/>
              </w:rPr>
            </w:pPr>
          </w:p>
        </w:tc>
        <w:tc>
          <w:tcPr>
            <w:tcW w:w="0" w:type="auto"/>
            <w:shd w:val="clear" w:color="auto" w:fill="FFFFFF"/>
            <w:vAlign w:val="center"/>
          </w:tcPr>
          <w:p w14:paraId="264A382B" w14:textId="77777777" w:rsidR="00567E0E" w:rsidRPr="00F41A75" w:rsidRDefault="00567E0E" w:rsidP="00261A29">
            <w:pPr>
              <w:spacing w:line="260" w:lineRule="atLeast"/>
              <w:jc w:val="center"/>
              <w:rPr>
                <w:rFonts w:eastAsia="Calibri"/>
                <w:b/>
                <w:bCs/>
                <w:sz w:val="18"/>
                <w:szCs w:val="18"/>
                <w:lang w:eastAsia="en-US"/>
              </w:rPr>
            </w:pPr>
          </w:p>
        </w:tc>
        <w:tc>
          <w:tcPr>
            <w:tcW w:w="0" w:type="auto"/>
            <w:shd w:val="clear" w:color="auto" w:fill="FFFFFF"/>
            <w:vAlign w:val="center"/>
          </w:tcPr>
          <w:p w14:paraId="08598C50" w14:textId="77777777" w:rsidR="00567E0E" w:rsidRPr="00F41A75" w:rsidRDefault="00567E0E" w:rsidP="00261A29">
            <w:pPr>
              <w:spacing w:line="260" w:lineRule="atLeast"/>
              <w:jc w:val="center"/>
              <w:rPr>
                <w:rFonts w:eastAsia="Calibri"/>
                <w:b/>
                <w:bCs/>
                <w:sz w:val="18"/>
                <w:szCs w:val="18"/>
                <w:lang w:eastAsia="en-US"/>
              </w:rPr>
            </w:pPr>
            <w:r w:rsidRPr="00F41A75">
              <w:rPr>
                <w:rFonts w:eastAsia="Calibri"/>
                <w:b/>
                <w:bCs/>
                <w:sz w:val="18"/>
                <w:szCs w:val="18"/>
                <w:lang w:eastAsia="en-US"/>
              </w:rPr>
              <w:t>Iodine</w:t>
            </w:r>
          </w:p>
        </w:tc>
        <w:tc>
          <w:tcPr>
            <w:tcW w:w="0" w:type="auto"/>
            <w:shd w:val="clear" w:color="auto" w:fill="FFFFFF"/>
          </w:tcPr>
          <w:p w14:paraId="6E687F80" w14:textId="77777777" w:rsidR="00567E0E" w:rsidRPr="00F41A75" w:rsidRDefault="00567E0E" w:rsidP="00261A29">
            <w:pPr>
              <w:spacing w:line="260" w:lineRule="atLeast"/>
              <w:jc w:val="center"/>
              <w:rPr>
                <w:rFonts w:eastAsia="Calibri"/>
                <w:b/>
                <w:bCs/>
                <w:sz w:val="18"/>
                <w:szCs w:val="18"/>
                <w:lang w:eastAsia="en-US"/>
              </w:rPr>
            </w:pPr>
            <w:r w:rsidRPr="00F41A75">
              <w:rPr>
                <w:rFonts w:eastAsia="Calibri"/>
                <w:b/>
                <w:bCs/>
                <w:sz w:val="18"/>
                <w:szCs w:val="18"/>
                <w:lang w:eastAsia="en-US"/>
              </w:rPr>
              <w:t>L(+) Lactic acid</w:t>
            </w:r>
          </w:p>
        </w:tc>
        <w:tc>
          <w:tcPr>
            <w:tcW w:w="0" w:type="auto"/>
            <w:shd w:val="clear" w:color="auto" w:fill="FFFFFF"/>
            <w:vAlign w:val="center"/>
          </w:tcPr>
          <w:p w14:paraId="39F0324F" w14:textId="77777777" w:rsidR="00567E0E" w:rsidRPr="00F41A75" w:rsidRDefault="00567E0E" w:rsidP="00261A29">
            <w:pPr>
              <w:spacing w:line="260" w:lineRule="atLeast"/>
              <w:jc w:val="center"/>
              <w:rPr>
                <w:rFonts w:eastAsia="Calibri"/>
                <w:b/>
                <w:bCs/>
                <w:sz w:val="18"/>
                <w:szCs w:val="18"/>
                <w:lang w:eastAsia="en-US"/>
              </w:rPr>
            </w:pPr>
          </w:p>
        </w:tc>
        <w:tc>
          <w:tcPr>
            <w:tcW w:w="0" w:type="auto"/>
            <w:shd w:val="clear" w:color="auto" w:fill="FFFFFF"/>
            <w:vAlign w:val="center"/>
          </w:tcPr>
          <w:p w14:paraId="4EC6CE40" w14:textId="77777777" w:rsidR="00567E0E" w:rsidRPr="00F41A75" w:rsidRDefault="00567E0E" w:rsidP="00261A29">
            <w:pPr>
              <w:spacing w:line="260" w:lineRule="atLeast"/>
              <w:jc w:val="center"/>
              <w:rPr>
                <w:rFonts w:eastAsia="Calibri"/>
                <w:b/>
                <w:bCs/>
                <w:sz w:val="18"/>
                <w:szCs w:val="18"/>
                <w:lang w:eastAsia="en-US"/>
              </w:rPr>
            </w:pPr>
          </w:p>
        </w:tc>
      </w:tr>
      <w:tr w:rsidR="00567E0E" w:rsidRPr="00ED69F1" w14:paraId="76A5E956" w14:textId="77777777" w:rsidTr="00261A29">
        <w:trPr>
          <w:trHeight w:val="75"/>
        </w:trPr>
        <w:tc>
          <w:tcPr>
            <w:tcW w:w="0" w:type="auto"/>
            <w:shd w:val="clear" w:color="auto" w:fill="FFFFFF"/>
          </w:tcPr>
          <w:p w14:paraId="19282F29" w14:textId="77777777" w:rsidR="00567E0E" w:rsidRPr="00F41A75" w:rsidRDefault="00567E0E" w:rsidP="00261A29">
            <w:pPr>
              <w:spacing w:line="260" w:lineRule="atLeast"/>
              <w:rPr>
                <w:rFonts w:eastAsia="Calibri"/>
                <w:bCs/>
                <w:sz w:val="18"/>
                <w:szCs w:val="18"/>
                <w:lang w:val="en-US" w:eastAsia="en-US"/>
              </w:rPr>
            </w:pPr>
            <w:r w:rsidRPr="00F41A75">
              <w:rPr>
                <w:rFonts w:eastAsia="Calibri"/>
                <w:bCs/>
                <w:sz w:val="18"/>
                <w:szCs w:val="18"/>
                <w:lang w:eastAsia="en-US" w:bidi="en-GB"/>
              </w:rPr>
              <w:t>Type of housing/manure storage (for application of the notification)</w:t>
            </w:r>
          </w:p>
        </w:tc>
        <w:tc>
          <w:tcPr>
            <w:tcW w:w="0" w:type="auto"/>
            <w:shd w:val="clear" w:color="auto" w:fill="FFFFFF"/>
          </w:tcPr>
          <w:p w14:paraId="35A5EF0B"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cat-subcat (i1)</w:t>
            </w:r>
          </w:p>
        </w:tc>
        <w:tc>
          <w:tcPr>
            <w:tcW w:w="0" w:type="auto"/>
            <w:gridSpan w:val="2"/>
            <w:shd w:val="clear" w:color="auto" w:fill="FFFFFF"/>
          </w:tcPr>
          <w:p w14:paraId="39D046D9"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1 – Dairy cows</w:t>
            </w:r>
          </w:p>
        </w:tc>
        <w:tc>
          <w:tcPr>
            <w:tcW w:w="0" w:type="auto"/>
            <w:shd w:val="clear" w:color="auto" w:fill="FFFFFF"/>
          </w:tcPr>
          <w:p w14:paraId="063AC21C"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w:t>
            </w:r>
          </w:p>
        </w:tc>
        <w:tc>
          <w:tcPr>
            <w:tcW w:w="0" w:type="auto"/>
            <w:shd w:val="clear" w:color="auto" w:fill="FFFFFF"/>
          </w:tcPr>
          <w:p w14:paraId="17356665"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S (ESD Appendix 1: Table 7)</w:t>
            </w:r>
          </w:p>
        </w:tc>
      </w:tr>
      <w:tr w:rsidR="00567E0E" w:rsidRPr="00ED69F1" w14:paraId="0CF8E27A" w14:textId="77777777" w:rsidTr="00261A29">
        <w:trPr>
          <w:trHeight w:val="75"/>
        </w:trPr>
        <w:tc>
          <w:tcPr>
            <w:tcW w:w="0" w:type="auto"/>
            <w:shd w:val="clear" w:color="auto" w:fill="FFFFFF"/>
          </w:tcPr>
          <w:p w14:paraId="55F56E5E"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Type of biocide</w:t>
            </w:r>
          </w:p>
        </w:tc>
        <w:tc>
          <w:tcPr>
            <w:tcW w:w="0" w:type="auto"/>
            <w:shd w:val="clear" w:color="auto" w:fill="FFFFFF"/>
          </w:tcPr>
          <w:p w14:paraId="4397FC2B"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bioctype (i2)</w:t>
            </w:r>
          </w:p>
        </w:tc>
        <w:tc>
          <w:tcPr>
            <w:tcW w:w="0" w:type="auto"/>
            <w:gridSpan w:val="2"/>
            <w:shd w:val="clear" w:color="auto" w:fill="FFFFFF"/>
          </w:tcPr>
          <w:p w14:paraId="38B1C64D"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1 - Disinfectant</w:t>
            </w:r>
          </w:p>
        </w:tc>
        <w:tc>
          <w:tcPr>
            <w:tcW w:w="0" w:type="auto"/>
            <w:shd w:val="clear" w:color="auto" w:fill="FFFFFF"/>
          </w:tcPr>
          <w:p w14:paraId="17115928"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w:t>
            </w:r>
          </w:p>
        </w:tc>
        <w:tc>
          <w:tcPr>
            <w:tcW w:w="0" w:type="auto"/>
            <w:shd w:val="clear" w:color="auto" w:fill="FFFFFF"/>
          </w:tcPr>
          <w:p w14:paraId="0F961D90"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S (ESD Appendix 1: Table 7)</w:t>
            </w:r>
          </w:p>
        </w:tc>
      </w:tr>
      <w:tr w:rsidR="00567E0E" w:rsidRPr="00ED69F1" w14:paraId="01D6B06E" w14:textId="77777777" w:rsidTr="00261A29">
        <w:trPr>
          <w:trHeight w:val="75"/>
        </w:trPr>
        <w:tc>
          <w:tcPr>
            <w:tcW w:w="0" w:type="auto"/>
            <w:shd w:val="clear" w:color="auto" w:fill="FFFFFF"/>
          </w:tcPr>
          <w:p w14:paraId="43150889"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Type of application</w:t>
            </w:r>
          </w:p>
        </w:tc>
        <w:tc>
          <w:tcPr>
            <w:tcW w:w="0" w:type="auto"/>
            <w:shd w:val="clear" w:color="auto" w:fill="FFFFFF"/>
          </w:tcPr>
          <w:p w14:paraId="18F53BAD"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appway (i3)</w:t>
            </w:r>
          </w:p>
        </w:tc>
        <w:tc>
          <w:tcPr>
            <w:tcW w:w="0" w:type="auto"/>
            <w:gridSpan w:val="2"/>
            <w:shd w:val="clear" w:color="auto" w:fill="FFFFFF"/>
          </w:tcPr>
          <w:p w14:paraId="12FF0F67"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1-Dipping</w:t>
            </w:r>
          </w:p>
        </w:tc>
        <w:tc>
          <w:tcPr>
            <w:tcW w:w="0" w:type="auto"/>
            <w:shd w:val="clear" w:color="auto" w:fill="FFFFFF"/>
          </w:tcPr>
          <w:p w14:paraId="5DFE94B1"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w:t>
            </w:r>
          </w:p>
        </w:tc>
        <w:tc>
          <w:tcPr>
            <w:tcW w:w="0" w:type="auto"/>
            <w:shd w:val="clear" w:color="auto" w:fill="FFFFFF"/>
          </w:tcPr>
          <w:p w14:paraId="0A9B45F0"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S (ESD Appendix 1: Table 7)</w:t>
            </w:r>
          </w:p>
        </w:tc>
      </w:tr>
      <w:tr w:rsidR="00567E0E" w:rsidRPr="00ED69F1" w14:paraId="1FF312EE" w14:textId="77777777" w:rsidTr="00261A29">
        <w:trPr>
          <w:trHeight w:val="75"/>
        </w:trPr>
        <w:tc>
          <w:tcPr>
            <w:tcW w:w="0" w:type="auto"/>
            <w:shd w:val="clear" w:color="auto" w:fill="FFFFFF"/>
          </w:tcPr>
          <w:p w14:paraId="243B0DD5"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Relevant emission stream</w:t>
            </w:r>
          </w:p>
        </w:tc>
        <w:tc>
          <w:tcPr>
            <w:tcW w:w="0" w:type="auto"/>
            <w:shd w:val="clear" w:color="auto" w:fill="FFFFFF"/>
          </w:tcPr>
          <w:p w14:paraId="088E5BC2"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stream(i4)</w:t>
            </w:r>
          </w:p>
        </w:tc>
        <w:tc>
          <w:tcPr>
            <w:tcW w:w="0" w:type="auto"/>
            <w:gridSpan w:val="2"/>
            <w:shd w:val="clear" w:color="auto" w:fill="FFFFFF"/>
          </w:tcPr>
          <w:p w14:paraId="5862CE82" w14:textId="77777777" w:rsidR="00567E0E" w:rsidRPr="00F41A75" w:rsidRDefault="00567E0E" w:rsidP="00261A29">
            <w:pPr>
              <w:spacing w:line="260" w:lineRule="atLeast"/>
              <w:rPr>
                <w:rFonts w:eastAsia="Calibri"/>
                <w:bCs/>
                <w:sz w:val="18"/>
                <w:szCs w:val="18"/>
                <w:lang w:eastAsia="en-US" w:bidi="en-GB"/>
              </w:rPr>
            </w:pPr>
            <w:r w:rsidRPr="00CA2DB8">
              <w:rPr>
                <w:rFonts w:eastAsia="Calibri"/>
                <w:bCs/>
                <w:sz w:val="18"/>
                <w:szCs w:val="18"/>
                <w:lang w:eastAsia="en-US" w:bidi="en-GB"/>
              </w:rPr>
              <w:t>2</w:t>
            </w:r>
            <w:r>
              <w:rPr>
                <w:rFonts w:eastAsia="Calibri"/>
                <w:bCs/>
                <w:sz w:val="18"/>
                <w:szCs w:val="18"/>
                <w:lang w:eastAsia="en-US" w:bidi="en-GB"/>
              </w:rPr>
              <w:t xml:space="preserve"> /</w:t>
            </w:r>
            <w:r w:rsidRPr="00CA2DB8">
              <w:rPr>
                <w:rFonts w:eastAsia="Calibri"/>
                <w:bCs/>
                <w:sz w:val="18"/>
                <w:szCs w:val="18"/>
                <w:lang w:eastAsia="en-US" w:bidi="en-GB"/>
              </w:rPr>
              <w:t xml:space="preserve"> </w:t>
            </w:r>
            <w:r w:rsidRPr="00F41A75">
              <w:rPr>
                <w:rFonts w:eastAsia="Calibri"/>
                <w:bCs/>
                <w:sz w:val="18"/>
                <w:szCs w:val="18"/>
                <w:lang w:eastAsia="en-US" w:bidi="en-GB"/>
              </w:rPr>
              <w:t>3</w:t>
            </w:r>
            <w:r>
              <w:rPr>
                <w:rFonts w:eastAsia="Calibri"/>
                <w:bCs/>
                <w:sz w:val="18"/>
                <w:szCs w:val="18"/>
                <w:lang w:eastAsia="en-US" w:bidi="en-GB"/>
              </w:rPr>
              <w:t xml:space="preserve"> - W</w:t>
            </w:r>
            <w:r w:rsidRPr="00100DDB">
              <w:rPr>
                <w:rFonts w:eastAsia="Calibri"/>
                <w:bCs/>
                <w:sz w:val="18"/>
                <w:szCs w:val="18"/>
                <w:lang w:eastAsia="en-US" w:bidi="en-GB"/>
              </w:rPr>
              <w:t>aste water</w:t>
            </w:r>
            <w:r>
              <w:rPr>
                <w:rFonts w:eastAsia="Calibri"/>
                <w:bCs/>
                <w:sz w:val="18"/>
                <w:szCs w:val="18"/>
                <w:lang w:eastAsia="en-US" w:bidi="en-GB"/>
              </w:rPr>
              <w:t xml:space="preserve"> /</w:t>
            </w:r>
            <w:r w:rsidRPr="00CA2DB8">
              <w:rPr>
                <w:rFonts w:eastAsia="Calibri"/>
                <w:bCs/>
                <w:sz w:val="18"/>
                <w:szCs w:val="18"/>
                <w:lang w:eastAsia="en-US" w:bidi="en-GB"/>
              </w:rPr>
              <w:t xml:space="preserve"> Slurry</w:t>
            </w:r>
          </w:p>
        </w:tc>
        <w:tc>
          <w:tcPr>
            <w:tcW w:w="0" w:type="auto"/>
            <w:shd w:val="clear" w:color="auto" w:fill="FFFFFF"/>
          </w:tcPr>
          <w:p w14:paraId="6199316F"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w:t>
            </w:r>
          </w:p>
        </w:tc>
        <w:tc>
          <w:tcPr>
            <w:tcW w:w="0" w:type="auto"/>
            <w:shd w:val="clear" w:color="auto" w:fill="FFFFFF"/>
          </w:tcPr>
          <w:p w14:paraId="4D0A51DB"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P (Appendix 1: Table 7)</w:t>
            </w:r>
          </w:p>
        </w:tc>
      </w:tr>
      <w:tr w:rsidR="00567E0E" w:rsidRPr="00ED69F1" w14:paraId="1EF33842" w14:textId="77777777" w:rsidTr="00261A29">
        <w:trPr>
          <w:trHeight w:val="75"/>
        </w:trPr>
        <w:tc>
          <w:tcPr>
            <w:tcW w:w="0" w:type="auto"/>
            <w:shd w:val="clear" w:color="auto" w:fill="FFFFFF"/>
          </w:tcPr>
          <w:p w14:paraId="4B29FC2B" w14:textId="463675EB" w:rsidR="00567E0E" w:rsidRPr="00F41A75" w:rsidRDefault="00567E0E" w:rsidP="00261A29">
            <w:pPr>
              <w:spacing w:line="260" w:lineRule="atLeast"/>
              <w:rPr>
                <w:rFonts w:eastAsia="Calibri"/>
                <w:bCs/>
                <w:sz w:val="18"/>
                <w:szCs w:val="18"/>
                <w:lang w:val="en-US" w:eastAsia="en-US"/>
              </w:rPr>
            </w:pPr>
            <w:r w:rsidRPr="00F41A75">
              <w:rPr>
                <w:rFonts w:eastAsia="Calibri"/>
                <w:bCs/>
                <w:sz w:val="18"/>
                <w:szCs w:val="18"/>
                <w:lang w:eastAsia="en-US" w:bidi="en-GB"/>
              </w:rPr>
              <w:t xml:space="preserve">Content of </w:t>
            </w:r>
            <w:r w:rsidR="00F36BD2">
              <w:rPr>
                <w:rFonts w:eastAsia="Calibri"/>
                <w:bCs/>
                <w:sz w:val="18"/>
                <w:szCs w:val="18"/>
                <w:lang w:eastAsia="en-US" w:bidi="en-GB"/>
              </w:rPr>
              <w:t xml:space="preserve">technical </w:t>
            </w:r>
            <w:r w:rsidRPr="00F41A75">
              <w:rPr>
                <w:rFonts w:eastAsia="Calibri"/>
                <w:bCs/>
                <w:sz w:val="18"/>
                <w:szCs w:val="18"/>
                <w:lang w:eastAsia="en-US" w:bidi="en-GB"/>
              </w:rPr>
              <w:t>active ingredient in formulation (product)</w:t>
            </w:r>
          </w:p>
        </w:tc>
        <w:tc>
          <w:tcPr>
            <w:tcW w:w="0" w:type="auto"/>
            <w:shd w:val="clear" w:color="auto" w:fill="FFFFFF"/>
          </w:tcPr>
          <w:p w14:paraId="24BBD0F1"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Fbioc</w:t>
            </w:r>
          </w:p>
        </w:tc>
        <w:tc>
          <w:tcPr>
            <w:tcW w:w="0" w:type="auto"/>
            <w:shd w:val="clear" w:color="auto" w:fill="FFFFFF"/>
          </w:tcPr>
          <w:p w14:paraId="544B86CA"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2.22</w:t>
            </w:r>
          </w:p>
        </w:tc>
        <w:tc>
          <w:tcPr>
            <w:tcW w:w="0" w:type="auto"/>
            <w:shd w:val="clear" w:color="auto" w:fill="FFFFFF"/>
          </w:tcPr>
          <w:p w14:paraId="707EDA08"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0.8</w:t>
            </w:r>
          </w:p>
        </w:tc>
        <w:tc>
          <w:tcPr>
            <w:tcW w:w="0" w:type="auto"/>
            <w:shd w:val="clear" w:color="auto" w:fill="FFFFFF"/>
          </w:tcPr>
          <w:p w14:paraId="4D7F5F43"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g/L</w:t>
            </w:r>
          </w:p>
        </w:tc>
        <w:tc>
          <w:tcPr>
            <w:tcW w:w="0" w:type="auto"/>
            <w:shd w:val="clear" w:color="auto" w:fill="FFFFFF"/>
          </w:tcPr>
          <w:p w14:paraId="2A767F02" w14:textId="77777777" w:rsidR="00567E0E" w:rsidRPr="00F41A75" w:rsidRDefault="00567E0E" w:rsidP="00261A29">
            <w:pPr>
              <w:spacing w:line="260" w:lineRule="atLeast"/>
              <w:rPr>
                <w:rFonts w:eastAsia="Calibri"/>
                <w:bCs/>
                <w:sz w:val="18"/>
                <w:szCs w:val="18"/>
                <w:lang w:val="en-US" w:eastAsia="en-US"/>
              </w:rPr>
            </w:pPr>
            <w:r w:rsidRPr="00F41A75">
              <w:rPr>
                <w:rFonts w:eastAsia="Calibri"/>
                <w:bCs/>
                <w:sz w:val="18"/>
                <w:szCs w:val="18"/>
                <w:lang w:eastAsia="en-US" w:bidi="en-GB"/>
              </w:rPr>
              <w:t xml:space="preserve">S </w:t>
            </w:r>
          </w:p>
        </w:tc>
      </w:tr>
      <w:tr w:rsidR="00567E0E" w:rsidRPr="00ED69F1" w14:paraId="06D88DE6" w14:textId="77777777" w:rsidTr="00261A29">
        <w:trPr>
          <w:trHeight w:val="75"/>
        </w:trPr>
        <w:tc>
          <w:tcPr>
            <w:tcW w:w="0" w:type="auto"/>
            <w:shd w:val="clear" w:color="auto" w:fill="FFFFFF"/>
          </w:tcPr>
          <w:p w14:paraId="73C20F38" w14:textId="77777777" w:rsidR="00567E0E" w:rsidRPr="00F41A75" w:rsidRDefault="00567E0E" w:rsidP="00261A29">
            <w:pPr>
              <w:spacing w:line="260" w:lineRule="atLeast"/>
              <w:rPr>
                <w:rFonts w:eastAsia="Calibri"/>
                <w:bCs/>
                <w:sz w:val="18"/>
                <w:szCs w:val="18"/>
                <w:lang w:val="en-US" w:eastAsia="en-US"/>
              </w:rPr>
            </w:pPr>
            <w:r w:rsidRPr="00F41A75">
              <w:rPr>
                <w:rFonts w:eastAsia="Calibri"/>
                <w:bCs/>
                <w:sz w:val="18"/>
                <w:szCs w:val="18"/>
                <w:lang w:eastAsia="en-US" w:bidi="en-GB"/>
              </w:rPr>
              <w:t>Amount of product prescribed to be used for one treatment (dipping of the four teats) of one animal</w:t>
            </w:r>
          </w:p>
        </w:tc>
        <w:tc>
          <w:tcPr>
            <w:tcW w:w="0" w:type="auto"/>
            <w:shd w:val="clear" w:color="auto" w:fill="FFFFFF"/>
          </w:tcPr>
          <w:p w14:paraId="76CECFFA"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Vprodi1,i2,i3</w:t>
            </w:r>
          </w:p>
        </w:tc>
        <w:tc>
          <w:tcPr>
            <w:tcW w:w="0" w:type="auto"/>
            <w:gridSpan w:val="2"/>
            <w:shd w:val="clear" w:color="auto" w:fill="FFFFFF"/>
          </w:tcPr>
          <w:p w14:paraId="770D94BD" w14:textId="77777777" w:rsidR="00567E0E" w:rsidRPr="00F41A75" w:rsidRDefault="00567E0E" w:rsidP="00261A29">
            <w:pPr>
              <w:spacing w:line="260" w:lineRule="atLeast"/>
              <w:jc w:val="center"/>
              <w:rPr>
                <w:rFonts w:eastAsia="Calibri"/>
                <w:bCs/>
                <w:sz w:val="18"/>
                <w:szCs w:val="18"/>
                <w:lang w:eastAsia="en-US" w:bidi="en-GB"/>
              </w:rPr>
            </w:pPr>
            <w:r w:rsidRPr="00F41A75">
              <w:rPr>
                <w:rFonts w:eastAsia="Calibri"/>
                <w:bCs/>
                <w:sz w:val="18"/>
                <w:szCs w:val="18"/>
                <w:lang w:eastAsia="en-US"/>
              </w:rPr>
              <w:t>8.00E-03</w:t>
            </w:r>
          </w:p>
        </w:tc>
        <w:tc>
          <w:tcPr>
            <w:tcW w:w="0" w:type="auto"/>
            <w:shd w:val="clear" w:color="auto" w:fill="FFFFFF"/>
          </w:tcPr>
          <w:p w14:paraId="5F101EA7"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L</w:t>
            </w:r>
          </w:p>
        </w:tc>
        <w:tc>
          <w:tcPr>
            <w:tcW w:w="0" w:type="auto"/>
            <w:shd w:val="clear" w:color="auto" w:fill="FFFFFF"/>
          </w:tcPr>
          <w:p w14:paraId="0874E096"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S</w:t>
            </w:r>
          </w:p>
        </w:tc>
      </w:tr>
      <w:tr w:rsidR="00567E0E" w:rsidRPr="00ED69F1" w14:paraId="1F5C0F34" w14:textId="77777777" w:rsidTr="00261A29">
        <w:trPr>
          <w:trHeight w:val="75"/>
        </w:trPr>
        <w:tc>
          <w:tcPr>
            <w:tcW w:w="0" w:type="auto"/>
            <w:shd w:val="clear" w:color="auto" w:fill="FFFFFF"/>
          </w:tcPr>
          <w:p w14:paraId="3CC854E5" w14:textId="77777777" w:rsidR="00567E0E" w:rsidRPr="00F41A75" w:rsidRDefault="00567E0E" w:rsidP="00261A29">
            <w:pPr>
              <w:spacing w:line="260" w:lineRule="atLeast"/>
              <w:rPr>
                <w:rFonts w:eastAsia="Calibri"/>
                <w:bCs/>
                <w:sz w:val="18"/>
                <w:szCs w:val="18"/>
                <w:lang w:val="en-US" w:eastAsia="en-US"/>
              </w:rPr>
            </w:pPr>
            <w:r w:rsidRPr="00F41A75">
              <w:rPr>
                <w:rFonts w:eastAsia="Calibri"/>
                <w:bCs/>
                <w:sz w:val="18"/>
                <w:szCs w:val="18"/>
                <w:lang w:eastAsia="en-US" w:bidi="en-GB"/>
              </w:rPr>
              <w:t>Dilution factor (for preparation of the working solution from the formulation (product))</w:t>
            </w:r>
          </w:p>
        </w:tc>
        <w:tc>
          <w:tcPr>
            <w:tcW w:w="0" w:type="auto"/>
            <w:shd w:val="clear" w:color="auto" w:fill="FFFFFF"/>
          </w:tcPr>
          <w:p w14:paraId="6C6DB2B3"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 xml:space="preserve">Fdil </w:t>
            </w:r>
          </w:p>
        </w:tc>
        <w:tc>
          <w:tcPr>
            <w:tcW w:w="0" w:type="auto"/>
            <w:gridSpan w:val="2"/>
            <w:shd w:val="clear" w:color="auto" w:fill="FFFFFF"/>
          </w:tcPr>
          <w:p w14:paraId="476D713E" w14:textId="77777777" w:rsidR="00567E0E" w:rsidRPr="00F41A75" w:rsidRDefault="00567E0E" w:rsidP="00261A29">
            <w:pPr>
              <w:spacing w:line="260" w:lineRule="atLeast"/>
              <w:jc w:val="center"/>
              <w:rPr>
                <w:rFonts w:eastAsia="Calibri"/>
                <w:bCs/>
                <w:sz w:val="18"/>
                <w:szCs w:val="18"/>
                <w:lang w:eastAsia="en-US" w:bidi="en-GB"/>
              </w:rPr>
            </w:pPr>
            <w:r w:rsidRPr="00F41A75">
              <w:rPr>
                <w:rFonts w:eastAsia="Calibri"/>
                <w:bCs/>
                <w:sz w:val="18"/>
                <w:szCs w:val="18"/>
                <w:lang w:eastAsia="en-US"/>
              </w:rPr>
              <w:t>1</w:t>
            </w:r>
          </w:p>
        </w:tc>
        <w:tc>
          <w:tcPr>
            <w:tcW w:w="0" w:type="auto"/>
            <w:shd w:val="clear" w:color="auto" w:fill="FFFFFF"/>
          </w:tcPr>
          <w:p w14:paraId="4C9E26DF"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w:t>
            </w:r>
          </w:p>
        </w:tc>
        <w:tc>
          <w:tcPr>
            <w:tcW w:w="0" w:type="auto"/>
            <w:shd w:val="clear" w:color="auto" w:fill="FFFFFF"/>
          </w:tcPr>
          <w:p w14:paraId="6A46208F"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S</w:t>
            </w:r>
          </w:p>
        </w:tc>
      </w:tr>
      <w:tr w:rsidR="00567E0E" w:rsidRPr="00ED69F1" w14:paraId="30B59C38" w14:textId="77777777" w:rsidTr="00261A29">
        <w:trPr>
          <w:trHeight w:val="93"/>
        </w:trPr>
        <w:tc>
          <w:tcPr>
            <w:tcW w:w="0" w:type="auto"/>
            <w:shd w:val="clear" w:color="auto" w:fill="FFFFFF"/>
          </w:tcPr>
          <w:p w14:paraId="29BFFE08"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bidi="en-GB"/>
              </w:rPr>
              <w:t>Fraction of active ingredient released</w:t>
            </w:r>
          </w:p>
        </w:tc>
        <w:tc>
          <w:tcPr>
            <w:tcW w:w="0" w:type="auto"/>
            <w:shd w:val="clear" w:color="auto" w:fill="FFFFFF"/>
          </w:tcPr>
          <w:p w14:paraId="45813EF7"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val="en-US" w:eastAsia="en-US"/>
              </w:rPr>
              <w:t xml:space="preserve">F </w:t>
            </w:r>
            <w:r w:rsidRPr="00F41A75">
              <w:rPr>
                <w:rFonts w:eastAsia="Calibri"/>
                <w:bCs/>
                <w:sz w:val="18"/>
                <w:szCs w:val="18"/>
                <w:lang w:eastAsia="en-US" w:bidi="en-GB"/>
              </w:rPr>
              <w:t>slurry/manure or STP</w:t>
            </w:r>
          </w:p>
        </w:tc>
        <w:tc>
          <w:tcPr>
            <w:tcW w:w="0" w:type="auto"/>
            <w:gridSpan w:val="2"/>
            <w:shd w:val="clear" w:color="auto" w:fill="FFFFFF"/>
          </w:tcPr>
          <w:p w14:paraId="0A595D34" w14:textId="77777777" w:rsidR="00567E0E" w:rsidRPr="00F41A75" w:rsidRDefault="00567E0E" w:rsidP="00261A29">
            <w:pPr>
              <w:spacing w:line="260" w:lineRule="atLeast"/>
              <w:jc w:val="center"/>
              <w:rPr>
                <w:rFonts w:eastAsia="Calibri"/>
                <w:bCs/>
                <w:sz w:val="18"/>
                <w:szCs w:val="18"/>
                <w:lang w:eastAsia="en-US" w:bidi="en-GB"/>
              </w:rPr>
            </w:pPr>
            <w:r w:rsidRPr="00F41A75">
              <w:rPr>
                <w:rFonts w:eastAsia="Calibri"/>
                <w:bCs/>
                <w:sz w:val="18"/>
                <w:szCs w:val="18"/>
                <w:lang w:eastAsia="en-US"/>
              </w:rPr>
              <w:t>0.5</w:t>
            </w:r>
          </w:p>
        </w:tc>
        <w:tc>
          <w:tcPr>
            <w:tcW w:w="0" w:type="auto"/>
            <w:shd w:val="clear" w:color="auto" w:fill="FFFFFF"/>
          </w:tcPr>
          <w:p w14:paraId="215954B5"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w:t>
            </w:r>
          </w:p>
        </w:tc>
        <w:tc>
          <w:tcPr>
            <w:tcW w:w="0" w:type="auto"/>
            <w:shd w:val="clear" w:color="auto" w:fill="FFFFFF"/>
          </w:tcPr>
          <w:p w14:paraId="7B135BCC" w14:textId="77777777" w:rsidR="00567E0E" w:rsidRPr="00F41A75" w:rsidRDefault="00567E0E" w:rsidP="00261A29">
            <w:pPr>
              <w:spacing w:line="260" w:lineRule="atLeast"/>
              <w:rPr>
                <w:rFonts w:eastAsia="Calibri"/>
                <w:bCs/>
                <w:sz w:val="18"/>
                <w:szCs w:val="18"/>
                <w:lang w:val="fr-FR" w:eastAsia="en-US"/>
              </w:rPr>
            </w:pPr>
            <w:r w:rsidRPr="00F41A75">
              <w:rPr>
                <w:rFonts w:eastAsia="Calibri"/>
                <w:bCs/>
                <w:sz w:val="18"/>
                <w:szCs w:val="18"/>
                <w:lang w:eastAsia="en-US" w:bidi="en-GB"/>
              </w:rPr>
              <w:t>D</w:t>
            </w:r>
          </w:p>
        </w:tc>
      </w:tr>
      <w:tr w:rsidR="00567E0E" w:rsidRPr="00ED69F1" w14:paraId="6888EA5A" w14:textId="77777777" w:rsidTr="00261A29">
        <w:trPr>
          <w:trHeight w:val="75"/>
        </w:trPr>
        <w:tc>
          <w:tcPr>
            <w:tcW w:w="0" w:type="auto"/>
            <w:shd w:val="clear" w:color="auto" w:fill="FFFFFF"/>
          </w:tcPr>
          <w:p w14:paraId="4236D49B" w14:textId="51EC6CBB"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bidi="en-GB"/>
              </w:rPr>
              <w:t>Number of teat dipping events for one animal and one day (dipping of the four teats of one animal = one disinfectant application</w:t>
            </w:r>
            <w:r w:rsidR="00F41438">
              <w:rPr>
                <w:rFonts w:eastAsia="Calibri"/>
                <w:bCs/>
                <w:sz w:val="18"/>
                <w:szCs w:val="18"/>
                <w:lang w:eastAsia="en-US" w:bidi="en-GB"/>
              </w:rPr>
              <w:t>)</w:t>
            </w:r>
          </w:p>
        </w:tc>
        <w:tc>
          <w:tcPr>
            <w:tcW w:w="0" w:type="auto"/>
            <w:shd w:val="clear" w:color="auto" w:fill="FFFFFF"/>
          </w:tcPr>
          <w:p w14:paraId="4C8703FE" w14:textId="77777777" w:rsidR="00567E0E" w:rsidRPr="00F41A75" w:rsidRDefault="00567E0E" w:rsidP="00261A29">
            <w:pPr>
              <w:spacing w:line="260" w:lineRule="atLeast"/>
              <w:rPr>
                <w:rFonts w:eastAsia="Calibri"/>
                <w:bCs/>
                <w:i/>
                <w:sz w:val="18"/>
                <w:szCs w:val="18"/>
                <w:lang w:eastAsia="en-US"/>
              </w:rPr>
            </w:pPr>
            <w:r w:rsidRPr="00F41A75">
              <w:rPr>
                <w:rFonts w:eastAsia="Calibri"/>
                <w:bCs/>
                <w:sz w:val="18"/>
                <w:szCs w:val="18"/>
                <w:lang w:eastAsia="en-US" w:bidi="en-GB"/>
              </w:rPr>
              <w:t>Napp-teat</w:t>
            </w:r>
          </w:p>
        </w:tc>
        <w:tc>
          <w:tcPr>
            <w:tcW w:w="0" w:type="auto"/>
            <w:gridSpan w:val="2"/>
            <w:shd w:val="clear" w:color="auto" w:fill="FFFFFF"/>
          </w:tcPr>
          <w:p w14:paraId="72B0FE43" w14:textId="70EEC2AE" w:rsidR="00567E0E" w:rsidRPr="00F41A75" w:rsidRDefault="00567E0E" w:rsidP="00261A29">
            <w:pPr>
              <w:spacing w:line="260" w:lineRule="atLeast"/>
              <w:rPr>
                <w:rFonts w:eastAsia="Calibri"/>
                <w:bCs/>
                <w:sz w:val="18"/>
                <w:szCs w:val="18"/>
                <w:lang w:eastAsia="en-US" w:bidi="en-GB"/>
              </w:rPr>
            </w:pPr>
            <w:r>
              <w:rPr>
                <w:rFonts w:eastAsia="Calibri"/>
                <w:bCs/>
                <w:sz w:val="18"/>
                <w:szCs w:val="18"/>
                <w:lang w:eastAsia="en-US"/>
              </w:rPr>
              <w:t>3</w:t>
            </w:r>
            <w:r w:rsidRPr="00F41A75">
              <w:rPr>
                <w:rFonts w:eastAsia="Calibri"/>
                <w:bCs/>
                <w:sz w:val="18"/>
                <w:szCs w:val="18"/>
                <w:lang w:eastAsia="en-US"/>
              </w:rPr>
              <w:t xml:space="preserve"> (post milking</w:t>
            </w:r>
            <w:r w:rsidR="00022762">
              <w:rPr>
                <w:rFonts w:eastAsia="Calibri"/>
                <w:bCs/>
                <w:sz w:val="18"/>
                <w:szCs w:val="18"/>
                <w:lang w:eastAsia="en-US"/>
              </w:rPr>
              <w:t xml:space="preserve"> only</w:t>
            </w:r>
            <w:r w:rsidRPr="00F41A75">
              <w:rPr>
                <w:rFonts w:eastAsia="Calibri"/>
                <w:bCs/>
                <w:sz w:val="18"/>
                <w:szCs w:val="18"/>
                <w:lang w:eastAsia="en-US"/>
              </w:rPr>
              <w:t>)</w:t>
            </w:r>
          </w:p>
        </w:tc>
        <w:tc>
          <w:tcPr>
            <w:tcW w:w="0" w:type="auto"/>
            <w:shd w:val="clear" w:color="auto" w:fill="FFFFFF"/>
          </w:tcPr>
          <w:p w14:paraId="0B174C20" w14:textId="77777777" w:rsidR="00567E0E" w:rsidRPr="00F41A75" w:rsidRDefault="00567E0E" w:rsidP="00261A29">
            <w:pPr>
              <w:spacing w:line="260" w:lineRule="atLeast"/>
              <w:rPr>
                <w:rFonts w:eastAsia="Calibri"/>
                <w:bCs/>
                <w:sz w:val="18"/>
                <w:szCs w:val="18"/>
                <w:lang w:val="en-US" w:eastAsia="en-US"/>
              </w:rPr>
            </w:pPr>
            <w:r w:rsidRPr="00F41A75">
              <w:rPr>
                <w:rFonts w:eastAsia="Calibri"/>
                <w:bCs/>
                <w:sz w:val="18"/>
                <w:szCs w:val="18"/>
                <w:lang w:eastAsia="en-US" w:bidi="en-GB"/>
              </w:rPr>
              <w:t>[-]</w:t>
            </w:r>
          </w:p>
        </w:tc>
        <w:tc>
          <w:tcPr>
            <w:tcW w:w="0" w:type="auto"/>
            <w:shd w:val="clear" w:color="auto" w:fill="FFFFFF"/>
          </w:tcPr>
          <w:p w14:paraId="17D01DCD" w14:textId="77777777" w:rsidR="00567E0E" w:rsidRPr="00F41A75" w:rsidRDefault="00567E0E" w:rsidP="00261A29">
            <w:pPr>
              <w:spacing w:line="260" w:lineRule="atLeast"/>
              <w:rPr>
                <w:rFonts w:eastAsia="Calibri"/>
                <w:bCs/>
                <w:sz w:val="18"/>
                <w:szCs w:val="18"/>
                <w:lang w:val="en-US" w:eastAsia="en-US"/>
              </w:rPr>
            </w:pPr>
            <w:r>
              <w:rPr>
                <w:rFonts w:eastAsia="Calibri"/>
                <w:bCs/>
                <w:sz w:val="18"/>
                <w:szCs w:val="18"/>
                <w:lang w:eastAsia="en-US" w:bidi="en-GB"/>
              </w:rPr>
              <w:t xml:space="preserve">D - </w:t>
            </w:r>
            <w:r w:rsidRPr="00DC207B">
              <w:rPr>
                <w:rFonts w:eastAsia="Calibri"/>
                <w:bCs/>
                <w:sz w:val="18"/>
                <w:szCs w:val="18"/>
                <w:lang w:eastAsia="en-US" w:bidi="en-GB"/>
              </w:rPr>
              <w:t>Automatic</w:t>
            </w:r>
            <w:r>
              <w:rPr>
                <w:rFonts w:eastAsia="Calibri"/>
                <w:bCs/>
                <w:sz w:val="18"/>
                <w:szCs w:val="18"/>
                <w:lang w:eastAsia="en-US" w:bidi="en-GB"/>
              </w:rPr>
              <w:t xml:space="preserve"> Application</w:t>
            </w:r>
          </w:p>
          <w:p w14:paraId="26140177" w14:textId="77777777" w:rsidR="00567E0E" w:rsidRPr="00F41A75" w:rsidRDefault="00567E0E" w:rsidP="00261A29">
            <w:pPr>
              <w:spacing w:line="260" w:lineRule="atLeast"/>
              <w:rPr>
                <w:rFonts w:eastAsia="Calibri"/>
                <w:bCs/>
                <w:sz w:val="18"/>
                <w:szCs w:val="18"/>
                <w:lang w:val="en-US" w:eastAsia="en-US"/>
              </w:rPr>
            </w:pPr>
          </w:p>
        </w:tc>
      </w:tr>
      <w:tr w:rsidR="00567E0E" w:rsidRPr="00ED69F1" w14:paraId="7DE6F05D" w14:textId="77777777" w:rsidTr="00261A29">
        <w:trPr>
          <w:trHeight w:val="75"/>
        </w:trPr>
        <w:tc>
          <w:tcPr>
            <w:tcW w:w="0" w:type="auto"/>
            <w:shd w:val="clear" w:color="auto" w:fill="FFFFFF"/>
          </w:tcPr>
          <w:p w14:paraId="67935A68"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Number of days of lactation period</w:t>
            </w:r>
          </w:p>
        </w:tc>
        <w:tc>
          <w:tcPr>
            <w:tcW w:w="0" w:type="auto"/>
            <w:shd w:val="clear" w:color="auto" w:fill="FFFFFF"/>
          </w:tcPr>
          <w:p w14:paraId="1B002E36"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bidi="en-GB"/>
              </w:rPr>
              <w:t>Nday-lact</w:t>
            </w:r>
            <w:r w:rsidRPr="00F41A75">
              <w:rPr>
                <w:rFonts w:eastAsia="Calibri"/>
                <w:bCs/>
                <w:sz w:val="18"/>
                <w:szCs w:val="18"/>
                <w:lang w:eastAsia="en-US"/>
              </w:rPr>
              <w:t xml:space="preserve"> </w:t>
            </w:r>
          </w:p>
        </w:tc>
        <w:tc>
          <w:tcPr>
            <w:tcW w:w="0" w:type="auto"/>
            <w:gridSpan w:val="2"/>
            <w:shd w:val="clear" w:color="auto" w:fill="FFFFFF"/>
          </w:tcPr>
          <w:p w14:paraId="70F98CB4"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300</w:t>
            </w:r>
          </w:p>
        </w:tc>
        <w:tc>
          <w:tcPr>
            <w:tcW w:w="0" w:type="auto"/>
            <w:shd w:val="clear" w:color="auto" w:fill="FFFFFF"/>
          </w:tcPr>
          <w:p w14:paraId="3097D359"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w:t>
            </w:r>
          </w:p>
        </w:tc>
        <w:tc>
          <w:tcPr>
            <w:tcW w:w="0" w:type="auto"/>
            <w:shd w:val="clear" w:color="auto" w:fill="FFFFFF"/>
          </w:tcPr>
          <w:p w14:paraId="4B93BDD8"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w:t>
            </w:r>
          </w:p>
        </w:tc>
      </w:tr>
      <w:tr w:rsidR="00567E0E" w:rsidRPr="00ED69F1" w14:paraId="3A65EF60" w14:textId="77777777" w:rsidTr="00261A29">
        <w:trPr>
          <w:trHeight w:val="75"/>
        </w:trPr>
        <w:tc>
          <w:tcPr>
            <w:tcW w:w="0" w:type="auto"/>
            <w:shd w:val="clear" w:color="auto" w:fill="FFFFFF"/>
          </w:tcPr>
          <w:p w14:paraId="1FA02B61"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Number of disinfectant applications in one year</w:t>
            </w:r>
          </w:p>
        </w:tc>
        <w:tc>
          <w:tcPr>
            <w:tcW w:w="0" w:type="auto"/>
            <w:shd w:val="clear" w:color="auto" w:fill="FFFFFF"/>
          </w:tcPr>
          <w:p w14:paraId="5EACEAFF"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Napp-bioc</w:t>
            </w:r>
          </w:p>
        </w:tc>
        <w:tc>
          <w:tcPr>
            <w:tcW w:w="0" w:type="auto"/>
            <w:gridSpan w:val="2"/>
            <w:shd w:val="clear" w:color="auto" w:fill="FFFFFF"/>
          </w:tcPr>
          <w:p w14:paraId="2AC032C5" w14:textId="390427FF" w:rsidR="00567E0E" w:rsidRPr="00F41A75" w:rsidRDefault="008E1CA1" w:rsidP="00261A29">
            <w:pPr>
              <w:spacing w:line="260" w:lineRule="atLeast"/>
              <w:rPr>
                <w:rFonts w:eastAsia="Calibri"/>
                <w:bCs/>
                <w:sz w:val="18"/>
                <w:szCs w:val="18"/>
                <w:lang w:eastAsia="en-US"/>
              </w:rPr>
            </w:pPr>
            <w:r>
              <w:rPr>
                <w:rFonts w:eastAsia="Calibri"/>
                <w:bCs/>
                <w:sz w:val="18"/>
                <w:szCs w:val="18"/>
                <w:lang w:eastAsia="en-US"/>
              </w:rPr>
              <w:t>9</w:t>
            </w:r>
            <w:r w:rsidRPr="00F41A75">
              <w:rPr>
                <w:rFonts w:eastAsia="Calibri"/>
                <w:bCs/>
                <w:sz w:val="18"/>
                <w:szCs w:val="18"/>
                <w:lang w:eastAsia="en-US"/>
              </w:rPr>
              <w:t>00</w:t>
            </w:r>
          </w:p>
        </w:tc>
        <w:tc>
          <w:tcPr>
            <w:tcW w:w="0" w:type="auto"/>
            <w:shd w:val="clear" w:color="auto" w:fill="FFFFFF"/>
          </w:tcPr>
          <w:p w14:paraId="2A688C41"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w:t>
            </w:r>
          </w:p>
        </w:tc>
        <w:tc>
          <w:tcPr>
            <w:tcW w:w="0" w:type="auto"/>
            <w:shd w:val="clear" w:color="auto" w:fill="FFFFFF"/>
          </w:tcPr>
          <w:p w14:paraId="07D9678B"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w:t>
            </w:r>
          </w:p>
        </w:tc>
      </w:tr>
      <w:tr w:rsidR="00567E0E" w:rsidRPr="00ED69F1" w14:paraId="3A40A51D" w14:textId="77777777" w:rsidTr="00261A29">
        <w:trPr>
          <w:trHeight w:val="75"/>
        </w:trPr>
        <w:tc>
          <w:tcPr>
            <w:tcW w:w="0" w:type="auto"/>
            <w:shd w:val="clear" w:color="auto" w:fill="FFFFFF"/>
          </w:tcPr>
          <w:p w14:paraId="739D1255"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Interval between two disinfectant applications</w:t>
            </w:r>
          </w:p>
        </w:tc>
        <w:tc>
          <w:tcPr>
            <w:tcW w:w="0" w:type="auto"/>
            <w:shd w:val="clear" w:color="auto" w:fill="FFFFFF"/>
          </w:tcPr>
          <w:p w14:paraId="6BD54CA0"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Tbioc-int</w:t>
            </w:r>
          </w:p>
        </w:tc>
        <w:tc>
          <w:tcPr>
            <w:tcW w:w="0" w:type="auto"/>
            <w:gridSpan w:val="2"/>
            <w:shd w:val="clear" w:color="auto" w:fill="FFFFFF"/>
          </w:tcPr>
          <w:p w14:paraId="70E978CE"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0.</w:t>
            </w:r>
            <w:r>
              <w:rPr>
                <w:rFonts w:eastAsia="Calibri"/>
                <w:bCs/>
                <w:sz w:val="18"/>
                <w:szCs w:val="18"/>
                <w:lang w:eastAsia="en-US"/>
              </w:rPr>
              <w:t>33</w:t>
            </w:r>
          </w:p>
        </w:tc>
        <w:tc>
          <w:tcPr>
            <w:tcW w:w="0" w:type="auto"/>
            <w:shd w:val="clear" w:color="auto" w:fill="FFFFFF"/>
          </w:tcPr>
          <w:p w14:paraId="47CC5937"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w:t>
            </w:r>
          </w:p>
        </w:tc>
        <w:tc>
          <w:tcPr>
            <w:tcW w:w="0" w:type="auto"/>
            <w:shd w:val="clear" w:color="auto" w:fill="FFFFFF"/>
          </w:tcPr>
          <w:p w14:paraId="05877FDB"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w:t>
            </w:r>
          </w:p>
        </w:tc>
      </w:tr>
      <w:tr w:rsidR="00567E0E" w:rsidRPr="00ED69F1" w14:paraId="1D2E7B1A" w14:textId="77777777" w:rsidTr="00261A29">
        <w:trPr>
          <w:trHeight w:val="75"/>
        </w:trPr>
        <w:tc>
          <w:tcPr>
            <w:tcW w:w="0" w:type="auto"/>
            <w:shd w:val="clear" w:color="auto" w:fill="FFFFFF"/>
          </w:tcPr>
          <w:p w14:paraId="5D0B17FC"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lastRenderedPageBreak/>
              <w:t>Number of manure applications for grassland</w:t>
            </w:r>
          </w:p>
        </w:tc>
        <w:tc>
          <w:tcPr>
            <w:tcW w:w="0" w:type="auto"/>
            <w:shd w:val="clear" w:color="auto" w:fill="FFFFFF"/>
          </w:tcPr>
          <w:p w14:paraId="0DA3FF35"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Napp-grass</w:t>
            </w:r>
          </w:p>
        </w:tc>
        <w:tc>
          <w:tcPr>
            <w:tcW w:w="0" w:type="auto"/>
            <w:gridSpan w:val="2"/>
            <w:shd w:val="clear" w:color="auto" w:fill="FFFFFF"/>
          </w:tcPr>
          <w:p w14:paraId="678253DE" w14:textId="77777777" w:rsidR="00567E0E" w:rsidRPr="00F41A75" w:rsidRDefault="00567E0E" w:rsidP="00261A29">
            <w:pPr>
              <w:spacing w:line="260" w:lineRule="atLeast"/>
              <w:rPr>
                <w:rFonts w:eastAsia="Calibri"/>
                <w:bCs/>
                <w:sz w:val="18"/>
                <w:szCs w:val="18"/>
                <w:lang w:eastAsia="en-US"/>
              </w:rPr>
            </w:pPr>
            <w:r>
              <w:rPr>
                <w:rFonts w:eastAsia="Calibri"/>
                <w:bCs/>
                <w:sz w:val="18"/>
                <w:szCs w:val="18"/>
                <w:lang w:eastAsia="en-US"/>
              </w:rPr>
              <w:t>4</w:t>
            </w:r>
          </w:p>
        </w:tc>
        <w:tc>
          <w:tcPr>
            <w:tcW w:w="0" w:type="auto"/>
            <w:shd w:val="clear" w:color="auto" w:fill="FFFFFF"/>
          </w:tcPr>
          <w:p w14:paraId="0DD84DA8"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w:t>
            </w:r>
          </w:p>
        </w:tc>
        <w:tc>
          <w:tcPr>
            <w:tcW w:w="0" w:type="auto"/>
            <w:shd w:val="clear" w:color="auto" w:fill="FFFFFF"/>
          </w:tcPr>
          <w:p w14:paraId="3E27EFFC"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w:t>
            </w:r>
          </w:p>
        </w:tc>
      </w:tr>
      <w:tr w:rsidR="00567E0E" w:rsidRPr="00ED69F1" w14:paraId="48B2C800" w14:textId="77777777" w:rsidTr="00261A29">
        <w:trPr>
          <w:trHeight w:val="75"/>
        </w:trPr>
        <w:tc>
          <w:tcPr>
            <w:tcW w:w="0" w:type="auto"/>
            <w:shd w:val="clear" w:color="auto" w:fill="FFFFFF"/>
          </w:tcPr>
          <w:p w14:paraId="1B356525"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Number of manure applications for arable land</w:t>
            </w:r>
          </w:p>
        </w:tc>
        <w:tc>
          <w:tcPr>
            <w:tcW w:w="0" w:type="auto"/>
            <w:shd w:val="clear" w:color="auto" w:fill="FFFFFF"/>
          </w:tcPr>
          <w:p w14:paraId="6A7607F8"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Napp-arab</w:t>
            </w:r>
          </w:p>
        </w:tc>
        <w:tc>
          <w:tcPr>
            <w:tcW w:w="0" w:type="auto"/>
            <w:gridSpan w:val="2"/>
            <w:shd w:val="clear" w:color="auto" w:fill="FFFFFF"/>
          </w:tcPr>
          <w:p w14:paraId="4D1C9287"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1</w:t>
            </w:r>
          </w:p>
        </w:tc>
        <w:tc>
          <w:tcPr>
            <w:tcW w:w="0" w:type="auto"/>
            <w:shd w:val="clear" w:color="auto" w:fill="FFFFFF"/>
          </w:tcPr>
          <w:p w14:paraId="5C2E3249"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w:t>
            </w:r>
          </w:p>
        </w:tc>
        <w:tc>
          <w:tcPr>
            <w:tcW w:w="0" w:type="auto"/>
            <w:shd w:val="clear" w:color="auto" w:fill="FFFFFF"/>
          </w:tcPr>
          <w:p w14:paraId="734C1446"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w:t>
            </w:r>
          </w:p>
        </w:tc>
      </w:tr>
      <w:tr w:rsidR="00567E0E" w:rsidRPr="00ED69F1" w14:paraId="11A95E33" w14:textId="77777777" w:rsidTr="00261A29">
        <w:trPr>
          <w:trHeight w:val="75"/>
        </w:trPr>
        <w:tc>
          <w:tcPr>
            <w:tcW w:w="0" w:type="auto"/>
            <w:shd w:val="clear" w:color="auto" w:fill="FFFFFF"/>
          </w:tcPr>
          <w:p w14:paraId="0DAF8A89"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Manure application time interval for grassland</w:t>
            </w:r>
          </w:p>
        </w:tc>
        <w:tc>
          <w:tcPr>
            <w:tcW w:w="0" w:type="auto"/>
            <w:shd w:val="clear" w:color="auto" w:fill="FFFFFF"/>
          </w:tcPr>
          <w:p w14:paraId="226257C7"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Tgr-int</w:t>
            </w:r>
          </w:p>
        </w:tc>
        <w:tc>
          <w:tcPr>
            <w:tcW w:w="0" w:type="auto"/>
            <w:gridSpan w:val="2"/>
            <w:shd w:val="clear" w:color="auto" w:fill="FFFFFF"/>
          </w:tcPr>
          <w:p w14:paraId="31CE3500"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53</w:t>
            </w:r>
          </w:p>
        </w:tc>
        <w:tc>
          <w:tcPr>
            <w:tcW w:w="0" w:type="auto"/>
            <w:shd w:val="clear" w:color="auto" w:fill="FFFFFF"/>
          </w:tcPr>
          <w:p w14:paraId="4ED41452"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w:t>
            </w:r>
          </w:p>
        </w:tc>
        <w:tc>
          <w:tcPr>
            <w:tcW w:w="0" w:type="auto"/>
            <w:shd w:val="clear" w:color="auto" w:fill="FFFFFF"/>
          </w:tcPr>
          <w:p w14:paraId="391C6708"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D/S (ESD-PT3, 2011; Appendix1: Table 12)</w:t>
            </w:r>
          </w:p>
        </w:tc>
      </w:tr>
      <w:tr w:rsidR="00567E0E" w:rsidRPr="00ED69F1" w14:paraId="1055BD4E" w14:textId="77777777" w:rsidTr="00261A29">
        <w:trPr>
          <w:trHeight w:val="75"/>
        </w:trPr>
        <w:tc>
          <w:tcPr>
            <w:tcW w:w="0" w:type="auto"/>
            <w:shd w:val="clear" w:color="auto" w:fill="FFFFFF"/>
          </w:tcPr>
          <w:p w14:paraId="298F7829"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Manure application time interval for arable land</w:t>
            </w:r>
          </w:p>
        </w:tc>
        <w:tc>
          <w:tcPr>
            <w:tcW w:w="0" w:type="auto"/>
            <w:shd w:val="clear" w:color="auto" w:fill="FFFFFF"/>
          </w:tcPr>
          <w:p w14:paraId="00018820"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Tar-int</w:t>
            </w:r>
          </w:p>
        </w:tc>
        <w:tc>
          <w:tcPr>
            <w:tcW w:w="0" w:type="auto"/>
            <w:gridSpan w:val="2"/>
            <w:shd w:val="clear" w:color="auto" w:fill="FFFFFF"/>
          </w:tcPr>
          <w:p w14:paraId="55CFF530"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212</w:t>
            </w:r>
          </w:p>
        </w:tc>
        <w:tc>
          <w:tcPr>
            <w:tcW w:w="0" w:type="auto"/>
            <w:shd w:val="clear" w:color="auto" w:fill="FFFFFF"/>
          </w:tcPr>
          <w:p w14:paraId="25FE09CF"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w:t>
            </w:r>
          </w:p>
        </w:tc>
        <w:tc>
          <w:tcPr>
            <w:tcW w:w="0" w:type="auto"/>
            <w:shd w:val="clear" w:color="auto" w:fill="FFFFFF"/>
          </w:tcPr>
          <w:p w14:paraId="1DCB0399"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D/S (ESD-PT3, 2011; Appendix1: Table 12)</w:t>
            </w:r>
          </w:p>
        </w:tc>
      </w:tr>
      <w:tr w:rsidR="00567E0E" w:rsidRPr="00ED69F1" w14:paraId="25389C65" w14:textId="77777777" w:rsidTr="00261A29">
        <w:trPr>
          <w:trHeight w:val="75"/>
        </w:trPr>
        <w:tc>
          <w:tcPr>
            <w:tcW w:w="0" w:type="auto"/>
            <w:shd w:val="clear" w:color="auto" w:fill="FFFFFF"/>
          </w:tcPr>
          <w:p w14:paraId="444C2011"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Number of animal in housing for category/subcategory i1=1</w:t>
            </w:r>
          </w:p>
        </w:tc>
        <w:tc>
          <w:tcPr>
            <w:tcW w:w="0" w:type="auto"/>
            <w:shd w:val="clear" w:color="auto" w:fill="FFFFFF"/>
          </w:tcPr>
          <w:p w14:paraId="37771800"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Nanimali1</w:t>
            </w:r>
          </w:p>
        </w:tc>
        <w:tc>
          <w:tcPr>
            <w:tcW w:w="0" w:type="auto"/>
            <w:gridSpan w:val="2"/>
            <w:shd w:val="clear" w:color="auto" w:fill="FFFFFF"/>
          </w:tcPr>
          <w:p w14:paraId="6EE07A16" w14:textId="77777777" w:rsidR="00567E0E" w:rsidRPr="00F41A75" w:rsidRDefault="00567E0E" w:rsidP="00261A29">
            <w:pPr>
              <w:spacing w:line="260" w:lineRule="atLeast"/>
              <w:rPr>
                <w:rFonts w:eastAsia="Calibri"/>
                <w:bCs/>
                <w:sz w:val="18"/>
                <w:szCs w:val="18"/>
                <w:lang w:eastAsia="en-US"/>
              </w:rPr>
            </w:pPr>
            <w:r>
              <w:rPr>
                <w:rFonts w:eastAsia="Calibri"/>
                <w:bCs/>
                <w:sz w:val="18"/>
                <w:szCs w:val="18"/>
                <w:lang w:eastAsia="en-US"/>
              </w:rPr>
              <w:t>100</w:t>
            </w:r>
          </w:p>
        </w:tc>
        <w:tc>
          <w:tcPr>
            <w:tcW w:w="0" w:type="auto"/>
            <w:shd w:val="clear" w:color="auto" w:fill="FFFFFF"/>
          </w:tcPr>
          <w:p w14:paraId="34B87FC6"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w:t>
            </w:r>
          </w:p>
        </w:tc>
        <w:tc>
          <w:tcPr>
            <w:tcW w:w="0" w:type="auto"/>
            <w:shd w:val="clear" w:color="auto" w:fill="FFFFFF"/>
          </w:tcPr>
          <w:p w14:paraId="250AAA6B" w14:textId="77777777" w:rsidR="00567E0E" w:rsidRPr="00F41A75" w:rsidRDefault="00567E0E" w:rsidP="00261A29">
            <w:pPr>
              <w:spacing w:line="260" w:lineRule="atLeast"/>
              <w:rPr>
                <w:rFonts w:eastAsia="Calibri"/>
                <w:bCs/>
                <w:sz w:val="18"/>
                <w:szCs w:val="18"/>
                <w:lang w:eastAsia="en-US"/>
              </w:rPr>
            </w:pPr>
            <w:r w:rsidRPr="00D96D01">
              <w:rPr>
                <w:rFonts w:eastAsia="Calibri"/>
                <w:bCs/>
                <w:sz w:val="18"/>
                <w:szCs w:val="18"/>
                <w:lang w:eastAsia="en-US"/>
              </w:rPr>
              <w:t>D/S (ESD-PT3, 2011; Ap</w:t>
            </w:r>
            <w:r>
              <w:rPr>
                <w:rFonts w:eastAsia="Calibri"/>
                <w:bCs/>
                <w:sz w:val="18"/>
                <w:szCs w:val="18"/>
                <w:lang w:eastAsia="en-US"/>
              </w:rPr>
              <w:t>pendix1: Table 8</w:t>
            </w:r>
            <w:r w:rsidRPr="00D96D01">
              <w:rPr>
                <w:rFonts w:eastAsia="Calibri"/>
                <w:bCs/>
                <w:sz w:val="18"/>
                <w:szCs w:val="18"/>
                <w:lang w:eastAsia="en-US"/>
              </w:rPr>
              <w:t>)</w:t>
            </w:r>
          </w:p>
        </w:tc>
      </w:tr>
      <w:tr w:rsidR="00567E0E" w:rsidRPr="00ED69F1" w14:paraId="14302553" w14:textId="77777777" w:rsidTr="00261A29">
        <w:trPr>
          <w:trHeight w:val="75"/>
        </w:trPr>
        <w:tc>
          <w:tcPr>
            <w:tcW w:w="0" w:type="auto"/>
            <w:shd w:val="clear" w:color="auto" w:fill="FFFFFF"/>
          </w:tcPr>
          <w:p w14:paraId="07D49A26" w14:textId="77777777" w:rsidR="00567E0E" w:rsidRPr="000F6961" w:rsidRDefault="00567E0E" w:rsidP="00261A29">
            <w:pPr>
              <w:spacing w:line="260" w:lineRule="atLeast"/>
              <w:rPr>
                <w:rFonts w:eastAsia="Calibri"/>
                <w:bCs/>
                <w:sz w:val="18"/>
                <w:szCs w:val="18"/>
                <w:lang w:eastAsia="en-US" w:bidi="en-GB"/>
              </w:rPr>
            </w:pPr>
            <w:r w:rsidRPr="003E5BCE">
              <w:rPr>
                <w:rFonts w:eastAsia="Calibri"/>
                <w:bCs/>
                <w:sz w:val="18"/>
                <w:szCs w:val="18"/>
                <w:lang w:eastAsia="en-US" w:bidi="en-GB"/>
              </w:rPr>
              <w:t>Number of milk producing animals per day</w:t>
            </w:r>
          </w:p>
        </w:tc>
        <w:tc>
          <w:tcPr>
            <w:tcW w:w="0" w:type="auto"/>
            <w:shd w:val="clear" w:color="auto" w:fill="FFFFFF"/>
          </w:tcPr>
          <w:p w14:paraId="022A53EA" w14:textId="77777777" w:rsidR="00567E0E" w:rsidRPr="000F6961" w:rsidRDefault="00567E0E" w:rsidP="00261A29">
            <w:pPr>
              <w:spacing w:line="260" w:lineRule="atLeast"/>
              <w:rPr>
                <w:rFonts w:eastAsia="Calibri"/>
                <w:bCs/>
                <w:sz w:val="18"/>
                <w:szCs w:val="18"/>
                <w:lang w:eastAsia="en-US" w:bidi="en-GB"/>
              </w:rPr>
            </w:pPr>
            <w:r w:rsidRPr="003E5BCE">
              <w:rPr>
                <w:rFonts w:eastAsia="Calibri"/>
                <w:bCs/>
                <w:sz w:val="18"/>
                <w:szCs w:val="18"/>
                <w:lang w:eastAsia="en-US" w:bidi="en-GB"/>
              </w:rPr>
              <w:t>Nmp_animal</w:t>
            </w:r>
          </w:p>
        </w:tc>
        <w:tc>
          <w:tcPr>
            <w:tcW w:w="0" w:type="auto"/>
            <w:gridSpan w:val="2"/>
            <w:shd w:val="clear" w:color="auto" w:fill="FFFFFF"/>
          </w:tcPr>
          <w:p w14:paraId="2CE1DCA6" w14:textId="77777777" w:rsidR="00567E0E" w:rsidRDefault="00567E0E" w:rsidP="00261A29">
            <w:pPr>
              <w:spacing w:line="260" w:lineRule="atLeast"/>
              <w:rPr>
                <w:rFonts w:eastAsia="Calibri"/>
                <w:bCs/>
                <w:sz w:val="18"/>
                <w:szCs w:val="18"/>
                <w:lang w:eastAsia="en-US"/>
              </w:rPr>
            </w:pPr>
            <w:r>
              <w:rPr>
                <w:rFonts w:eastAsia="Calibri"/>
                <w:bCs/>
                <w:sz w:val="18"/>
                <w:szCs w:val="18"/>
                <w:lang w:eastAsia="en-US"/>
              </w:rPr>
              <w:t>82</w:t>
            </w:r>
          </w:p>
        </w:tc>
        <w:tc>
          <w:tcPr>
            <w:tcW w:w="0" w:type="auto"/>
            <w:shd w:val="clear" w:color="auto" w:fill="FFFFFF"/>
          </w:tcPr>
          <w:p w14:paraId="6FDA9F53" w14:textId="77777777" w:rsidR="00567E0E" w:rsidRPr="000F6961" w:rsidRDefault="00567E0E" w:rsidP="00261A29">
            <w:pPr>
              <w:spacing w:line="260" w:lineRule="atLeast"/>
              <w:rPr>
                <w:rFonts w:eastAsia="Calibri"/>
                <w:bCs/>
                <w:sz w:val="18"/>
                <w:szCs w:val="18"/>
                <w:lang w:eastAsia="en-US"/>
              </w:rPr>
            </w:pPr>
            <w:r w:rsidRPr="00D96D01">
              <w:rPr>
                <w:rFonts w:eastAsia="Calibri"/>
                <w:bCs/>
                <w:sz w:val="18"/>
                <w:szCs w:val="18"/>
                <w:lang w:eastAsia="en-US"/>
              </w:rPr>
              <w:t>[-]</w:t>
            </w:r>
          </w:p>
        </w:tc>
        <w:tc>
          <w:tcPr>
            <w:tcW w:w="0" w:type="auto"/>
            <w:shd w:val="clear" w:color="auto" w:fill="FFFFFF"/>
          </w:tcPr>
          <w:p w14:paraId="311F2DE3" w14:textId="77777777" w:rsidR="00567E0E" w:rsidRDefault="00567E0E" w:rsidP="00261A29">
            <w:pPr>
              <w:spacing w:line="260" w:lineRule="atLeast"/>
              <w:rPr>
                <w:rFonts w:eastAsia="Calibri"/>
                <w:bCs/>
                <w:sz w:val="18"/>
                <w:szCs w:val="18"/>
                <w:lang w:eastAsia="en-US"/>
              </w:rPr>
            </w:pPr>
            <w:r>
              <w:rPr>
                <w:rFonts w:eastAsia="Calibri"/>
                <w:bCs/>
                <w:sz w:val="18"/>
                <w:szCs w:val="18"/>
                <w:lang w:eastAsia="en-US"/>
              </w:rPr>
              <w:t>TAB ENV 63</w:t>
            </w:r>
          </w:p>
        </w:tc>
      </w:tr>
      <w:tr w:rsidR="00567E0E" w:rsidRPr="00ED69F1" w14:paraId="5189A9CB" w14:textId="77777777" w:rsidTr="00261A29">
        <w:trPr>
          <w:trHeight w:val="75"/>
        </w:trPr>
        <w:tc>
          <w:tcPr>
            <w:tcW w:w="0" w:type="auto"/>
            <w:shd w:val="clear" w:color="auto" w:fill="FFFFFF"/>
          </w:tcPr>
          <w:p w14:paraId="16149C0D"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Amount of nitrogen per animal for category/subcategory i1=1</w:t>
            </w:r>
          </w:p>
        </w:tc>
        <w:tc>
          <w:tcPr>
            <w:tcW w:w="0" w:type="auto"/>
            <w:shd w:val="clear" w:color="auto" w:fill="FFFFFF"/>
          </w:tcPr>
          <w:p w14:paraId="2FB3495C"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Qnitrogi1</w:t>
            </w:r>
          </w:p>
        </w:tc>
        <w:tc>
          <w:tcPr>
            <w:tcW w:w="0" w:type="auto"/>
            <w:gridSpan w:val="2"/>
            <w:shd w:val="clear" w:color="auto" w:fill="FFFFFF"/>
          </w:tcPr>
          <w:p w14:paraId="0C120F77"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0.3389</w:t>
            </w:r>
          </w:p>
        </w:tc>
        <w:tc>
          <w:tcPr>
            <w:tcW w:w="0" w:type="auto"/>
            <w:shd w:val="clear" w:color="auto" w:fill="FFFFFF"/>
          </w:tcPr>
          <w:p w14:paraId="2BE7EED2"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[kg.d</w:t>
            </w:r>
            <w:r w:rsidRPr="00F41A75">
              <w:rPr>
                <w:rFonts w:eastAsia="Calibri"/>
                <w:bCs/>
                <w:sz w:val="18"/>
                <w:szCs w:val="18"/>
                <w:vertAlign w:val="superscript"/>
                <w:lang w:eastAsia="en-US"/>
              </w:rPr>
              <w:t>-1</w:t>
            </w:r>
            <w:r w:rsidRPr="00F41A75">
              <w:rPr>
                <w:rFonts w:eastAsia="Calibri"/>
                <w:bCs/>
                <w:sz w:val="18"/>
                <w:szCs w:val="18"/>
                <w:lang w:eastAsia="en-US"/>
              </w:rPr>
              <w:t>]</w:t>
            </w:r>
          </w:p>
        </w:tc>
        <w:tc>
          <w:tcPr>
            <w:tcW w:w="0" w:type="auto"/>
            <w:shd w:val="clear" w:color="auto" w:fill="FFFFFF"/>
          </w:tcPr>
          <w:p w14:paraId="7BC1B6AB"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 (ESD-PT3, 2011; Appendix1: Table 11)</w:t>
            </w:r>
          </w:p>
        </w:tc>
      </w:tr>
      <w:tr w:rsidR="00567E0E" w:rsidRPr="00ED69F1" w14:paraId="2410CCDF" w14:textId="77777777" w:rsidTr="00261A29">
        <w:trPr>
          <w:trHeight w:val="75"/>
        </w:trPr>
        <w:tc>
          <w:tcPr>
            <w:tcW w:w="0" w:type="auto"/>
            <w:gridSpan w:val="6"/>
            <w:shd w:val="clear" w:color="auto" w:fill="FFFFFF"/>
          </w:tcPr>
          <w:p w14:paraId="2943AB56" w14:textId="77777777" w:rsidR="00567E0E" w:rsidRPr="00F41A75" w:rsidRDefault="00567E0E" w:rsidP="00261A29">
            <w:pPr>
              <w:spacing w:line="260" w:lineRule="atLeast"/>
              <w:rPr>
                <w:rFonts w:eastAsia="Calibri"/>
                <w:bCs/>
                <w:i/>
                <w:iCs/>
                <w:sz w:val="18"/>
                <w:szCs w:val="18"/>
                <w:lang w:val="sv-SE" w:eastAsia="en-US"/>
              </w:rPr>
            </w:pPr>
            <w:r w:rsidRPr="00F41A75">
              <w:rPr>
                <w:rFonts w:eastAsia="Calibri"/>
                <w:bCs/>
                <w:i/>
                <w:iCs/>
                <w:sz w:val="18"/>
                <w:szCs w:val="18"/>
                <w:lang w:eastAsia="en-US"/>
              </w:rPr>
              <w:t>If nitrogen immission standards are applied:</w:t>
            </w:r>
          </w:p>
        </w:tc>
      </w:tr>
      <w:tr w:rsidR="00567E0E" w:rsidRPr="00ED69F1" w14:paraId="5DBE36F1" w14:textId="77777777" w:rsidTr="00261A29">
        <w:trPr>
          <w:trHeight w:val="75"/>
        </w:trPr>
        <w:tc>
          <w:tcPr>
            <w:tcW w:w="0" w:type="auto"/>
            <w:shd w:val="clear" w:color="auto" w:fill="FFFFFF"/>
          </w:tcPr>
          <w:p w14:paraId="33905D8E"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Nitrogen immission standard for one year on grassland</w:t>
            </w:r>
          </w:p>
        </w:tc>
        <w:tc>
          <w:tcPr>
            <w:tcW w:w="0" w:type="auto"/>
            <w:shd w:val="clear" w:color="auto" w:fill="FFFFFF"/>
          </w:tcPr>
          <w:p w14:paraId="4461E28F"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QN,grassland</w:t>
            </w:r>
          </w:p>
        </w:tc>
        <w:tc>
          <w:tcPr>
            <w:tcW w:w="0" w:type="auto"/>
            <w:gridSpan w:val="2"/>
            <w:shd w:val="clear" w:color="auto" w:fill="FFFFFF"/>
          </w:tcPr>
          <w:p w14:paraId="7A3D56D8"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170</w:t>
            </w:r>
          </w:p>
        </w:tc>
        <w:tc>
          <w:tcPr>
            <w:tcW w:w="0" w:type="auto"/>
            <w:shd w:val="clear" w:color="auto" w:fill="FFFFFF"/>
          </w:tcPr>
          <w:p w14:paraId="1E39A6F0"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[kg.ha</w:t>
            </w:r>
            <w:r w:rsidRPr="00F41A75">
              <w:rPr>
                <w:rFonts w:eastAsia="Calibri"/>
                <w:bCs/>
                <w:sz w:val="18"/>
                <w:szCs w:val="18"/>
                <w:vertAlign w:val="superscript"/>
                <w:lang w:eastAsia="en-US"/>
              </w:rPr>
              <w:t>-1</w:t>
            </w:r>
            <w:r w:rsidRPr="00F41A75">
              <w:rPr>
                <w:rFonts w:eastAsia="Calibri"/>
                <w:bCs/>
                <w:sz w:val="18"/>
                <w:szCs w:val="18"/>
                <w:lang w:eastAsia="en-US"/>
              </w:rPr>
              <w:t>]</w:t>
            </w:r>
          </w:p>
        </w:tc>
        <w:tc>
          <w:tcPr>
            <w:tcW w:w="0" w:type="auto"/>
            <w:shd w:val="clear" w:color="auto" w:fill="FFFFFF"/>
          </w:tcPr>
          <w:p w14:paraId="24C61271"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 (ESD-PT3, 2011; Appendix1: Table 13)</w:t>
            </w:r>
          </w:p>
        </w:tc>
      </w:tr>
      <w:tr w:rsidR="00567E0E" w:rsidRPr="00ED69F1" w14:paraId="61FA66E6" w14:textId="77777777" w:rsidTr="00261A29">
        <w:trPr>
          <w:trHeight w:val="75"/>
        </w:trPr>
        <w:tc>
          <w:tcPr>
            <w:tcW w:w="0" w:type="auto"/>
            <w:shd w:val="clear" w:color="auto" w:fill="FFFFFF"/>
          </w:tcPr>
          <w:p w14:paraId="654E96BD"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Nitrogen immission standard for one year on arable land</w:t>
            </w:r>
          </w:p>
        </w:tc>
        <w:tc>
          <w:tcPr>
            <w:tcW w:w="0" w:type="auto"/>
            <w:shd w:val="clear" w:color="auto" w:fill="FFFFFF"/>
          </w:tcPr>
          <w:p w14:paraId="12F9ACAD"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QN,arable_land</w:t>
            </w:r>
          </w:p>
        </w:tc>
        <w:tc>
          <w:tcPr>
            <w:tcW w:w="0" w:type="auto"/>
            <w:gridSpan w:val="2"/>
            <w:shd w:val="clear" w:color="auto" w:fill="FFFFFF"/>
          </w:tcPr>
          <w:p w14:paraId="0F621E6D"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170</w:t>
            </w:r>
          </w:p>
        </w:tc>
        <w:tc>
          <w:tcPr>
            <w:tcW w:w="0" w:type="auto"/>
            <w:shd w:val="clear" w:color="auto" w:fill="FFFFFF"/>
          </w:tcPr>
          <w:p w14:paraId="4235EA34"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[kg.ha</w:t>
            </w:r>
            <w:r w:rsidRPr="00F41A75">
              <w:rPr>
                <w:rFonts w:eastAsia="Calibri"/>
                <w:bCs/>
                <w:sz w:val="18"/>
                <w:szCs w:val="18"/>
                <w:vertAlign w:val="superscript"/>
                <w:lang w:eastAsia="en-US"/>
              </w:rPr>
              <w:t>-1</w:t>
            </w:r>
            <w:r w:rsidRPr="00F41A75">
              <w:rPr>
                <w:rFonts w:eastAsia="Calibri"/>
                <w:bCs/>
                <w:sz w:val="18"/>
                <w:szCs w:val="18"/>
                <w:lang w:eastAsia="en-US"/>
              </w:rPr>
              <w:t>]</w:t>
            </w:r>
          </w:p>
        </w:tc>
        <w:tc>
          <w:tcPr>
            <w:tcW w:w="0" w:type="auto"/>
            <w:shd w:val="clear" w:color="auto" w:fill="FFFFFF"/>
          </w:tcPr>
          <w:p w14:paraId="2966A5FB"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 (ESD-PT3, 2011; Appendix1: Table 13)</w:t>
            </w:r>
          </w:p>
        </w:tc>
      </w:tr>
      <w:tr w:rsidR="00567E0E" w:rsidRPr="00ED69F1" w14:paraId="4EB2CE84" w14:textId="77777777" w:rsidTr="00261A29">
        <w:trPr>
          <w:trHeight w:val="75"/>
        </w:trPr>
        <w:tc>
          <w:tcPr>
            <w:tcW w:w="0" w:type="auto"/>
            <w:shd w:val="clear" w:color="auto" w:fill="FFFFFF"/>
          </w:tcPr>
          <w:p w14:paraId="5E4A61CA"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Mixing depth with soil, grassland</w:t>
            </w:r>
          </w:p>
        </w:tc>
        <w:tc>
          <w:tcPr>
            <w:tcW w:w="0" w:type="auto"/>
            <w:shd w:val="clear" w:color="auto" w:fill="FFFFFF"/>
          </w:tcPr>
          <w:p w14:paraId="66967339"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DEPTHgrassland</w:t>
            </w:r>
          </w:p>
        </w:tc>
        <w:tc>
          <w:tcPr>
            <w:tcW w:w="0" w:type="auto"/>
            <w:gridSpan w:val="2"/>
            <w:shd w:val="clear" w:color="auto" w:fill="FFFFFF"/>
          </w:tcPr>
          <w:p w14:paraId="34CF40AD"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0.05</w:t>
            </w:r>
          </w:p>
        </w:tc>
        <w:tc>
          <w:tcPr>
            <w:tcW w:w="0" w:type="auto"/>
            <w:shd w:val="clear" w:color="auto" w:fill="FFFFFF"/>
          </w:tcPr>
          <w:p w14:paraId="0DF10711"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[m]</w:t>
            </w:r>
          </w:p>
        </w:tc>
        <w:tc>
          <w:tcPr>
            <w:tcW w:w="0" w:type="auto"/>
            <w:shd w:val="clear" w:color="auto" w:fill="FFFFFF"/>
          </w:tcPr>
          <w:p w14:paraId="72A8BEF6"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w:t>
            </w:r>
          </w:p>
        </w:tc>
      </w:tr>
      <w:tr w:rsidR="00567E0E" w:rsidRPr="00ED69F1" w14:paraId="3E117BEA" w14:textId="77777777" w:rsidTr="00261A29">
        <w:trPr>
          <w:trHeight w:val="75"/>
        </w:trPr>
        <w:tc>
          <w:tcPr>
            <w:tcW w:w="0" w:type="auto"/>
            <w:shd w:val="clear" w:color="auto" w:fill="FFFFFF"/>
          </w:tcPr>
          <w:p w14:paraId="3CA96E34"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Mixing depth with soil, arable land</w:t>
            </w:r>
          </w:p>
        </w:tc>
        <w:tc>
          <w:tcPr>
            <w:tcW w:w="0" w:type="auto"/>
            <w:shd w:val="clear" w:color="auto" w:fill="FFFFFF"/>
          </w:tcPr>
          <w:p w14:paraId="4AF588F9" w14:textId="77777777" w:rsidR="00567E0E" w:rsidRPr="00F41A75" w:rsidRDefault="00567E0E" w:rsidP="00261A29">
            <w:pPr>
              <w:spacing w:line="260" w:lineRule="atLeast"/>
              <w:rPr>
                <w:rFonts w:eastAsia="Calibri"/>
                <w:bCs/>
                <w:sz w:val="18"/>
                <w:szCs w:val="18"/>
                <w:lang w:eastAsia="en-US" w:bidi="en-GB"/>
              </w:rPr>
            </w:pPr>
            <w:r w:rsidRPr="00DB307D">
              <w:rPr>
                <w:rFonts w:eastAsia="Calibri"/>
                <w:bCs/>
                <w:sz w:val="18"/>
                <w:szCs w:val="18"/>
                <w:lang w:eastAsia="en-US" w:bidi="en-GB"/>
              </w:rPr>
              <w:t>DEPTHarable</w:t>
            </w:r>
            <w:r w:rsidRPr="00F41A75">
              <w:rPr>
                <w:rFonts w:eastAsia="Calibri"/>
                <w:bCs/>
                <w:sz w:val="18"/>
                <w:szCs w:val="18"/>
                <w:lang w:eastAsia="en-US" w:bidi="en-GB"/>
              </w:rPr>
              <w:t>land</w:t>
            </w:r>
          </w:p>
        </w:tc>
        <w:tc>
          <w:tcPr>
            <w:tcW w:w="0" w:type="auto"/>
            <w:gridSpan w:val="2"/>
            <w:shd w:val="clear" w:color="auto" w:fill="FFFFFF"/>
          </w:tcPr>
          <w:p w14:paraId="48948841"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0.2</w:t>
            </w:r>
          </w:p>
        </w:tc>
        <w:tc>
          <w:tcPr>
            <w:tcW w:w="0" w:type="auto"/>
            <w:shd w:val="clear" w:color="auto" w:fill="FFFFFF"/>
          </w:tcPr>
          <w:p w14:paraId="053C109D"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[m]</w:t>
            </w:r>
          </w:p>
        </w:tc>
        <w:tc>
          <w:tcPr>
            <w:tcW w:w="0" w:type="auto"/>
            <w:shd w:val="clear" w:color="auto" w:fill="FFFFFF"/>
          </w:tcPr>
          <w:p w14:paraId="6C561932"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w:t>
            </w:r>
          </w:p>
        </w:tc>
      </w:tr>
      <w:tr w:rsidR="00567E0E" w:rsidRPr="00ED69F1" w14:paraId="11450DFB" w14:textId="77777777" w:rsidTr="00261A29">
        <w:trPr>
          <w:trHeight w:val="75"/>
        </w:trPr>
        <w:tc>
          <w:tcPr>
            <w:tcW w:w="0" w:type="auto"/>
            <w:shd w:val="clear" w:color="auto" w:fill="FFFFFF"/>
          </w:tcPr>
          <w:p w14:paraId="3FCB9773"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Density of wet bulk soil</w:t>
            </w:r>
          </w:p>
        </w:tc>
        <w:tc>
          <w:tcPr>
            <w:tcW w:w="0" w:type="auto"/>
            <w:shd w:val="clear" w:color="auto" w:fill="FFFFFF"/>
          </w:tcPr>
          <w:p w14:paraId="007DEFA6" w14:textId="77777777" w:rsidR="00567E0E" w:rsidRPr="00F41A75" w:rsidRDefault="00567E0E" w:rsidP="00261A29">
            <w:pPr>
              <w:spacing w:line="260" w:lineRule="atLeast"/>
              <w:rPr>
                <w:rFonts w:eastAsia="Calibri"/>
                <w:bCs/>
                <w:sz w:val="18"/>
                <w:szCs w:val="18"/>
                <w:lang w:eastAsia="en-US" w:bidi="en-GB"/>
              </w:rPr>
            </w:pPr>
            <w:r w:rsidRPr="00F41A75">
              <w:rPr>
                <w:rFonts w:eastAsia="Calibri"/>
                <w:bCs/>
                <w:sz w:val="18"/>
                <w:szCs w:val="18"/>
                <w:lang w:eastAsia="en-US" w:bidi="en-GB"/>
              </w:rPr>
              <w:t>RHOsoilwet</w:t>
            </w:r>
          </w:p>
        </w:tc>
        <w:tc>
          <w:tcPr>
            <w:tcW w:w="0" w:type="auto"/>
            <w:gridSpan w:val="2"/>
            <w:shd w:val="clear" w:color="auto" w:fill="FFFFFF"/>
          </w:tcPr>
          <w:p w14:paraId="7A5F50C0"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1700</w:t>
            </w:r>
          </w:p>
        </w:tc>
        <w:tc>
          <w:tcPr>
            <w:tcW w:w="0" w:type="auto"/>
            <w:shd w:val="clear" w:color="auto" w:fill="FFFFFF"/>
          </w:tcPr>
          <w:p w14:paraId="35A9BE5A"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[kg.m</w:t>
            </w:r>
            <w:r w:rsidRPr="00F41A75">
              <w:rPr>
                <w:rFonts w:eastAsia="Calibri"/>
                <w:bCs/>
                <w:sz w:val="18"/>
                <w:szCs w:val="18"/>
                <w:vertAlign w:val="superscript"/>
                <w:lang w:eastAsia="en-US"/>
              </w:rPr>
              <w:t>-3</w:t>
            </w:r>
            <w:r w:rsidRPr="00F41A75">
              <w:rPr>
                <w:rFonts w:eastAsia="Calibri"/>
                <w:bCs/>
                <w:sz w:val="18"/>
                <w:szCs w:val="18"/>
                <w:lang w:eastAsia="en-US"/>
              </w:rPr>
              <w:t>]</w:t>
            </w:r>
          </w:p>
        </w:tc>
        <w:tc>
          <w:tcPr>
            <w:tcW w:w="0" w:type="auto"/>
            <w:shd w:val="clear" w:color="auto" w:fill="FFFFFF"/>
          </w:tcPr>
          <w:p w14:paraId="4BF85797"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rPr>
              <w:t>D</w:t>
            </w:r>
          </w:p>
        </w:tc>
      </w:tr>
      <w:tr w:rsidR="00567E0E" w:rsidRPr="00ED69F1" w14:paraId="319064E5" w14:textId="77777777" w:rsidTr="00261A29">
        <w:trPr>
          <w:trHeight w:val="75"/>
        </w:trPr>
        <w:tc>
          <w:tcPr>
            <w:tcW w:w="0" w:type="auto"/>
            <w:gridSpan w:val="6"/>
            <w:shd w:val="clear" w:color="auto" w:fill="FFFFFF"/>
          </w:tcPr>
          <w:p w14:paraId="21360CA9" w14:textId="77777777" w:rsidR="00567E0E" w:rsidRPr="00F41A75" w:rsidRDefault="00567E0E" w:rsidP="00261A29">
            <w:pPr>
              <w:spacing w:line="260" w:lineRule="atLeast"/>
              <w:rPr>
                <w:rFonts w:eastAsia="Calibri"/>
                <w:bCs/>
                <w:sz w:val="18"/>
                <w:szCs w:val="18"/>
                <w:lang w:eastAsia="en-US"/>
              </w:rPr>
            </w:pPr>
            <w:r w:rsidRPr="00F41A75">
              <w:rPr>
                <w:rFonts w:eastAsia="Calibri"/>
                <w:bCs/>
                <w:sz w:val="18"/>
                <w:szCs w:val="18"/>
                <w:lang w:eastAsia="en-US" w:bidi="en-GB"/>
              </w:rPr>
              <w:t>Intermediate calculation</w:t>
            </w:r>
            <w:r>
              <w:rPr>
                <w:rFonts w:eastAsia="Calibri"/>
                <w:bCs/>
                <w:sz w:val="18"/>
                <w:szCs w:val="18"/>
                <w:lang w:eastAsia="en-US" w:bidi="en-GB"/>
              </w:rPr>
              <w:t>s</w:t>
            </w:r>
          </w:p>
        </w:tc>
      </w:tr>
      <w:tr w:rsidR="00567E0E" w:rsidRPr="00983578" w14:paraId="604D2431" w14:textId="77777777" w:rsidTr="00CC0F55">
        <w:trPr>
          <w:trHeight w:val="75"/>
        </w:trPr>
        <w:tc>
          <w:tcPr>
            <w:tcW w:w="2514" w:type="dxa"/>
            <w:shd w:val="clear" w:color="auto" w:fill="FFFFFF"/>
          </w:tcPr>
          <w:p w14:paraId="0B7B7332" w14:textId="77777777" w:rsidR="00567E0E" w:rsidRPr="00F41A75" w:rsidRDefault="00567E0E" w:rsidP="00261A29">
            <w:pPr>
              <w:rPr>
                <w:rStyle w:val="MSGENFONTSTYLENAMETEMPLATEROLENUMBERMSGENFONTSTYLENAMEBYROLETEXT2MSGENFONTSTYLEMODIFERSIZE9"/>
                <w:b w:val="0"/>
              </w:rPr>
            </w:pPr>
            <w:r w:rsidRPr="00F41A75">
              <w:rPr>
                <w:rStyle w:val="MSGENFONTSTYLENAMETEMPLATEROLENUMBERMSGENFONTSTYLENAMEBYROLETEXT2MSGENFONTSTYLEMODIFERSIZE9"/>
                <w:b w:val="0"/>
              </w:rPr>
              <w:t>Number of biocide applications during storage period for application on grassland</w:t>
            </w:r>
          </w:p>
        </w:tc>
        <w:tc>
          <w:tcPr>
            <w:tcW w:w="1887" w:type="dxa"/>
            <w:shd w:val="clear" w:color="auto" w:fill="FFFFFF"/>
          </w:tcPr>
          <w:p w14:paraId="19FEFC04" w14:textId="77777777" w:rsidR="00567E0E" w:rsidRPr="00F41A75" w:rsidRDefault="00567E0E" w:rsidP="00261A29">
            <w:pPr>
              <w:autoSpaceDE w:val="0"/>
              <w:autoSpaceDN w:val="0"/>
              <w:adjustRightInd w:val="0"/>
              <w:rPr>
                <w:rStyle w:val="MSGENFONTSTYLENAMETEMPLATEROLENUMBERMSGENFONTSTYLENAMEBYROLETEXT2MSGENFONTSTYLEMODIFERSIZE9"/>
                <w:b w:val="0"/>
              </w:rPr>
            </w:pPr>
            <w:r w:rsidRPr="00F41A75">
              <w:rPr>
                <w:rStyle w:val="MSGENFONTSTYLENAMETEMPLATEROLENUMBERMSGENFONTSTYLENAMEBYROLETEXT2MSGENFONTSTYLEMODIFERSIZE9"/>
                <w:b w:val="0"/>
              </w:rPr>
              <w:t>Napp-manure</w:t>
            </w:r>
            <w:r w:rsidRPr="00F41A75">
              <w:rPr>
                <w:rStyle w:val="MSGENFONTSTYLENAMETEMPLATEROLENUMBERMSGENFONTSTYLENAMEBYROLETEXT2MSGENFONTSTYLEMODIFERSIZE9"/>
                <w:b w:val="0"/>
                <w:vertAlign w:val="subscript"/>
              </w:rPr>
              <w:t>gr</w:t>
            </w:r>
          </w:p>
        </w:tc>
        <w:tc>
          <w:tcPr>
            <w:tcW w:w="2747" w:type="dxa"/>
            <w:gridSpan w:val="2"/>
            <w:shd w:val="clear" w:color="auto" w:fill="FFFFFF"/>
          </w:tcPr>
          <w:p w14:paraId="6616D76E" w14:textId="77777777" w:rsidR="00567E0E" w:rsidRPr="00F41A75" w:rsidRDefault="00567E0E" w:rsidP="00261A29">
            <w:pPr>
              <w:jc w:val="center"/>
              <w:rPr>
                <w:color w:val="000000"/>
                <w:sz w:val="18"/>
                <w:szCs w:val="18"/>
              </w:rPr>
            </w:pPr>
            <w:r w:rsidRPr="00F41A75">
              <w:rPr>
                <w:bCs/>
                <w:sz w:val="18"/>
                <w:szCs w:val="18"/>
              </w:rPr>
              <w:t>1</w:t>
            </w:r>
            <w:r w:rsidRPr="00DC207B">
              <w:rPr>
                <w:bCs/>
                <w:sz w:val="18"/>
                <w:szCs w:val="18"/>
              </w:rPr>
              <w:t>59</w:t>
            </w:r>
          </w:p>
        </w:tc>
        <w:tc>
          <w:tcPr>
            <w:tcW w:w="924" w:type="dxa"/>
            <w:shd w:val="clear" w:color="auto" w:fill="FFFFFF"/>
          </w:tcPr>
          <w:p w14:paraId="155376B9" w14:textId="77777777" w:rsidR="00567E0E" w:rsidRPr="00983578" w:rsidRDefault="00567E0E" w:rsidP="00261A29">
            <w:pPr>
              <w:rPr>
                <w:color w:val="000000"/>
                <w:sz w:val="18"/>
                <w:szCs w:val="18"/>
              </w:rPr>
            </w:pPr>
            <w:r w:rsidRPr="00983578">
              <w:rPr>
                <w:color w:val="000000"/>
                <w:sz w:val="18"/>
                <w:szCs w:val="18"/>
              </w:rPr>
              <w:t>[-]</w:t>
            </w:r>
          </w:p>
        </w:tc>
        <w:tc>
          <w:tcPr>
            <w:tcW w:w="1815" w:type="dxa"/>
            <w:shd w:val="clear" w:color="auto" w:fill="FFFFFF"/>
          </w:tcPr>
          <w:p w14:paraId="3DFE4FEE" w14:textId="77777777" w:rsidR="00567E0E" w:rsidRPr="00983578" w:rsidRDefault="00567E0E" w:rsidP="00261A29">
            <w:pPr>
              <w:rPr>
                <w:color w:val="000000"/>
                <w:sz w:val="18"/>
                <w:szCs w:val="18"/>
              </w:rPr>
            </w:pPr>
            <w:r w:rsidRPr="00983578">
              <w:rPr>
                <w:color w:val="000000"/>
                <w:sz w:val="18"/>
                <w:szCs w:val="18"/>
              </w:rPr>
              <w:t>O</w:t>
            </w:r>
          </w:p>
        </w:tc>
      </w:tr>
      <w:tr w:rsidR="00567E0E" w:rsidRPr="00983578" w14:paraId="4DA19774" w14:textId="77777777" w:rsidTr="00CC0F55">
        <w:trPr>
          <w:trHeight w:val="75"/>
        </w:trPr>
        <w:tc>
          <w:tcPr>
            <w:tcW w:w="2514" w:type="dxa"/>
            <w:shd w:val="clear" w:color="auto" w:fill="FFFFFF"/>
          </w:tcPr>
          <w:p w14:paraId="0A7257A0" w14:textId="77777777" w:rsidR="00567E0E" w:rsidRPr="00F41A75" w:rsidRDefault="00567E0E" w:rsidP="00261A29">
            <w:pPr>
              <w:rPr>
                <w:rStyle w:val="MSGENFONTSTYLENAMETEMPLATEROLENUMBERMSGENFONTSTYLENAMEBYROLETEXT2MSGENFONTSTYLEMODIFERSIZE9"/>
                <w:b w:val="0"/>
              </w:rPr>
            </w:pPr>
            <w:r w:rsidRPr="00F41A75">
              <w:rPr>
                <w:rStyle w:val="MSGENFONTSTYLENAMETEMPLATEROLENUMBERMSGENFONTSTYLENAMEBYROLETEXT2MSGENFONTSTYLEMODIFERSIZE9"/>
                <w:b w:val="0"/>
              </w:rPr>
              <w:t>Number of biocide applications during storage period for application on arable land</w:t>
            </w:r>
          </w:p>
        </w:tc>
        <w:tc>
          <w:tcPr>
            <w:tcW w:w="1887" w:type="dxa"/>
            <w:shd w:val="clear" w:color="auto" w:fill="FFFFFF"/>
          </w:tcPr>
          <w:p w14:paraId="5F985736" w14:textId="77777777" w:rsidR="00567E0E" w:rsidRPr="00F41A75" w:rsidRDefault="00567E0E" w:rsidP="00261A29">
            <w:pPr>
              <w:autoSpaceDE w:val="0"/>
              <w:autoSpaceDN w:val="0"/>
              <w:adjustRightInd w:val="0"/>
              <w:rPr>
                <w:rStyle w:val="MSGENFONTSTYLENAMETEMPLATEROLENUMBERMSGENFONTSTYLENAMEBYROLETEXT2MSGENFONTSTYLEMODIFERSIZE9"/>
                <w:b w:val="0"/>
              </w:rPr>
            </w:pPr>
            <w:r w:rsidRPr="00F41A75">
              <w:rPr>
                <w:rStyle w:val="MSGENFONTSTYLENAMETEMPLATEROLENUMBERMSGENFONTSTYLENAMEBYROLETEXT2MSGENFONTSTYLEMODIFERSIZE9"/>
                <w:b w:val="0"/>
              </w:rPr>
              <w:t>Napp-manure</w:t>
            </w:r>
            <w:r w:rsidRPr="00F41A75">
              <w:rPr>
                <w:rStyle w:val="MSGENFONTSTYLENAMETEMPLATEROLENUMBERMSGENFONTSTYLENAMEBYROLETEXT2MSGENFONTSTYLEMODIFERSIZE9"/>
                <w:b w:val="0"/>
                <w:vertAlign w:val="subscript"/>
              </w:rPr>
              <w:t>ar</w:t>
            </w:r>
          </w:p>
        </w:tc>
        <w:tc>
          <w:tcPr>
            <w:tcW w:w="2747" w:type="dxa"/>
            <w:gridSpan w:val="2"/>
            <w:shd w:val="clear" w:color="auto" w:fill="FFFFFF"/>
          </w:tcPr>
          <w:p w14:paraId="72569465" w14:textId="77777777" w:rsidR="00567E0E" w:rsidRPr="00F41A75" w:rsidRDefault="00567E0E" w:rsidP="00261A29">
            <w:pPr>
              <w:jc w:val="center"/>
              <w:rPr>
                <w:color w:val="000000"/>
                <w:sz w:val="18"/>
                <w:szCs w:val="18"/>
              </w:rPr>
            </w:pPr>
            <w:r w:rsidRPr="00DC207B">
              <w:rPr>
                <w:bCs/>
                <w:sz w:val="18"/>
                <w:szCs w:val="18"/>
              </w:rPr>
              <w:t>636</w:t>
            </w:r>
          </w:p>
        </w:tc>
        <w:tc>
          <w:tcPr>
            <w:tcW w:w="924" w:type="dxa"/>
            <w:shd w:val="clear" w:color="auto" w:fill="FFFFFF"/>
          </w:tcPr>
          <w:p w14:paraId="7E87E877" w14:textId="77777777" w:rsidR="00567E0E" w:rsidRPr="00983578" w:rsidRDefault="00567E0E" w:rsidP="00261A29">
            <w:pPr>
              <w:rPr>
                <w:color w:val="000000"/>
                <w:sz w:val="18"/>
                <w:szCs w:val="18"/>
              </w:rPr>
            </w:pPr>
            <w:r w:rsidRPr="00983578">
              <w:rPr>
                <w:color w:val="000000"/>
                <w:sz w:val="18"/>
                <w:szCs w:val="18"/>
              </w:rPr>
              <w:t>[-]</w:t>
            </w:r>
          </w:p>
        </w:tc>
        <w:tc>
          <w:tcPr>
            <w:tcW w:w="1815" w:type="dxa"/>
            <w:shd w:val="clear" w:color="auto" w:fill="FFFFFF"/>
          </w:tcPr>
          <w:p w14:paraId="3EEE0E26" w14:textId="77777777" w:rsidR="00567E0E" w:rsidRPr="00983578" w:rsidRDefault="00567E0E" w:rsidP="00261A29">
            <w:pPr>
              <w:rPr>
                <w:color w:val="000000"/>
                <w:sz w:val="18"/>
                <w:szCs w:val="18"/>
              </w:rPr>
            </w:pPr>
            <w:r w:rsidRPr="00983578">
              <w:rPr>
                <w:color w:val="000000"/>
                <w:sz w:val="18"/>
                <w:szCs w:val="18"/>
              </w:rPr>
              <w:t>O</w:t>
            </w:r>
          </w:p>
        </w:tc>
      </w:tr>
      <w:tr w:rsidR="00567E0E" w:rsidRPr="00983578" w14:paraId="78409466" w14:textId="77777777" w:rsidTr="00CC0F55">
        <w:trPr>
          <w:trHeight w:val="75"/>
        </w:trPr>
        <w:tc>
          <w:tcPr>
            <w:tcW w:w="2514" w:type="dxa"/>
            <w:shd w:val="clear" w:color="auto" w:fill="FFFFFF"/>
          </w:tcPr>
          <w:p w14:paraId="4B3C1A34" w14:textId="1CFBCCAB" w:rsidR="00567E0E" w:rsidRPr="00F41A75" w:rsidRDefault="00567E0E" w:rsidP="00261A29">
            <w:pPr>
              <w:rPr>
                <w:rStyle w:val="MSGENFONTSTYLENAMETEMPLATEROLENUMBERMSGENFONTSTYLENAMEBYROLETEXT2MSGENFONTSTYLEMODIFERSIZE9"/>
                <w:b w:val="0"/>
              </w:rPr>
            </w:pPr>
            <w:r w:rsidRPr="00F41A75">
              <w:rPr>
                <w:rStyle w:val="MSGENFONTSTYLENAMETEMPLATEROLENUMBERMSGENFONTSTYLENAMEBYROLETEXT2MSGENFONTSTYLEMODIFERSIZE9"/>
                <w:b w:val="0"/>
              </w:rPr>
              <w:t>Amount of active ingredient to be used for one application</w:t>
            </w:r>
            <w:r w:rsidR="00D426A9">
              <w:rPr>
                <w:rStyle w:val="MSGENFONTSTYLENAMETEMPLATEROLENUMBERMSGENFONTSTYLENAMEBYROLETEXT2MSGENFONTSTYLEMODIFERSIZE9"/>
                <w:b w:val="0"/>
              </w:rPr>
              <w:t xml:space="preserve"> on one animal</w:t>
            </w:r>
          </w:p>
        </w:tc>
        <w:tc>
          <w:tcPr>
            <w:tcW w:w="1887" w:type="dxa"/>
            <w:shd w:val="clear" w:color="auto" w:fill="FFFFFF"/>
          </w:tcPr>
          <w:p w14:paraId="5BC6074B" w14:textId="77777777" w:rsidR="00567E0E" w:rsidRPr="00F41A75" w:rsidRDefault="00567E0E" w:rsidP="00261A29">
            <w:pPr>
              <w:autoSpaceDE w:val="0"/>
              <w:autoSpaceDN w:val="0"/>
              <w:adjustRightInd w:val="0"/>
              <w:rPr>
                <w:rStyle w:val="MSGENFONTSTYLENAMETEMPLATEROLENUMBERMSGENFONTSTYLENAMEBYROLETEXT2MSGENFONTSTYLEMODIFERSIZE9"/>
                <w:b w:val="0"/>
              </w:rPr>
            </w:pPr>
            <w:r w:rsidRPr="00F41A75">
              <w:rPr>
                <w:rStyle w:val="MSGENFONTSTYLENAMETEMPLATEROLENUMBERMSGENFONTSTYLENAMEBYROLETEXT2MSGENFONTSTYLEMODIFERSIZE9"/>
                <w:b w:val="0"/>
              </w:rPr>
              <w:t>Qai-prescri1,i2,i3</w:t>
            </w:r>
          </w:p>
        </w:tc>
        <w:tc>
          <w:tcPr>
            <w:tcW w:w="1412" w:type="dxa"/>
            <w:shd w:val="clear" w:color="auto" w:fill="FFFFFF"/>
          </w:tcPr>
          <w:p w14:paraId="5712B03F" w14:textId="77777777" w:rsidR="00567E0E" w:rsidRPr="00F41A75" w:rsidRDefault="00567E0E" w:rsidP="00261A29">
            <w:pPr>
              <w:jc w:val="center"/>
              <w:rPr>
                <w:color w:val="000000"/>
                <w:sz w:val="18"/>
                <w:szCs w:val="18"/>
              </w:rPr>
            </w:pPr>
            <w:r>
              <w:rPr>
                <w:color w:val="000000"/>
                <w:sz w:val="18"/>
                <w:szCs w:val="18"/>
              </w:rPr>
              <w:t>1.78E-05</w:t>
            </w:r>
          </w:p>
        </w:tc>
        <w:tc>
          <w:tcPr>
            <w:tcW w:w="1335" w:type="dxa"/>
            <w:shd w:val="clear" w:color="auto" w:fill="FFFFFF"/>
          </w:tcPr>
          <w:p w14:paraId="03003F3A" w14:textId="77777777" w:rsidR="00567E0E" w:rsidRPr="00F41A75" w:rsidRDefault="00567E0E" w:rsidP="00261A29">
            <w:pPr>
              <w:jc w:val="center"/>
              <w:rPr>
                <w:color w:val="000000"/>
                <w:sz w:val="18"/>
                <w:szCs w:val="18"/>
              </w:rPr>
            </w:pPr>
            <w:r>
              <w:rPr>
                <w:color w:val="000000"/>
                <w:sz w:val="18"/>
                <w:szCs w:val="18"/>
              </w:rPr>
              <w:t>6.40E-06</w:t>
            </w:r>
          </w:p>
        </w:tc>
        <w:tc>
          <w:tcPr>
            <w:tcW w:w="924" w:type="dxa"/>
            <w:shd w:val="clear" w:color="auto" w:fill="FFFFFF"/>
          </w:tcPr>
          <w:p w14:paraId="3B863B7C" w14:textId="77777777" w:rsidR="00567E0E" w:rsidRPr="00983578" w:rsidRDefault="00567E0E" w:rsidP="00261A29">
            <w:pPr>
              <w:rPr>
                <w:color w:val="000000"/>
                <w:sz w:val="18"/>
                <w:szCs w:val="18"/>
              </w:rPr>
            </w:pPr>
            <w:r w:rsidRPr="00983578">
              <w:rPr>
                <w:color w:val="000000"/>
                <w:sz w:val="18"/>
                <w:szCs w:val="18"/>
              </w:rPr>
              <w:t>[kg]</w:t>
            </w:r>
          </w:p>
        </w:tc>
        <w:tc>
          <w:tcPr>
            <w:tcW w:w="1815" w:type="dxa"/>
            <w:shd w:val="clear" w:color="auto" w:fill="FFFFFF"/>
          </w:tcPr>
          <w:p w14:paraId="27A4CC5B" w14:textId="77777777" w:rsidR="00567E0E" w:rsidRPr="00983578" w:rsidRDefault="00567E0E" w:rsidP="00261A29">
            <w:pPr>
              <w:rPr>
                <w:color w:val="000000"/>
                <w:sz w:val="18"/>
                <w:szCs w:val="18"/>
              </w:rPr>
            </w:pPr>
            <w:r w:rsidRPr="00983578">
              <w:rPr>
                <w:color w:val="000000"/>
                <w:sz w:val="18"/>
                <w:szCs w:val="18"/>
              </w:rPr>
              <w:t>O</w:t>
            </w:r>
          </w:p>
        </w:tc>
      </w:tr>
      <w:tr w:rsidR="00567E0E" w:rsidRPr="00983578" w14:paraId="4C721CCF" w14:textId="77777777" w:rsidTr="00CC0F55">
        <w:trPr>
          <w:trHeight w:val="75"/>
        </w:trPr>
        <w:tc>
          <w:tcPr>
            <w:tcW w:w="2514" w:type="dxa"/>
            <w:shd w:val="clear" w:color="auto" w:fill="FFFFFF"/>
          </w:tcPr>
          <w:p w14:paraId="5206B884" w14:textId="77777777" w:rsidR="00567E0E" w:rsidRPr="00F41A75" w:rsidRDefault="00567E0E" w:rsidP="00261A29">
            <w:pPr>
              <w:rPr>
                <w:rStyle w:val="MSGENFONTSTYLENAMETEMPLATEROLENUMBERMSGENFONTSTYLENAMEBYROLETEXT2MSGENFONTSTYLEMODIFERSIZE9"/>
                <w:b w:val="0"/>
              </w:rPr>
            </w:pPr>
            <w:r w:rsidRPr="00F41A75">
              <w:rPr>
                <w:rStyle w:val="MSGENFONTSTYLENAMETEMPLATEROLENUMBERMSGENFONTSTYLENAMEBYROLETEXT2MSGENFONTSTYLEMODIFERSIZE9"/>
                <w:b w:val="0"/>
              </w:rPr>
              <w:lastRenderedPageBreak/>
              <w:t>Amount of active ingredient in manure or slurry after the relevant number of biocide applications for the manure application to grassland</w:t>
            </w:r>
          </w:p>
        </w:tc>
        <w:tc>
          <w:tcPr>
            <w:tcW w:w="1887" w:type="dxa"/>
            <w:shd w:val="clear" w:color="auto" w:fill="FFFFFF"/>
          </w:tcPr>
          <w:p w14:paraId="66E17299" w14:textId="77777777" w:rsidR="00567E0E" w:rsidRPr="00F41A75" w:rsidRDefault="00567E0E" w:rsidP="00261A29">
            <w:pPr>
              <w:autoSpaceDE w:val="0"/>
              <w:autoSpaceDN w:val="0"/>
              <w:adjustRightInd w:val="0"/>
              <w:rPr>
                <w:rStyle w:val="MSGENFONTSTYLENAMETEMPLATEROLENUMBERMSGENFONTSTYLENAMEBYROLETEXT2MSGENFONTSTYLEMODIFERSIZE9"/>
                <w:b w:val="0"/>
              </w:rPr>
            </w:pPr>
            <w:r w:rsidRPr="00F41A75">
              <w:rPr>
                <w:rStyle w:val="MSGENFONTSTYLENAMETEMPLATEROLENUMBERMSGENFONTSTYLENAMEBYROLETEXT2MSGENFONTSTYLEMODIFERSIZE9"/>
                <w:b w:val="0"/>
              </w:rPr>
              <w:t>Qai-grassi1,i2,i3,i4</w:t>
            </w:r>
          </w:p>
        </w:tc>
        <w:tc>
          <w:tcPr>
            <w:tcW w:w="1412" w:type="dxa"/>
            <w:shd w:val="clear" w:color="auto" w:fill="FFFFFF"/>
          </w:tcPr>
          <w:p w14:paraId="71F63ED5" w14:textId="77777777" w:rsidR="00567E0E" w:rsidRPr="00F41A75" w:rsidRDefault="00567E0E" w:rsidP="00261A29">
            <w:pPr>
              <w:jc w:val="center"/>
              <w:rPr>
                <w:color w:val="000000"/>
                <w:sz w:val="18"/>
                <w:szCs w:val="18"/>
              </w:rPr>
            </w:pPr>
            <w:r>
              <w:rPr>
                <w:color w:val="000000"/>
                <w:sz w:val="18"/>
                <w:szCs w:val="18"/>
              </w:rPr>
              <w:t>1.16E-01</w:t>
            </w:r>
          </w:p>
        </w:tc>
        <w:tc>
          <w:tcPr>
            <w:tcW w:w="1335" w:type="dxa"/>
            <w:shd w:val="clear" w:color="auto" w:fill="FFFFFF"/>
          </w:tcPr>
          <w:p w14:paraId="0ED556C3" w14:textId="77777777" w:rsidR="00567E0E" w:rsidRPr="00F41A75" w:rsidRDefault="00567E0E" w:rsidP="00261A29">
            <w:pPr>
              <w:jc w:val="center"/>
              <w:rPr>
                <w:color w:val="000000"/>
                <w:sz w:val="18"/>
                <w:szCs w:val="18"/>
              </w:rPr>
            </w:pPr>
            <w:r>
              <w:rPr>
                <w:color w:val="000000"/>
                <w:sz w:val="18"/>
                <w:szCs w:val="18"/>
              </w:rPr>
              <w:t>4.17E-02</w:t>
            </w:r>
          </w:p>
        </w:tc>
        <w:tc>
          <w:tcPr>
            <w:tcW w:w="924" w:type="dxa"/>
            <w:shd w:val="clear" w:color="auto" w:fill="FFFFFF"/>
          </w:tcPr>
          <w:p w14:paraId="296E212D" w14:textId="77777777" w:rsidR="00567E0E" w:rsidRPr="00983578" w:rsidRDefault="00567E0E" w:rsidP="00261A29">
            <w:pPr>
              <w:rPr>
                <w:color w:val="000000"/>
                <w:sz w:val="18"/>
                <w:szCs w:val="18"/>
              </w:rPr>
            </w:pPr>
            <w:r w:rsidRPr="00983578">
              <w:rPr>
                <w:color w:val="000000"/>
                <w:sz w:val="18"/>
                <w:szCs w:val="18"/>
              </w:rPr>
              <w:t>[kg]</w:t>
            </w:r>
          </w:p>
        </w:tc>
        <w:tc>
          <w:tcPr>
            <w:tcW w:w="1815" w:type="dxa"/>
            <w:shd w:val="clear" w:color="auto" w:fill="FFFFFF"/>
          </w:tcPr>
          <w:p w14:paraId="00FB86E1" w14:textId="77777777" w:rsidR="00567E0E" w:rsidRPr="00983578" w:rsidRDefault="00567E0E" w:rsidP="00261A29">
            <w:pPr>
              <w:rPr>
                <w:color w:val="000000"/>
                <w:sz w:val="18"/>
                <w:szCs w:val="18"/>
              </w:rPr>
            </w:pPr>
            <w:r w:rsidRPr="00983578">
              <w:rPr>
                <w:color w:val="000000"/>
                <w:sz w:val="18"/>
                <w:szCs w:val="18"/>
              </w:rPr>
              <w:t>O</w:t>
            </w:r>
          </w:p>
        </w:tc>
      </w:tr>
      <w:tr w:rsidR="00567E0E" w:rsidRPr="00983578" w14:paraId="17A2B7EB" w14:textId="77777777" w:rsidTr="00CC0F55">
        <w:trPr>
          <w:trHeight w:val="75"/>
        </w:trPr>
        <w:tc>
          <w:tcPr>
            <w:tcW w:w="2514" w:type="dxa"/>
            <w:shd w:val="clear" w:color="auto" w:fill="FFFFFF"/>
          </w:tcPr>
          <w:p w14:paraId="50C81E72" w14:textId="77777777" w:rsidR="00567E0E" w:rsidRPr="00F41A75" w:rsidRDefault="00567E0E" w:rsidP="00261A29">
            <w:pPr>
              <w:rPr>
                <w:rStyle w:val="MSGENFONTSTYLENAMETEMPLATEROLENUMBERMSGENFONTSTYLENAMEBYROLETEXT2MSGENFONTSTYLEMODIFERSIZE9"/>
                <w:b w:val="0"/>
              </w:rPr>
            </w:pPr>
            <w:r w:rsidRPr="00F41A75">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87" w:type="dxa"/>
            <w:shd w:val="clear" w:color="auto" w:fill="FFFFFF"/>
          </w:tcPr>
          <w:p w14:paraId="2844DA46" w14:textId="77777777" w:rsidR="00567E0E" w:rsidRPr="00F41A75" w:rsidRDefault="00567E0E" w:rsidP="00261A29">
            <w:pPr>
              <w:autoSpaceDE w:val="0"/>
              <w:autoSpaceDN w:val="0"/>
              <w:adjustRightInd w:val="0"/>
              <w:rPr>
                <w:rStyle w:val="MSGENFONTSTYLENAMETEMPLATEROLENUMBERMSGENFONTSTYLENAMEBYROLETEXT2MSGENFONTSTYLEMODIFERSIZE9"/>
                <w:b w:val="0"/>
              </w:rPr>
            </w:pPr>
            <w:r w:rsidRPr="00F41A75">
              <w:rPr>
                <w:rStyle w:val="MSGENFONTSTYLENAMETEMPLATEROLENUMBERMSGENFONTSTYLENAMEBYROLETEXT2MSGENFONTSTYLEMODIFERSIZE9"/>
                <w:b w:val="0"/>
              </w:rPr>
              <w:t>Qai-arabi1,i2,i3,i4</w:t>
            </w:r>
          </w:p>
        </w:tc>
        <w:tc>
          <w:tcPr>
            <w:tcW w:w="1412" w:type="dxa"/>
            <w:shd w:val="clear" w:color="auto" w:fill="FFFFFF"/>
          </w:tcPr>
          <w:p w14:paraId="7476879E" w14:textId="77777777" w:rsidR="00567E0E" w:rsidRPr="00F41A75" w:rsidRDefault="00567E0E" w:rsidP="00261A29">
            <w:pPr>
              <w:jc w:val="center"/>
              <w:rPr>
                <w:color w:val="000000"/>
                <w:sz w:val="18"/>
                <w:szCs w:val="18"/>
              </w:rPr>
            </w:pPr>
            <w:r>
              <w:rPr>
                <w:color w:val="000000"/>
                <w:sz w:val="18"/>
                <w:szCs w:val="18"/>
              </w:rPr>
              <w:t>4.63E-01</w:t>
            </w:r>
          </w:p>
        </w:tc>
        <w:tc>
          <w:tcPr>
            <w:tcW w:w="1335" w:type="dxa"/>
            <w:shd w:val="clear" w:color="auto" w:fill="FFFFFF"/>
          </w:tcPr>
          <w:p w14:paraId="023DB096" w14:textId="77777777" w:rsidR="00567E0E" w:rsidRPr="00F41A75" w:rsidRDefault="00567E0E" w:rsidP="00261A29">
            <w:pPr>
              <w:jc w:val="center"/>
              <w:rPr>
                <w:color w:val="000000"/>
                <w:sz w:val="18"/>
                <w:szCs w:val="18"/>
              </w:rPr>
            </w:pPr>
            <w:r>
              <w:rPr>
                <w:color w:val="000000"/>
                <w:sz w:val="18"/>
                <w:szCs w:val="18"/>
              </w:rPr>
              <w:t>1.67E-01</w:t>
            </w:r>
          </w:p>
        </w:tc>
        <w:tc>
          <w:tcPr>
            <w:tcW w:w="924" w:type="dxa"/>
            <w:shd w:val="clear" w:color="auto" w:fill="FFFFFF"/>
          </w:tcPr>
          <w:p w14:paraId="13AC2B75" w14:textId="77777777" w:rsidR="00567E0E" w:rsidRPr="00983578" w:rsidRDefault="00567E0E" w:rsidP="00261A29">
            <w:pPr>
              <w:rPr>
                <w:color w:val="000000"/>
                <w:sz w:val="18"/>
                <w:szCs w:val="18"/>
              </w:rPr>
            </w:pPr>
            <w:r w:rsidRPr="00983578">
              <w:rPr>
                <w:color w:val="000000"/>
                <w:sz w:val="18"/>
                <w:szCs w:val="18"/>
              </w:rPr>
              <w:t>[kg]</w:t>
            </w:r>
          </w:p>
        </w:tc>
        <w:tc>
          <w:tcPr>
            <w:tcW w:w="1815" w:type="dxa"/>
            <w:shd w:val="clear" w:color="auto" w:fill="FFFFFF"/>
          </w:tcPr>
          <w:p w14:paraId="4F0BED7D" w14:textId="77777777" w:rsidR="00567E0E" w:rsidRPr="00983578" w:rsidRDefault="00567E0E" w:rsidP="00261A29">
            <w:pPr>
              <w:rPr>
                <w:color w:val="000000"/>
                <w:sz w:val="18"/>
                <w:szCs w:val="18"/>
              </w:rPr>
            </w:pPr>
            <w:r w:rsidRPr="00983578">
              <w:rPr>
                <w:color w:val="000000"/>
                <w:sz w:val="18"/>
                <w:szCs w:val="18"/>
              </w:rPr>
              <w:t>O</w:t>
            </w:r>
          </w:p>
        </w:tc>
      </w:tr>
      <w:tr w:rsidR="00567E0E" w:rsidRPr="00983578" w14:paraId="30F45BBD" w14:textId="77777777" w:rsidTr="00CC0F55">
        <w:trPr>
          <w:trHeight w:val="75"/>
        </w:trPr>
        <w:tc>
          <w:tcPr>
            <w:tcW w:w="2514" w:type="dxa"/>
            <w:shd w:val="clear" w:color="auto" w:fill="FFFFFF"/>
          </w:tcPr>
          <w:p w14:paraId="58766E3D" w14:textId="77777777" w:rsidR="00567E0E" w:rsidRPr="00F41A75" w:rsidRDefault="00567E0E" w:rsidP="00261A29">
            <w:pPr>
              <w:rPr>
                <w:rStyle w:val="MSGENFONTSTYLENAMETEMPLATEROLENUMBERMSGENFONTSTYLENAMEBYROLETEXT2MSGENFONTSTYLEMODIFERSIZE9"/>
                <w:b w:val="0"/>
              </w:rPr>
            </w:pPr>
            <w:r w:rsidRPr="00F41A75">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87" w:type="dxa"/>
            <w:shd w:val="clear" w:color="auto" w:fill="FFFFFF"/>
          </w:tcPr>
          <w:p w14:paraId="526FF905" w14:textId="77777777" w:rsidR="00567E0E" w:rsidRPr="00F41A75" w:rsidRDefault="00567E0E" w:rsidP="00261A29">
            <w:pPr>
              <w:autoSpaceDE w:val="0"/>
              <w:autoSpaceDN w:val="0"/>
              <w:adjustRightInd w:val="0"/>
              <w:rPr>
                <w:rStyle w:val="MSGENFONTSTYLENAMETEMPLATEROLENUMBERMSGENFONTSTYLENAMEBYROLETEXT2MSGENFONTSTYLEMODIFERSIZE9"/>
                <w:b w:val="0"/>
              </w:rPr>
            </w:pPr>
            <w:r w:rsidRPr="00F41A75">
              <w:rPr>
                <w:rStyle w:val="MSGENFONTSTYLENAMETEMPLATEROLENUMBERMSGENFONTSTYLENAMEBYROLETEXT2MSGENFONTSTYLEMODIFERSIZE9"/>
                <w:b w:val="0"/>
              </w:rPr>
              <w:t>Qnitrog-grassi1,i4</w:t>
            </w:r>
          </w:p>
        </w:tc>
        <w:tc>
          <w:tcPr>
            <w:tcW w:w="2747" w:type="dxa"/>
            <w:gridSpan w:val="2"/>
            <w:shd w:val="clear" w:color="auto" w:fill="FFFFFF"/>
          </w:tcPr>
          <w:p w14:paraId="2CB10D02" w14:textId="77777777" w:rsidR="00567E0E" w:rsidRPr="00F41A75" w:rsidRDefault="00567E0E" w:rsidP="00261A29">
            <w:pPr>
              <w:jc w:val="center"/>
              <w:rPr>
                <w:color w:val="000000"/>
                <w:sz w:val="18"/>
                <w:szCs w:val="18"/>
              </w:rPr>
            </w:pPr>
            <w:r w:rsidRPr="00F41A75">
              <w:rPr>
                <w:color w:val="000000"/>
                <w:sz w:val="18"/>
                <w:szCs w:val="18"/>
              </w:rPr>
              <w:t>1.80E+03</w:t>
            </w:r>
          </w:p>
          <w:p w14:paraId="1F4CD78D" w14:textId="77777777" w:rsidR="00567E0E" w:rsidRPr="00F41A75" w:rsidRDefault="00567E0E" w:rsidP="00261A29">
            <w:pPr>
              <w:jc w:val="center"/>
              <w:rPr>
                <w:color w:val="000000"/>
                <w:sz w:val="18"/>
                <w:szCs w:val="18"/>
              </w:rPr>
            </w:pPr>
          </w:p>
        </w:tc>
        <w:tc>
          <w:tcPr>
            <w:tcW w:w="924" w:type="dxa"/>
            <w:shd w:val="clear" w:color="auto" w:fill="FFFFFF"/>
          </w:tcPr>
          <w:p w14:paraId="61F5FD2F" w14:textId="77777777" w:rsidR="00567E0E" w:rsidRPr="00983578" w:rsidRDefault="00567E0E" w:rsidP="00261A29">
            <w:pPr>
              <w:rPr>
                <w:color w:val="000000"/>
                <w:sz w:val="18"/>
                <w:szCs w:val="18"/>
              </w:rPr>
            </w:pPr>
            <w:r w:rsidRPr="00983578">
              <w:rPr>
                <w:color w:val="000000"/>
                <w:sz w:val="18"/>
                <w:szCs w:val="18"/>
              </w:rPr>
              <w:t>[kg]</w:t>
            </w:r>
          </w:p>
        </w:tc>
        <w:tc>
          <w:tcPr>
            <w:tcW w:w="1815" w:type="dxa"/>
            <w:shd w:val="clear" w:color="auto" w:fill="FFFFFF"/>
          </w:tcPr>
          <w:p w14:paraId="34FEE06C" w14:textId="77777777" w:rsidR="00567E0E" w:rsidRPr="00983578" w:rsidRDefault="00567E0E" w:rsidP="00261A29">
            <w:pPr>
              <w:rPr>
                <w:color w:val="000000"/>
                <w:sz w:val="18"/>
                <w:szCs w:val="18"/>
              </w:rPr>
            </w:pPr>
            <w:r w:rsidRPr="00983578">
              <w:rPr>
                <w:color w:val="000000"/>
                <w:sz w:val="18"/>
                <w:szCs w:val="18"/>
              </w:rPr>
              <w:t>O</w:t>
            </w:r>
          </w:p>
        </w:tc>
      </w:tr>
      <w:tr w:rsidR="00567E0E" w:rsidRPr="00983578" w14:paraId="1C49D68C" w14:textId="77777777" w:rsidTr="00CC0F55">
        <w:trPr>
          <w:trHeight w:val="75"/>
        </w:trPr>
        <w:tc>
          <w:tcPr>
            <w:tcW w:w="2514" w:type="dxa"/>
            <w:shd w:val="clear" w:color="auto" w:fill="FFFFFF"/>
          </w:tcPr>
          <w:p w14:paraId="29702699" w14:textId="77777777" w:rsidR="00567E0E" w:rsidRPr="00F41A75" w:rsidRDefault="00567E0E" w:rsidP="00261A29">
            <w:pPr>
              <w:rPr>
                <w:rStyle w:val="MSGENFONTSTYLENAMETEMPLATEROLENUMBERMSGENFONTSTYLENAMEBYROLETEXT2MSGENFONTSTYLEMODIFERSIZE9"/>
                <w:b w:val="0"/>
              </w:rPr>
            </w:pPr>
            <w:r w:rsidRPr="00F41A75">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87" w:type="dxa"/>
            <w:shd w:val="clear" w:color="auto" w:fill="FFFFFF"/>
          </w:tcPr>
          <w:p w14:paraId="4E857341" w14:textId="77777777" w:rsidR="00567E0E" w:rsidRPr="00F41A75" w:rsidRDefault="00567E0E" w:rsidP="00261A29">
            <w:pPr>
              <w:autoSpaceDE w:val="0"/>
              <w:autoSpaceDN w:val="0"/>
              <w:adjustRightInd w:val="0"/>
              <w:rPr>
                <w:rStyle w:val="MSGENFONTSTYLENAMETEMPLATEROLENUMBERMSGENFONTSTYLENAMEBYROLETEXT2MSGENFONTSTYLEMODIFERSIZE9"/>
                <w:b w:val="0"/>
              </w:rPr>
            </w:pPr>
            <w:r w:rsidRPr="00F41A75">
              <w:rPr>
                <w:rStyle w:val="MSGENFONTSTYLENAMETEMPLATEROLENUMBERMSGENFONTSTYLENAMEBYROLETEXT2MSGENFONTSTYLEMODIFERSIZE9"/>
                <w:b w:val="0"/>
              </w:rPr>
              <w:t>Qnitrog-arabi1,i4</w:t>
            </w:r>
          </w:p>
        </w:tc>
        <w:tc>
          <w:tcPr>
            <w:tcW w:w="2747" w:type="dxa"/>
            <w:gridSpan w:val="2"/>
            <w:shd w:val="clear" w:color="auto" w:fill="FFFFFF"/>
          </w:tcPr>
          <w:p w14:paraId="70A35CE0" w14:textId="77777777" w:rsidR="00567E0E" w:rsidRPr="00F41A75" w:rsidRDefault="00567E0E" w:rsidP="00261A29">
            <w:pPr>
              <w:jc w:val="center"/>
              <w:rPr>
                <w:color w:val="000000"/>
                <w:sz w:val="18"/>
                <w:szCs w:val="18"/>
              </w:rPr>
            </w:pPr>
            <w:r w:rsidRPr="00F41A75">
              <w:rPr>
                <w:color w:val="000000"/>
                <w:sz w:val="18"/>
                <w:szCs w:val="18"/>
              </w:rPr>
              <w:t>7.18E+03</w:t>
            </w:r>
          </w:p>
          <w:p w14:paraId="462EFC87" w14:textId="77777777" w:rsidR="00567E0E" w:rsidRPr="00F41A75" w:rsidRDefault="00567E0E" w:rsidP="00261A29">
            <w:pPr>
              <w:jc w:val="center"/>
              <w:rPr>
                <w:color w:val="000000"/>
                <w:sz w:val="18"/>
                <w:szCs w:val="18"/>
              </w:rPr>
            </w:pPr>
          </w:p>
        </w:tc>
        <w:tc>
          <w:tcPr>
            <w:tcW w:w="924" w:type="dxa"/>
            <w:shd w:val="clear" w:color="auto" w:fill="FFFFFF"/>
          </w:tcPr>
          <w:p w14:paraId="139AAA53" w14:textId="77777777" w:rsidR="00567E0E" w:rsidRPr="00983578" w:rsidRDefault="00567E0E" w:rsidP="00261A29">
            <w:pPr>
              <w:rPr>
                <w:color w:val="000000"/>
                <w:sz w:val="18"/>
                <w:szCs w:val="18"/>
              </w:rPr>
            </w:pPr>
            <w:r w:rsidRPr="00983578">
              <w:rPr>
                <w:color w:val="000000"/>
                <w:sz w:val="18"/>
                <w:szCs w:val="18"/>
              </w:rPr>
              <w:t>[kg]</w:t>
            </w:r>
          </w:p>
        </w:tc>
        <w:tc>
          <w:tcPr>
            <w:tcW w:w="1815" w:type="dxa"/>
            <w:shd w:val="clear" w:color="auto" w:fill="FFFFFF"/>
          </w:tcPr>
          <w:p w14:paraId="2F84FF7B" w14:textId="77777777" w:rsidR="00567E0E" w:rsidRPr="00983578" w:rsidRDefault="00567E0E" w:rsidP="00261A29">
            <w:pPr>
              <w:rPr>
                <w:color w:val="000000"/>
                <w:sz w:val="18"/>
                <w:szCs w:val="18"/>
              </w:rPr>
            </w:pPr>
            <w:r w:rsidRPr="00983578">
              <w:rPr>
                <w:color w:val="000000"/>
                <w:sz w:val="18"/>
                <w:szCs w:val="18"/>
              </w:rPr>
              <w:t>O</w:t>
            </w:r>
          </w:p>
        </w:tc>
      </w:tr>
    </w:tbl>
    <w:p w14:paraId="57B86990" w14:textId="77777777" w:rsidR="00567E0E" w:rsidRDefault="00567E0E" w:rsidP="00567E0E">
      <w:pPr>
        <w:spacing w:line="260" w:lineRule="atLeast"/>
        <w:rPr>
          <w:rFonts w:eastAsia="Calibri"/>
          <w:b/>
          <w:bCs/>
          <w:lang w:eastAsia="en-US"/>
        </w:rPr>
      </w:pPr>
    </w:p>
    <w:tbl>
      <w:tblPr>
        <w:tblW w:w="5000" w:type="pct"/>
        <w:tblInd w:w="108" w:type="dxa"/>
        <w:tblLayout w:type="fixed"/>
        <w:tblLook w:val="0000" w:firstRow="0" w:lastRow="0" w:firstColumn="0" w:lastColumn="0" w:noHBand="0" w:noVBand="0"/>
      </w:tblPr>
      <w:tblGrid>
        <w:gridCol w:w="881"/>
        <w:gridCol w:w="1989"/>
        <w:gridCol w:w="1839"/>
        <w:gridCol w:w="2131"/>
        <w:gridCol w:w="2363"/>
      </w:tblGrid>
      <w:tr w:rsidR="00567E0E" w:rsidRPr="0088162B" w14:paraId="6F99CC71" w14:textId="77777777" w:rsidTr="008E1CA1">
        <w:trPr>
          <w:cantSplit/>
          <w:tblHeader/>
        </w:trPr>
        <w:tc>
          <w:tcPr>
            <w:tcW w:w="9203" w:type="dxa"/>
            <w:gridSpan w:val="5"/>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58B695B3" w14:textId="77777777" w:rsidR="00567E0E" w:rsidRPr="0088162B" w:rsidRDefault="00567E0E" w:rsidP="00261A29">
            <w:pPr>
              <w:suppressAutoHyphens w:val="0"/>
              <w:spacing w:before="60" w:after="60" w:line="260" w:lineRule="atLeast"/>
              <w:rPr>
                <w:rFonts w:eastAsia="Calibri" w:cs="Times New Roman"/>
                <w:b/>
                <w:color w:val="000000"/>
                <w:sz w:val="18"/>
                <w:szCs w:val="18"/>
                <w:lang w:eastAsia="en-GB"/>
              </w:rPr>
            </w:pPr>
            <w:r w:rsidRPr="0088162B">
              <w:rPr>
                <w:rFonts w:eastAsia="Calibri" w:cs="Times New Roman"/>
                <w:b/>
                <w:sz w:val="18"/>
                <w:szCs w:val="18"/>
                <w:lang w:eastAsia="en-US"/>
              </w:rPr>
              <w:t>Resulting local emission to relevant environmental compartments</w:t>
            </w:r>
          </w:p>
        </w:tc>
      </w:tr>
      <w:tr w:rsidR="00567E0E" w:rsidRPr="0088162B" w14:paraId="09D300B2" w14:textId="77777777" w:rsidTr="008E1CA1">
        <w:trPr>
          <w:cantSplit/>
          <w:tblHeader/>
        </w:trPr>
        <w:tc>
          <w:tcPr>
            <w:tcW w:w="2870" w:type="dxa"/>
            <w:gridSpan w:val="2"/>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7A44F1C6" w14:textId="77777777" w:rsidR="00567E0E" w:rsidRPr="0088162B" w:rsidRDefault="00567E0E" w:rsidP="00261A29">
            <w:pPr>
              <w:suppressAutoHyphens w:val="0"/>
              <w:spacing w:before="60" w:after="60" w:line="260" w:lineRule="atLeast"/>
              <w:rPr>
                <w:rFonts w:eastAsia="Calibri" w:cs="Times New Roman"/>
                <w:b/>
                <w:color w:val="000000"/>
                <w:sz w:val="18"/>
                <w:szCs w:val="18"/>
                <w:lang w:eastAsia="en-GB"/>
              </w:rPr>
            </w:pPr>
            <w:r w:rsidRPr="0088162B">
              <w:rPr>
                <w:rFonts w:eastAsia="Calibri" w:cs="Times New Roman"/>
                <w:b/>
                <w:color w:val="000000"/>
                <w:sz w:val="18"/>
                <w:szCs w:val="18"/>
                <w:lang w:eastAsia="en-GB"/>
              </w:rPr>
              <w:t>Compartment</w:t>
            </w:r>
          </w:p>
        </w:tc>
        <w:tc>
          <w:tcPr>
            <w:tcW w:w="3970" w:type="dxa"/>
            <w:gridSpan w:val="2"/>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FC3A55" w14:textId="77777777" w:rsidR="00567E0E" w:rsidRPr="0088162B" w:rsidRDefault="00567E0E" w:rsidP="00261A29">
            <w:pPr>
              <w:suppressAutoHyphens w:val="0"/>
              <w:spacing w:before="60" w:after="60" w:line="260" w:lineRule="atLeast"/>
              <w:jc w:val="center"/>
              <w:rPr>
                <w:rFonts w:eastAsia="Calibri" w:cs="Times New Roman"/>
                <w:b/>
                <w:color w:val="000000"/>
                <w:sz w:val="18"/>
                <w:szCs w:val="18"/>
                <w:lang w:eastAsia="en-GB"/>
              </w:rPr>
            </w:pPr>
            <w:r w:rsidRPr="0088162B">
              <w:rPr>
                <w:rFonts w:eastAsia="Calibri" w:cs="Times New Roman"/>
                <w:b/>
                <w:color w:val="000000"/>
                <w:sz w:val="18"/>
                <w:szCs w:val="18"/>
                <w:lang w:eastAsia="en-GB"/>
              </w:rPr>
              <w:t>Local emission (Elocal</w:t>
            </w:r>
            <w:r w:rsidRPr="0088162B">
              <w:rPr>
                <w:rFonts w:eastAsia="Calibri" w:cs="Times New Roman"/>
                <w:b/>
                <w:color w:val="000000"/>
                <w:sz w:val="18"/>
                <w:szCs w:val="18"/>
                <w:vertAlign w:val="subscript"/>
                <w:lang w:eastAsia="en-GB"/>
              </w:rPr>
              <w:t>compartment</w:t>
            </w:r>
            <w:r w:rsidRPr="0088162B">
              <w:rPr>
                <w:rFonts w:eastAsia="Calibri" w:cs="Times New Roman"/>
                <w:b/>
                <w:color w:val="000000"/>
                <w:sz w:val="18"/>
                <w:szCs w:val="18"/>
                <w:lang w:eastAsia="en-GB"/>
              </w:rPr>
              <w:t>)</w:t>
            </w:r>
          </w:p>
        </w:tc>
        <w:tc>
          <w:tcPr>
            <w:tcW w:w="2363"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569D08" w14:textId="77777777" w:rsidR="00567E0E" w:rsidRPr="0088162B" w:rsidRDefault="00567E0E" w:rsidP="00261A29">
            <w:pPr>
              <w:suppressAutoHyphens w:val="0"/>
              <w:spacing w:before="60" w:after="60" w:line="260" w:lineRule="atLeast"/>
              <w:rPr>
                <w:rFonts w:eastAsia="Calibri" w:cs="Times New Roman"/>
                <w:b/>
                <w:color w:val="000000"/>
                <w:sz w:val="18"/>
                <w:szCs w:val="18"/>
                <w:lang w:eastAsia="en-GB"/>
              </w:rPr>
            </w:pPr>
            <w:r w:rsidRPr="0088162B">
              <w:rPr>
                <w:rFonts w:eastAsia="Calibri" w:cs="Times New Roman"/>
                <w:b/>
                <w:color w:val="000000"/>
                <w:sz w:val="18"/>
                <w:szCs w:val="18"/>
                <w:lang w:eastAsia="en-GB"/>
              </w:rPr>
              <w:t>Remarks</w:t>
            </w:r>
          </w:p>
        </w:tc>
      </w:tr>
      <w:tr w:rsidR="00567E0E" w:rsidRPr="0088162B" w14:paraId="4851EA1E" w14:textId="77777777" w:rsidTr="008E1CA1">
        <w:trPr>
          <w:cantSplit/>
          <w:tblHeader/>
        </w:trPr>
        <w:tc>
          <w:tcPr>
            <w:tcW w:w="2870" w:type="dxa"/>
            <w:gridSpan w:val="2"/>
            <w:vMerge/>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ECE5665" w14:textId="77777777" w:rsidR="00567E0E" w:rsidRPr="0088162B" w:rsidRDefault="00567E0E" w:rsidP="00261A29">
            <w:pPr>
              <w:suppressAutoHyphens w:val="0"/>
              <w:spacing w:before="60" w:after="60" w:line="260" w:lineRule="atLeast"/>
              <w:rPr>
                <w:rFonts w:eastAsia="Calibri" w:cs="Times New Roman"/>
                <w:b/>
                <w:color w:val="000000"/>
                <w:sz w:val="18"/>
                <w:szCs w:val="18"/>
                <w:lang w:eastAsia="en-GB"/>
              </w:rPr>
            </w:pPr>
          </w:p>
        </w:tc>
        <w:tc>
          <w:tcPr>
            <w:tcW w:w="1839"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D56790" w14:textId="77777777" w:rsidR="00567E0E" w:rsidRPr="0088162B" w:rsidRDefault="00567E0E" w:rsidP="00261A29">
            <w:pPr>
              <w:suppressAutoHyphens w:val="0"/>
              <w:spacing w:before="60" w:after="60" w:line="260" w:lineRule="atLeast"/>
              <w:jc w:val="center"/>
              <w:rPr>
                <w:rFonts w:eastAsia="Calibri" w:cs="Times New Roman"/>
                <w:b/>
                <w:color w:val="000000"/>
                <w:sz w:val="18"/>
                <w:szCs w:val="18"/>
                <w:lang w:eastAsia="en-GB"/>
              </w:rPr>
            </w:pPr>
            <w:r>
              <w:rPr>
                <w:rFonts w:eastAsia="Calibri" w:cs="Times New Roman"/>
                <w:b/>
                <w:color w:val="000000"/>
                <w:sz w:val="18"/>
                <w:szCs w:val="18"/>
                <w:lang w:eastAsia="en-GB"/>
              </w:rPr>
              <w:t>Iodine</w:t>
            </w:r>
          </w:p>
        </w:tc>
        <w:tc>
          <w:tcPr>
            <w:tcW w:w="2131" w:type="dxa"/>
            <w:tcBorders>
              <w:top w:val="single" w:sz="4" w:space="0" w:color="000000"/>
              <w:left w:val="nil"/>
              <w:bottom w:val="single" w:sz="4" w:space="0" w:color="000000"/>
              <w:right w:val="single" w:sz="4" w:space="0" w:color="000000"/>
            </w:tcBorders>
            <w:shd w:val="clear" w:color="auto" w:fill="auto"/>
            <w:vAlign w:val="center"/>
          </w:tcPr>
          <w:p w14:paraId="31F2D75B" w14:textId="77777777" w:rsidR="00567E0E" w:rsidRPr="0088162B" w:rsidRDefault="00567E0E" w:rsidP="00261A29">
            <w:pPr>
              <w:suppressAutoHyphens w:val="0"/>
              <w:spacing w:before="60" w:after="60" w:line="260" w:lineRule="atLeast"/>
              <w:jc w:val="center"/>
              <w:rPr>
                <w:rFonts w:eastAsia="Calibri" w:cs="Times New Roman"/>
                <w:b/>
                <w:color w:val="000000"/>
                <w:sz w:val="18"/>
                <w:szCs w:val="18"/>
                <w:lang w:eastAsia="en-GB"/>
              </w:rPr>
            </w:pPr>
            <w:r w:rsidRPr="00F41A75">
              <w:rPr>
                <w:rFonts w:eastAsia="Calibri"/>
                <w:b/>
                <w:bCs/>
                <w:sz w:val="18"/>
                <w:szCs w:val="18"/>
                <w:lang w:eastAsia="en-US"/>
              </w:rPr>
              <w:t>L(+) Lactic acid</w:t>
            </w:r>
          </w:p>
        </w:tc>
        <w:tc>
          <w:tcPr>
            <w:tcW w:w="2363"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3C81F1" w14:textId="77777777" w:rsidR="00567E0E" w:rsidRPr="0088162B" w:rsidRDefault="00567E0E" w:rsidP="00261A29">
            <w:pPr>
              <w:suppressAutoHyphens w:val="0"/>
              <w:spacing w:before="60" w:after="60" w:line="260" w:lineRule="atLeast"/>
              <w:rPr>
                <w:rFonts w:eastAsia="Calibri" w:cs="Times New Roman"/>
                <w:b/>
                <w:color w:val="000000"/>
                <w:sz w:val="18"/>
                <w:szCs w:val="18"/>
                <w:lang w:eastAsia="en-GB"/>
              </w:rPr>
            </w:pPr>
          </w:p>
        </w:tc>
      </w:tr>
      <w:tr w:rsidR="008E1CA1" w:rsidRPr="0088162B" w14:paraId="2CE6D074" w14:textId="77777777" w:rsidTr="004B13E4">
        <w:trPr>
          <w:cantSplit/>
        </w:trPr>
        <w:tc>
          <w:tcPr>
            <w:tcW w:w="2870" w:type="dxa"/>
            <w:gridSpan w:val="2"/>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98F6C80" w14:textId="77777777" w:rsidR="008E1CA1" w:rsidRPr="0088162B" w:rsidRDefault="008E1CA1" w:rsidP="008E1CA1">
            <w:pPr>
              <w:suppressAutoHyphens w:val="0"/>
              <w:spacing w:before="60" w:after="60"/>
              <w:rPr>
                <w:rFonts w:cs="Times New Roman"/>
                <w:color w:val="000000"/>
                <w:sz w:val="18"/>
                <w:szCs w:val="18"/>
                <w:lang w:eastAsia="en-GB"/>
              </w:rPr>
            </w:pPr>
            <w:r w:rsidRPr="0088162B">
              <w:rPr>
                <w:rFonts w:cs="Times New Roman"/>
                <w:color w:val="000000"/>
                <w:sz w:val="18"/>
                <w:szCs w:val="18"/>
                <w:lang w:eastAsia="en-GB"/>
              </w:rPr>
              <w:t>STP</w:t>
            </w:r>
          </w:p>
        </w:tc>
        <w:tc>
          <w:tcPr>
            <w:tcW w:w="183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bottom"/>
          </w:tcPr>
          <w:p w14:paraId="5E4217AE" w14:textId="64A200C7" w:rsidR="008E1CA1" w:rsidRPr="0088162B" w:rsidRDefault="008E1CA1" w:rsidP="008E1CA1">
            <w:pPr>
              <w:suppressAutoHyphens w:val="0"/>
              <w:spacing w:before="60" w:after="60"/>
              <w:jc w:val="center"/>
              <w:rPr>
                <w:rFonts w:cs="Times New Roman"/>
                <w:color w:val="000000"/>
                <w:sz w:val="18"/>
                <w:szCs w:val="18"/>
                <w:lang w:eastAsia="en-GB"/>
              </w:rPr>
            </w:pPr>
            <w:r w:rsidRPr="004B13E4">
              <w:rPr>
                <w:rFonts w:cs="Times New Roman"/>
                <w:color w:val="000000"/>
                <w:sz w:val="18"/>
                <w:szCs w:val="18"/>
                <w:lang w:eastAsia="en-GB"/>
              </w:rPr>
              <w:t>2.19E-03</w:t>
            </w:r>
          </w:p>
        </w:tc>
        <w:tc>
          <w:tcPr>
            <w:tcW w:w="2131" w:type="dxa"/>
            <w:tcBorders>
              <w:top w:val="nil"/>
              <w:left w:val="nil"/>
              <w:bottom w:val="single" w:sz="4" w:space="0" w:color="auto"/>
              <w:right w:val="single" w:sz="4" w:space="0" w:color="000000"/>
            </w:tcBorders>
            <w:shd w:val="clear" w:color="auto" w:fill="auto"/>
            <w:vAlign w:val="bottom"/>
          </w:tcPr>
          <w:p w14:paraId="28935C5B" w14:textId="5AA23A5F" w:rsidR="008E1CA1" w:rsidRPr="0088162B" w:rsidRDefault="008E1CA1" w:rsidP="008E1CA1">
            <w:pPr>
              <w:suppressAutoHyphens w:val="0"/>
              <w:spacing w:before="60" w:after="60"/>
              <w:jc w:val="center"/>
              <w:rPr>
                <w:rFonts w:cs="Times New Roman"/>
                <w:color w:val="000000"/>
                <w:sz w:val="18"/>
                <w:szCs w:val="18"/>
                <w:lang w:eastAsia="en-GB"/>
              </w:rPr>
            </w:pPr>
            <w:r w:rsidRPr="004B13E4">
              <w:rPr>
                <w:rFonts w:cs="Times New Roman"/>
                <w:color w:val="000000"/>
                <w:sz w:val="18"/>
                <w:szCs w:val="18"/>
                <w:lang w:eastAsia="en-GB"/>
              </w:rPr>
              <w:t>7.89E-04</w:t>
            </w:r>
          </w:p>
        </w:tc>
        <w:tc>
          <w:tcPr>
            <w:tcW w:w="2363"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84AE959" w14:textId="77777777" w:rsidR="008E1CA1" w:rsidRPr="0088162B" w:rsidRDefault="008E1CA1" w:rsidP="008E1CA1">
            <w:pPr>
              <w:suppressAutoHyphens w:val="0"/>
              <w:spacing w:before="60" w:after="60"/>
              <w:rPr>
                <w:rFonts w:cs="Times New Roman"/>
                <w:color w:val="000000"/>
                <w:sz w:val="18"/>
                <w:szCs w:val="18"/>
                <w:lang w:eastAsia="en-GB"/>
              </w:rPr>
            </w:pPr>
            <w:r w:rsidRPr="00F41A75">
              <w:rPr>
                <w:rFonts w:eastAsia="Calibri"/>
                <w:bCs/>
                <w:sz w:val="18"/>
                <w:szCs w:val="18"/>
                <w:lang w:eastAsia="en-US"/>
              </w:rPr>
              <w:t>[kg.d</w:t>
            </w:r>
            <w:r w:rsidRPr="00F41A75">
              <w:rPr>
                <w:rFonts w:eastAsia="Calibri"/>
                <w:bCs/>
                <w:sz w:val="18"/>
                <w:szCs w:val="18"/>
                <w:vertAlign w:val="superscript"/>
                <w:lang w:eastAsia="en-US"/>
              </w:rPr>
              <w:t>-1</w:t>
            </w:r>
            <w:r w:rsidRPr="00F41A75">
              <w:rPr>
                <w:rFonts w:eastAsia="Calibri"/>
                <w:bCs/>
                <w:sz w:val="18"/>
                <w:szCs w:val="18"/>
                <w:lang w:eastAsia="en-US"/>
              </w:rPr>
              <w:t>]</w:t>
            </w:r>
          </w:p>
        </w:tc>
      </w:tr>
      <w:tr w:rsidR="00154D1F" w:rsidRPr="0088162B" w14:paraId="58D041D5" w14:textId="77777777" w:rsidTr="008E1CA1">
        <w:trPr>
          <w:cantSplit/>
        </w:trPr>
        <w:tc>
          <w:tcPr>
            <w:tcW w:w="9203" w:type="dxa"/>
            <w:gridSpan w:val="5"/>
            <w:tcBorders>
              <w:top w:val="nil"/>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D62F7FB" w14:textId="505727C6" w:rsidR="00154D1F" w:rsidRPr="00F41A75" w:rsidRDefault="00A0176D" w:rsidP="00261A29">
            <w:pPr>
              <w:suppressAutoHyphens w:val="0"/>
              <w:spacing w:before="60" w:after="60"/>
              <w:rPr>
                <w:rFonts w:eastAsia="Calibri"/>
                <w:bCs/>
                <w:sz w:val="18"/>
                <w:szCs w:val="18"/>
                <w:lang w:eastAsia="en-US"/>
              </w:rPr>
            </w:pPr>
            <w:r>
              <w:rPr>
                <w:rFonts w:cs="Times New Roman"/>
                <w:color w:val="000000"/>
                <w:sz w:val="18"/>
                <w:szCs w:val="18"/>
                <w:lang w:eastAsia="en-GB"/>
              </w:rPr>
              <w:t xml:space="preserve">Intermediate PECsoil calculations </w:t>
            </w:r>
          </w:p>
        </w:tc>
      </w:tr>
      <w:tr w:rsidR="00567E0E" w:rsidRPr="0088162B" w14:paraId="21525B47" w14:textId="77777777" w:rsidTr="008E1CA1">
        <w:trPr>
          <w:cantSplit/>
          <w:trHeight w:val="531"/>
        </w:trPr>
        <w:tc>
          <w:tcPr>
            <w:tcW w:w="881" w:type="dxa"/>
            <w:vMerge w:val="restart"/>
            <w:tcBorders>
              <w:top w:val="single" w:sz="4" w:space="0" w:color="000000"/>
              <w:left w:val="single" w:sz="4" w:space="0" w:color="000000"/>
              <w:right w:val="single" w:sz="4" w:space="0" w:color="auto"/>
            </w:tcBorders>
            <w:shd w:val="clear" w:color="auto" w:fill="auto"/>
            <w:tcMar>
              <w:top w:w="40" w:type="dxa"/>
              <w:left w:w="40" w:type="dxa"/>
              <w:bottom w:w="40" w:type="dxa"/>
              <w:right w:w="40" w:type="dxa"/>
            </w:tcMar>
            <w:vAlign w:val="center"/>
          </w:tcPr>
          <w:p w14:paraId="2DD7B2CE" w14:textId="77777777" w:rsidR="00567E0E" w:rsidRPr="0088162B" w:rsidRDefault="00567E0E" w:rsidP="00261A29">
            <w:pPr>
              <w:suppressAutoHyphens w:val="0"/>
              <w:spacing w:before="60" w:after="60"/>
              <w:rPr>
                <w:rFonts w:cs="Times New Roman"/>
                <w:color w:val="000000"/>
                <w:sz w:val="18"/>
                <w:szCs w:val="18"/>
                <w:lang w:eastAsia="en-GB"/>
              </w:rPr>
            </w:pPr>
            <w:r w:rsidRPr="0088162B">
              <w:rPr>
                <w:rFonts w:cs="Times New Roman"/>
                <w:color w:val="000000"/>
                <w:sz w:val="18"/>
                <w:szCs w:val="18"/>
                <w:lang w:eastAsia="en-GB"/>
              </w:rPr>
              <w:t>Soil</w:t>
            </w:r>
          </w:p>
        </w:tc>
        <w:tc>
          <w:tcPr>
            <w:tcW w:w="1989" w:type="dxa"/>
            <w:vMerge w:val="restart"/>
            <w:tcBorders>
              <w:top w:val="single" w:sz="4" w:space="0" w:color="auto"/>
              <w:left w:val="single" w:sz="4" w:space="0" w:color="auto"/>
              <w:right w:val="single" w:sz="4" w:space="0" w:color="auto"/>
            </w:tcBorders>
            <w:shd w:val="clear" w:color="auto" w:fill="auto"/>
            <w:vAlign w:val="center"/>
          </w:tcPr>
          <w:p w14:paraId="46F3594F" w14:textId="77777777" w:rsidR="00567E0E" w:rsidRPr="0088162B" w:rsidRDefault="00567E0E" w:rsidP="00261A29">
            <w:pPr>
              <w:suppressAutoHyphens w:val="0"/>
              <w:spacing w:before="60" w:after="60"/>
              <w:rPr>
                <w:rFonts w:cs="Times New Roman"/>
                <w:color w:val="000000"/>
                <w:sz w:val="18"/>
                <w:szCs w:val="18"/>
                <w:lang w:eastAsia="en-GB"/>
              </w:rPr>
            </w:pPr>
            <w:r>
              <w:rPr>
                <w:rFonts w:cs="Times New Roman"/>
                <w:color w:val="000000"/>
                <w:sz w:val="18"/>
                <w:szCs w:val="18"/>
                <w:lang w:eastAsia="en-GB"/>
              </w:rPr>
              <w:t>Grassland</w:t>
            </w:r>
          </w:p>
        </w:tc>
        <w:tc>
          <w:tcPr>
            <w:tcW w:w="1839" w:type="dxa"/>
            <w:tcBorders>
              <w:top w:val="single" w:sz="4" w:space="0" w:color="000000"/>
              <w:left w:val="single" w:sz="4" w:space="0" w:color="auto"/>
              <w:bottom w:val="single" w:sz="4" w:space="0" w:color="000000"/>
              <w:right w:val="single" w:sz="4" w:space="0" w:color="auto"/>
            </w:tcBorders>
            <w:shd w:val="clear" w:color="auto" w:fill="auto"/>
            <w:tcMar>
              <w:top w:w="40" w:type="dxa"/>
              <w:left w:w="40" w:type="dxa"/>
              <w:bottom w:w="40" w:type="dxa"/>
              <w:right w:w="40" w:type="dxa"/>
            </w:tcMar>
            <w:vAlign w:val="center"/>
          </w:tcPr>
          <w:p w14:paraId="00B608B0" w14:textId="77777777" w:rsidR="00567E0E" w:rsidRPr="0088162B" w:rsidRDefault="00567E0E" w:rsidP="00261A29">
            <w:pPr>
              <w:suppressAutoHyphens w:val="0"/>
              <w:spacing w:before="60" w:after="60"/>
              <w:jc w:val="center"/>
              <w:rPr>
                <w:rFonts w:cs="Times New Roman"/>
                <w:color w:val="000000"/>
                <w:sz w:val="18"/>
                <w:szCs w:val="18"/>
                <w:lang w:eastAsia="en-GB"/>
              </w:rPr>
            </w:pPr>
            <w:r>
              <w:rPr>
                <w:rFonts w:cs="Times New Roman"/>
                <w:color w:val="000000"/>
                <w:sz w:val="18"/>
                <w:szCs w:val="18"/>
                <w:lang w:eastAsia="en-GB"/>
              </w:rPr>
              <w:t>3.22E-03</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2780B5F" w14:textId="5DFDD835" w:rsidR="00567E0E" w:rsidRPr="0088162B" w:rsidRDefault="00567E0E" w:rsidP="006552D7">
            <w:pPr>
              <w:suppressAutoHyphens w:val="0"/>
              <w:spacing w:before="60" w:after="60"/>
              <w:jc w:val="center"/>
              <w:rPr>
                <w:rFonts w:cs="Times New Roman"/>
                <w:color w:val="000000"/>
                <w:sz w:val="18"/>
                <w:szCs w:val="18"/>
                <w:lang w:eastAsia="en-GB"/>
              </w:rPr>
            </w:pPr>
            <w:r>
              <w:rPr>
                <w:rFonts w:cs="Times New Roman"/>
                <w:color w:val="000000"/>
                <w:sz w:val="18"/>
                <w:szCs w:val="18"/>
                <w:lang w:eastAsia="en-GB"/>
              </w:rPr>
              <w:t>1.16E-03</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25927A3" w14:textId="77777777" w:rsidR="00567E0E" w:rsidRPr="0088162B" w:rsidRDefault="00567E0E" w:rsidP="00261A29">
            <w:pPr>
              <w:suppressAutoHyphens w:val="0"/>
              <w:spacing w:before="60" w:after="60"/>
              <w:rPr>
                <w:rFonts w:cs="Times New Roman"/>
                <w:color w:val="000000"/>
                <w:sz w:val="18"/>
                <w:szCs w:val="18"/>
                <w:lang w:eastAsia="en-GB"/>
              </w:rPr>
            </w:pPr>
            <w:r w:rsidRPr="00983578">
              <w:rPr>
                <w:color w:val="000000"/>
                <w:sz w:val="18"/>
                <w:szCs w:val="18"/>
              </w:rPr>
              <w:t>[mg.kg</w:t>
            </w:r>
            <w:r w:rsidRPr="00983578">
              <w:rPr>
                <w:color w:val="000000"/>
                <w:sz w:val="18"/>
                <w:szCs w:val="18"/>
                <w:vertAlign w:val="superscript"/>
              </w:rPr>
              <w:t>-1</w:t>
            </w:r>
            <w:r w:rsidRPr="00983578">
              <w:rPr>
                <w:color w:val="000000"/>
                <w:sz w:val="18"/>
                <w:szCs w:val="18"/>
                <w:vertAlign w:val="subscript"/>
              </w:rPr>
              <w:t>wwt</w:t>
            </w:r>
            <w:r w:rsidRPr="00983578">
              <w:rPr>
                <w:color w:val="000000"/>
                <w:sz w:val="18"/>
                <w:szCs w:val="18"/>
              </w:rPr>
              <w:t>]</w:t>
            </w:r>
            <w:r w:rsidRPr="0088162B">
              <w:rPr>
                <w:rFonts w:cs="Times New Roman"/>
                <w:color w:val="000000"/>
                <w:sz w:val="18"/>
                <w:szCs w:val="18"/>
                <w:lang w:eastAsia="en-GB"/>
              </w:rPr>
              <w:t xml:space="preserve"> (after one manure application)</w:t>
            </w:r>
          </w:p>
        </w:tc>
      </w:tr>
      <w:tr w:rsidR="00567E0E" w:rsidRPr="0088162B" w14:paraId="2D79ACDD" w14:textId="77777777" w:rsidTr="008E1CA1">
        <w:trPr>
          <w:cantSplit/>
          <w:trHeight w:val="535"/>
        </w:trPr>
        <w:tc>
          <w:tcPr>
            <w:tcW w:w="881" w:type="dxa"/>
            <w:vMerge/>
            <w:tcBorders>
              <w:left w:val="single" w:sz="4" w:space="0" w:color="000000"/>
              <w:right w:val="single" w:sz="4" w:space="0" w:color="auto"/>
            </w:tcBorders>
            <w:shd w:val="clear" w:color="auto" w:fill="auto"/>
            <w:tcMar>
              <w:top w:w="40" w:type="dxa"/>
              <w:left w:w="40" w:type="dxa"/>
              <w:bottom w:w="40" w:type="dxa"/>
              <w:right w:w="40" w:type="dxa"/>
            </w:tcMar>
            <w:vAlign w:val="center"/>
          </w:tcPr>
          <w:p w14:paraId="6F847C12" w14:textId="77777777" w:rsidR="00567E0E" w:rsidRPr="0088162B" w:rsidRDefault="00567E0E" w:rsidP="00261A29">
            <w:pPr>
              <w:suppressAutoHyphens w:val="0"/>
              <w:spacing w:before="60" w:after="60"/>
              <w:rPr>
                <w:rFonts w:cs="Times New Roman"/>
                <w:color w:val="000000"/>
                <w:sz w:val="18"/>
                <w:szCs w:val="18"/>
                <w:lang w:eastAsia="en-GB"/>
              </w:rPr>
            </w:pPr>
          </w:p>
        </w:tc>
        <w:tc>
          <w:tcPr>
            <w:tcW w:w="1989" w:type="dxa"/>
            <w:vMerge/>
            <w:tcBorders>
              <w:left w:val="single" w:sz="4" w:space="0" w:color="auto"/>
              <w:bottom w:val="single" w:sz="4" w:space="0" w:color="auto"/>
              <w:right w:val="single" w:sz="4" w:space="0" w:color="auto"/>
            </w:tcBorders>
            <w:shd w:val="clear" w:color="auto" w:fill="auto"/>
            <w:vAlign w:val="center"/>
          </w:tcPr>
          <w:p w14:paraId="4898B11B" w14:textId="77777777" w:rsidR="00567E0E" w:rsidRPr="0088162B" w:rsidRDefault="00567E0E" w:rsidP="00261A29">
            <w:pPr>
              <w:suppressAutoHyphens w:val="0"/>
              <w:spacing w:before="60" w:after="60"/>
              <w:rPr>
                <w:rFonts w:cs="Times New Roman"/>
                <w:color w:val="000000"/>
                <w:sz w:val="18"/>
                <w:szCs w:val="18"/>
                <w:lang w:eastAsia="en-GB"/>
              </w:rPr>
            </w:pPr>
          </w:p>
        </w:tc>
        <w:tc>
          <w:tcPr>
            <w:tcW w:w="1839" w:type="dxa"/>
            <w:tcBorders>
              <w:top w:val="single" w:sz="4" w:space="0" w:color="000000"/>
              <w:left w:val="single" w:sz="4" w:space="0" w:color="auto"/>
              <w:bottom w:val="single" w:sz="4" w:space="0" w:color="000000"/>
              <w:right w:val="single" w:sz="4" w:space="0" w:color="auto"/>
            </w:tcBorders>
            <w:shd w:val="clear" w:color="auto" w:fill="auto"/>
            <w:tcMar>
              <w:top w:w="40" w:type="dxa"/>
              <w:left w:w="40" w:type="dxa"/>
              <w:bottom w:w="40" w:type="dxa"/>
              <w:right w:w="40" w:type="dxa"/>
            </w:tcMar>
            <w:vAlign w:val="center"/>
          </w:tcPr>
          <w:p w14:paraId="24CF284F" w14:textId="77777777" w:rsidR="00567E0E" w:rsidRPr="0088162B" w:rsidRDefault="00567E0E" w:rsidP="00261A29">
            <w:pPr>
              <w:suppressAutoHyphens w:val="0"/>
              <w:spacing w:before="60" w:after="60"/>
              <w:jc w:val="center"/>
              <w:rPr>
                <w:rFonts w:cs="Times New Roman"/>
                <w:color w:val="000000"/>
                <w:sz w:val="18"/>
                <w:szCs w:val="18"/>
                <w:lang w:eastAsia="en-GB"/>
              </w:rPr>
            </w:pPr>
            <w:r>
              <w:rPr>
                <w:rFonts w:cs="Times New Roman"/>
                <w:color w:val="000000"/>
                <w:sz w:val="18"/>
                <w:szCs w:val="18"/>
                <w:lang w:eastAsia="en-GB"/>
              </w:rPr>
              <w:t>1.19E-02</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3A4A2DD3" w14:textId="59537A76" w:rsidR="00567E0E" w:rsidRPr="0088162B" w:rsidRDefault="00567E0E" w:rsidP="006552D7">
            <w:pPr>
              <w:suppressAutoHyphens w:val="0"/>
              <w:spacing w:before="60" w:after="60"/>
              <w:jc w:val="center"/>
              <w:rPr>
                <w:rFonts w:cs="Times New Roman"/>
                <w:color w:val="000000"/>
                <w:sz w:val="18"/>
                <w:szCs w:val="18"/>
                <w:lang w:eastAsia="en-GB"/>
              </w:rPr>
            </w:pPr>
            <w:r>
              <w:rPr>
                <w:rFonts w:cs="Times New Roman"/>
                <w:color w:val="000000"/>
                <w:sz w:val="18"/>
                <w:szCs w:val="18"/>
                <w:lang w:eastAsia="en-GB"/>
              </w:rPr>
              <w:t>1.37E-03</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ACCCA4C" w14:textId="77777777" w:rsidR="00567E0E" w:rsidRPr="0088162B" w:rsidRDefault="00567E0E" w:rsidP="00261A29">
            <w:pPr>
              <w:suppressAutoHyphens w:val="0"/>
              <w:spacing w:before="60" w:after="60"/>
              <w:rPr>
                <w:rFonts w:cs="Times New Roman"/>
                <w:color w:val="000000"/>
                <w:sz w:val="18"/>
                <w:szCs w:val="18"/>
                <w:lang w:eastAsia="en-GB"/>
              </w:rPr>
            </w:pPr>
            <w:r w:rsidRPr="00983578">
              <w:rPr>
                <w:color w:val="000000"/>
                <w:sz w:val="18"/>
                <w:szCs w:val="18"/>
              </w:rPr>
              <w:t>[mg.kg</w:t>
            </w:r>
            <w:r w:rsidRPr="00983578">
              <w:rPr>
                <w:color w:val="000000"/>
                <w:sz w:val="18"/>
                <w:szCs w:val="18"/>
                <w:vertAlign w:val="superscript"/>
              </w:rPr>
              <w:t>-1</w:t>
            </w:r>
            <w:r w:rsidRPr="00983578">
              <w:rPr>
                <w:color w:val="000000"/>
                <w:sz w:val="18"/>
                <w:szCs w:val="18"/>
                <w:vertAlign w:val="subscript"/>
              </w:rPr>
              <w:t>wwt</w:t>
            </w:r>
            <w:r w:rsidRPr="00983578">
              <w:rPr>
                <w:color w:val="000000"/>
                <w:sz w:val="18"/>
                <w:szCs w:val="18"/>
              </w:rPr>
              <w:t>]</w:t>
            </w:r>
            <w:r w:rsidRPr="0088162B">
              <w:rPr>
                <w:rFonts w:cs="Times New Roman"/>
                <w:color w:val="000000"/>
                <w:sz w:val="18"/>
                <w:szCs w:val="18"/>
                <w:lang w:eastAsia="en-GB"/>
              </w:rPr>
              <w:t xml:space="preserve"> (after four manure applications)</w:t>
            </w:r>
          </w:p>
        </w:tc>
      </w:tr>
      <w:tr w:rsidR="00567E0E" w:rsidRPr="0088162B" w14:paraId="7882661F" w14:textId="77777777" w:rsidTr="008E1CA1">
        <w:trPr>
          <w:cantSplit/>
          <w:trHeight w:val="648"/>
        </w:trPr>
        <w:tc>
          <w:tcPr>
            <w:tcW w:w="881" w:type="dxa"/>
            <w:vMerge/>
            <w:tcBorders>
              <w:left w:val="single" w:sz="4" w:space="0" w:color="000000"/>
              <w:bottom w:val="single" w:sz="4" w:space="0" w:color="auto"/>
              <w:right w:val="single" w:sz="4" w:space="0" w:color="auto"/>
            </w:tcBorders>
            <w:shd w:val="clear" w:color="auto" w:fill="auto"/>
            <w:tcMar>
              <w:top w:w="40" w:type="dxa"/>
              <w:left w:w="40" w:type="dxa"/>
              <w:bottom w:w="40" w:type="dxa"/>
              <w:right w:w="40" w:type="dxa"/>
            </w:tcMar>
            <w:vAlign w:val="center"/>
          </w:tcPr>
          <w:p w14:paraId="2FE9594D" w14:textId="77777777" w:rsidR="00567E0E" w:rsidRPr="0088162B" w:rsidRDefault="00567E0E" w:rsidP="00261A29">
            <w:pPr>
              <w:suppressAutoHyphens w:val="0"/>
              <w:spacing w:before="60" w:after="60"/>
              <w:rPr>
                <w:rFonts w:cs="Times New Roman"/>
                <w:color w:val="000000"/>
                <w:sz w:val="18"/>
                <w:szCs w:val="18"/>
                <w:lang w:eastAsia="en-GB"/>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2613AF99" w14:textId="77777777" w:rsidR="00567E0E" w:rsidRPr="0088162B" w:rsidRDefault="00567E0E" w:rsidP="00261A29">
            <w:pPr>
              <w:suppressAutoHyphens w:val="0"/>
              <w:spacing w:before="60" w:after="60"/>
              <w:rPr>
                <w:rFonts w:cs="Times New Roman"/>
                <w:color w:val="000000"/>
                <w:sz w:val="18"/>
                <w:szCs w:val="18"/>
                <w:lang w:eastAsia="en-GB"/>
              </w:rPr>
            </w:pPr>
            <w:r>
              <w:rPr>
                <w:rFonts w:cs="Times New Roman"/>
                <w:color w:val="000000"/>
                <w:sz w:val="18"/>
                <w:szCs w:val="18"/>
                <w:lang w:eastAsia="en-GB"/>
              </w:rPr>
              <w:t>Arable land</w:t>
            </w:r>
          </w:p>
        </w:tc>
        <w:tc>
          <w:tcPr>
            <w:tcW w:w="1839" w:type="dxa"/>
            <w:tcBorders>
              <w:top w:val="single" w:sz="4" w:space="0" w:color="000000"/>
              <w:left w:val="single" w:sz="4" w:space="0" w:color="auto"/>
              <w:bottom w:val="single" w:sz="4" w:space="0" w:color="auto"/>
              <w:right w:val="single" w:sz="4" w:space="0" w:color="000000"/>
            </w:tcBorders>
            <w:shd w:val="clear" w:color="auto" w:fill="auto"/>
            <w:tcMar>
              <w:top w:w="40" w:type="dxa"/>
              <w:left w:w="40" w:type="dxa"/>
              <w:bottom w:w="40" w:type="dxa"/>
              <w:right w:w="40" w:type="dxa"/>
            </w:tcMar>
            <w:vAlign w:val="center"/>
          </w:tcPr>
          <w:p w14:paraId="5C444524" w14:textId="77777777" w:rsidR="00567E0E" w:rsidRPr="0088162B" w:rsidRDefault="00567E0E" w:rsidP="00261A29">
            <w:pPr>
              <w:suppressAutoHyphens w:val="0"/>
              <w:spacing w:before="60" w:after="60"/>
              <w:jc w:val="center"/>
              <w:rPr>
                <w:rFonts w:cs="Times New Roman"/>
                <w:color w:val="000000"/>
                <w:sz w:val="18"/>
                <w:szCs w:val="18"/>
                <w:lang w:eastAsia="en-GB"/>
              </w:rPr>
            </w:pPr>
            <w:r>
              <w:rPr>
                <w:rFonts w:cs="Times New Roman"/>
                <w:color w:val="000000"/>
                <w:sz w:val="18"/>
                <w:szCs w:val="18"/>
                <w:lang w:eastAsia="en-GB"/>
              </w:rPr>
              <w:t>3.22E-03</w:t>
            </w:r>
          </w:p>
        </w:tc>
        <w:tc>
          <w:tcPr>
            <w:tcW w:w="2131" w:type="dxa"/>
            <w:tcBorders>
              <w:top w:val="single" w:sz="4" w:space="0" w:color="auto"/>
              <w:left w:val="nil"/>
              <w:bottom w:val="single" w:sz="4" w:space="0" w:color="auto"/>
              <w:right w:val="single" w:sz="4" w:space="0" w:color="000000"/>
            </w:tcBorders>
            <w:shd w:val="clear" w:color="auto" w:fill="auto"/>
            <w:vAlign w:val="center"/>
          </w:tcPr>
          <w:p w14:paraId="421D57A3" w14:textId="3735E3F8" w:rsidR="00567E0E" w:rsidRPr="0088162B" w:rsidRDefault="00567E0E" w:rsidP="006552D7">
            <w:pPr>
              <w:suppressAutoHyphens w:val="0"/>
              <w:spacing w:before="60" w:after="60"/>
              <w:jc w:val="center"/>
              <w:rPr>
                <w:rFonts w:cs="Times New Roman"/>
                <w:color w:val="000000"/>
                <w:sz w:val="18"/>
                <w:szCs w:val="18"/>
                <w:lang w:eastAsia="en-GB"/>
              </w:rPr>
            </w:pPr>
            <w:r>
              <w:rPr>
                <w:rFonts w:cs="Times New Roman"/>
                <w:color w:val="000000"/>
                <w:sz w:val="18"/>
                <w:szCs w:val="18"/>
                <w:lang w:eastAsia="en-GB"/>
              </w:rPr>
              <w:t>1.16E-03</w:t>
            </w:r>
          </w:p>
        </w:tc>
        <w:tc>
          <w:tcPr>
            <w:tcW w:w="2363"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AB7CEB8" w14:textId="0A733443" w:rsidR="00567E0E" w:rsidRPr="0088162B" w:rsidRDefault="00567E0E" w:rsidP="00261A29">
            <w:pPr>
              <w:suppressAutoHyphens w:val="0"/>
              <w:spacing w:before="60" w:after="60"/>
              <w:rPr>
                <w:rFonts w:cs="Times New Roman"/>
                <w:color w:val="000000"/>
                <w:sz w:val="18"/>
                <w:szCs w:val="18"/>
                <w:lang w:eastAsia="en-GB"/>
              </w:rPr>
            </w:pPr>
            <w:r w:rsidRPr="00983578">
              <w:rPr>
                <w:color w:val="000000"/>
                <w:sz w:val="18"/>
                <w:szCs w:val="18"/>
              </w:rPr>
              <w:t>[mg.kg</w:t>
            </w:r>
            <w:r w:rsidRPr="00983578">
              <w:rPr>
                <w:color w:val="000000"/>
                <w:sz w:val="18"/>
                <w:szCs w:val="18"/>
                <w:vertAlign w:val="superscript"/>
              </w:rPr>
              <w:t>-1</w:t>
            </w:r>
            <w:r w:rsidRPr="00983578">
              <w:rPr>
                <w:color w:val="000000"/>
                <w:sz w:val="18"/>
                <w:szCs w:val="18"/>
                <w:vertAlign w:val="subscript"/>
              </w:rPr>
              <w:t>wwt</w:t>
            </w:r>
            <w:r w:rsidRPr="00983578">
              <w:rPr>
                <w:color w:val="000000"/>
                <w:sz w:val="18"/>
                <w:szCs w:val="18"/>
              </w:rPr>
              <w:t>]</w:t>
            </w:r>
            <w:r w:rsidR="0043372C" w:rsidRPr="0088162B">
              <w:rPr>
                <w:rFonts w:cs="Times New Roman"/>
                <w:color w:val="000000"/>
                <w:sz w:val="18"/>
                <w:szCs w:val="18"/>
                <w:lang w:eastAsia="en-GB"/>
              </w:rPr>
              <w:t xml:space="preserve"> (after one manure application)</w:t>
            </w:r>
          </w:p>
        </w:tc>
      </w:tr>
    </w:tbl>
    <w:p w14:paraId="3D94A813" w14:textId="77777777" w:rsidR="00567E0E" w:rsidRDefault="00567E0E" w:rsidP="00567E0E">
      <w:pPr>
        <w:spacing w:line="276" w:lineRule="auto"/>
        <w:rPr>
          <w:rFonts w:ascii="Times New Roman" w:eastAsia="Calibri" w:hAnsi="Times New Roman" w:cs="Times New Roman"/>
          <w:i/>
          <w:lang w:eastAsia="en-US"/>
        </w:rPr>
      </w:pPr>
    </w:p>
    <w:p w14:paraId="0B00C1A3" w14:textId="77777777" w:rsidR="00567E0E" w:rsidRDefault="00567E0E" w:rsidP="00567E0E">
      <w:pPr>
        <w:spacing w:line="260" w:lineRule="atLeast"/>
        <w:rPr>
          <w:rFonts w:ascii="Times New Roman" w:eastAsia="Calibri" w:hAnsi="Times New Roman" w:cs="Times New Roman"/>
          <w:i/>
          <w:iCs/>
          <w:lang w:eastAsia="en-US"/>
        </w:rPr>
      </w:pPr>
    </w:p>
    <w:p w14:paraId="371150CC" w14:textId="77777777" w:rsidR="00567E0E" w:rsidRDefault="00567E0E" w:rsidP="00567E0E">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2E557FFF" w14:textId="77777777" w:rsidR="00567E0E" w:rsidRDefault="00567E0E" w:rsidP="00567E0E">
      <w:pPr>
        <w:spacing w:line="260" w:lineRule="atLeast"/>
        <w:rPr>
          <w:rFonts w:ascii="Times New Roman" w:eastAsia="Calibri" w:hAnsi="Times New Roman" w:cs="Times New Roman"/>
          <w:i/>
          <w:iCs/>
          <w:lang w:eastAsia="en-US"/>
        </w:rPr>
      </w:pPr>
    </w:p>
    <w:p w14:paraId="211C23F8" w14:textId="77777777" w:rsidR="00567E0E" w:rsidRDefault="00567E0E" w:rsidP="00567E0E">
      <w:pPr>
        <w:spacing w:line="260" w:lineRule="atLeast"/>
        <w:rPr>
          <w:rFonts w:ascii="Times New Roman" w:eastAsia="Calibri" w:hAnsi="Times New Roman" w:cs="Times New Roman"/>
          <w:i/>
          <w:iCs/>
          <w:lang w:eastAsia="en-US"/>
        </w:rPr>
      </w:pPr>
    </w:p>
    <w:tbl>
      <w:tblPr>
        <w:tblW w:w="9364" w:type="dxa"/>
        <w:tblInd w:w="70" w:type="dxa"/>
        <w:tblLayout w:type="fixed"/>
        <w:tblCellMar>
          <w:left w:w="70" w:type="dxa"/>
          <w:right w:w="70" w:type="dxa"/>
        </w:tblCellMar>
        <w:tblLook w:val="0000" w:firstRow="0" w:lastRow="0" w:firstColumn="0" w:lastColumn="0" w:noHBand="0" w:noVBand="0"/>
      </w:tblPr>
      <w:tblGrid>
        <w:gridCol w:w="1275"/>
        <w:gridCol w:w="851"/>
        <w:gridCol w:w="1276"/>
        <w:gridCol w:w="851"/>
        <w:gridCol w:w="1134"/>
        <w:gridCol w:w="569"/>
        <w:gridCol w:w="567"/>
        <w:gridCol w:w="569"/>
        <w:gridCol w:w="1126"/>
        <w:gridCol w:w="1146"/>
      </w:tblGrid>
      <w:tr w:rsidR="00567E0E" w14:paraId="46106A4C" w14:textId="77777777" w:rsidTr="00261A29">
        <w:trPr>
          <w:trHeight w:val="333"/>
          <w:tblHeader/>
        </w:trPr>
        <w:tc>
          <w:tcPr>
            <w:tcW w:w="9364" w:type="dxa"/>
            <w:gridSpan w:val="10"/>
            <w:tcBorders>
              <w:top w:val="single" w:sz="4" w:space="0" w:color="000000"/>
              <w:left w:val="single" w:sz="4" w:space="0" w:color="000000"/>
              <w:bottom w:val="single" w:sz="4" w:space="0" w:color="000000"/>
              <w:right w:val="single" w:sz="4" w:space="0" w:color="000000"/>
            </w:tcBorders>
            <w:shd w:val="clear" w:color="auto" w:fill="FFFFCC"/>
          </w:tcPr>
          <w:p w14:paraId="4F9C9BC3" w14:textId="77777777" w:rsidR="00567E0E" w:rsidRDefault="00567E0E" w:rsidP="00261A29">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567E0E" w14:paraId="478242FC" w14:textId="77777777" w:rsidTr="00261A29">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7ECAB302" w14:textId="77777777" w:rsidR="00567E0E" w:rsidRDefault="00567E0E" w:rsidP="00261A29">
            <w:pPr>
              <w:widowControl w:val="0"/>
              <w:snapToGrid w:val="0"/>
              <w:spacing w:line="260" w:lineRule="atLeast"/>
              <w:jc w:val="center"/>
              <w:rPr>
                <w:rFonts w:eastAsia="Calibri"/>
                <w:b/>
                <w:bCs/>
                <w:color w:val="000000"/>
                <w:lang w:eastAsia="en-GB"/>
              </w:rPr>
            </w:pPr>
          </w:p>
        </w:tc>
        <w:tc>
          <w:tcPr>
            <w:tcW w:w="851" w:type="dxa"/>
            <w:tcBorders>
              <w:top w:val="single" w:sz="4" w:space="0" w:color="000000"/>
              <w:left w:val="single" w:sz="4" w:space="0" w:color="000000"/>
              <w:bottom w:val="single" w:sz="4" w:space="0" w:color="000000"/>
            </w:tcBorders>
            <w:shd w:val="clear" w:color="auto" w:fill="auto"/>
            <w:vAlign w:val="center"/>
          </w:tcPr>
          <w:p w14:paraId="414245EB" w14:textId="77777777" w:rsidR="00567E0E" w:rsidRDefault="00567E0E" w:rsidP="00261A29">
            <w:pPr>
              <w:widowControl w:val="0"/>
              <w:spacing w:line="260" w:lineRule="atLeast"/>
              <w:jc w:val="center"/>
              <w:rPr>
                <w:rFonts w:eastAsia="Calibri" w:cs="Arial"/>
                <w:color w:val="000000"/>
                <w:lang w:eastAsia="en-GB"/>
              </w:rPr>
            </w:pPr>
            <w:r>
              <w:rPr>
                <w:rFonts w:eastAsia="Calibri" w:cs="Arial"/>
                <w:color w:val="000000"/>
                <w:lang w:eastAsia="en-GB"/>
              </w:rPr>
              <w:t>Fresh-water</w:t>
            </w:r>
          </w:p>
        </w:tc>
        <w:tc>
          <w:tcPr>
            <w:tcW w:w="1276" w:type="dxa"/>
            <w:tcBorders>
              <w:top w:val="single" w:sz="4" w:space="0" w:color="000000"/>
              <w:left w:val="single" w:sz="4" w:space="0" w:color="000000"/>
              <w:bottom w:val="single" w:sz="4" w:space="0" w:color="000000"/>
            </w:tcBorders>
            <w:shd w:val="clear" w:color="auto" w:fill="auto"/>
            <w:vAlign w:val="center"/>
          </w:tcPr>
          <w:p w14:paraId="26811B52" w14:textId="77777777" w:rsidR="00567E0E" w:rsidRDefault="00567E0E" w:rsidP="00261A29">
            <w:pPr>
              <w:widowControl w:val="0"/>
              <w:spacing w:line="260" w:lineRule="atLeast"/>
              <w:jc w:val="center"/>
              <w:rPr>
                <w:rFonts w:eastAsia="Calibri" w:cs="Arial"/>
                <w:color w:val="000000"/>
                <w:lang w:eastAsia="en-GB"/>
              </w:rPr>
            </w:pPr>
            <w:r>
              <w:rPr>
                <w:rFonts w:eastAsia="Calibri" w:cs="Arial"/>
                <w:color w:val="000000"/>
                <w:lang w:eastAsia="en-GB"/>
              </w:rPr>
              <w:t>Freshwater sediment</w:t>
            </w:r>
          </w:p>
        </w:tc>
        <w:tc>
          <w:tcPr>
            <w:tcW w:w="851" w:type="dxa"/>
            <w:tcBorders>
              <w:top w:val="single" w:sz="4" w:space="0" w:color="000000"/>
              <w:left w:val="single" w:sz="4" w:space="0" w:color="000000"/>
              <w:bottom w:val="single" w:sz="4" w:space="0" w:color="000000"/>
            </w:tcBorders>
            <w:shd w:val="clear" w:color="auto" w:fill="auto"/>
            <w:vAlign w:val="center"/>
          </w:tcPr>
          <w:p w14:paraId="4201CF30" w14:textId="77777777" w:rsidR="00567E0E" w:rsidRDefault="00567E0E" w:rsidP="00261A29">
            <w:pPr>
              <w:widowControl w:val="0"/>
              <w:spacing w:line="260" w:lineRule="atLeast"/>
              <w:jc w:val="center"/>
              <w:rPr>
                <w:rFonts w:eastAsia="Calibri" w:cs="Arial"/>
                <w:color w:val="000000"/>
                <w:lang w:eastAsia="en-GB"/>
              </w:rPr>
            </w:pPr>
            <w:r>
              <w:rPr>
                <w:rFonts w:eastAsia="Calibri" w:cs="Arial"/>
                <w:color w:val="000000"/>
                <w:lang w:eastAsia="en-GB"/>
              </w:rPr>
              <w:t>Sea-water</w:t>
            </w:r>
          </w:p>
        </w:tc>
        <w:tc>
          <w:tcPr>
            <w:tcW w:w="1134" w:type="dxa"/>
            <w:tcBorders>
              <w:top w:val="single" w:sz="4" w:space="0" w:color="000000"/>
              <w:left w:val="single" w:sz="4" w:space="0" w:color="000000"/>
              <w:bottom w:val="single" w:sz="4" w:space="0" w:color="000000"/>
            </w:tcBorders>
            <w:shd w:val="clear" w:color="auto" w:fill="auto"/>
            <w:vAlign w:val="center"/>
          </w:tcPr>
          <w:p w14:paraId="5A763954" w14:textId="77777777" w:rsidR="00567E0E" w:rsidRDefault="00567E0E" w:rsidP="00261A29">
            <w:pPr>
              <w:widowControl w:val="0"/>
              <w:spacing w:line="260" w:lineRule="atLeast"/>
              <w:jc w:val="center"/>
              <w:rPr>
                <w:rFonts w:eastAsia="Calibri" w:cs="Arial"/>
                <w:color w:val="000000"/>
                <w:lang w:eastAsia="en-GB"/>
              </w:rPr>
            </w:pPr>
            <w:r>
              <w:rPr>
                <w:rFonts w:eastAsia="Calibri" w:cs="Arial"/>
                <w:color w:val="000000"/>
                <w:lang w:eastAsia="en-GB"/>
              </w:rPr>
              <w:t>Seawater sediment</w:t>
            </w:r>
          </w:p>
        </w:tc>
        <w:tc>
          <w:tcPr>
            <w:tcW w:w="569" w:type="dxa"/>
            <w:tcBorders>
              <w:top w:val="single" w:sz="4" w:space="0" w:color="000000"/>
              <w:left w:val="single" w:sz="4" w:space="0" w:color="000000"/>
              <w:bottom w:val="single" w:sz="4" w:space="0" w:color="000000"/>
            </w:tcBorders>
            <w:shd w:val="clear" w:color="auto" w:fill="auto"/>
            <w:vAlign w:val="center"/>
          </w:tcPr>
          <w:p w14:paraId="04824401" w14:textId="77777777" w:rsidR="00567E0E" w:rsidRDefault="00567E0E" w:rsidP="00261A29">
            <w:pPr>
              <w:widowControl w:val="0"/>
              <w:spacing w:line="260" w:lineRule="atLeast"/>
              <w:jc w:val="center"/>
              <w:rPr>
                <w:rFonts w:eastAsia="Calibri" w:cs="Arial"/>
                <w:color w:val="000000"/>
                <w:lang w:eastAsia="en-GB"/>
              </w:rPr>
            </w:pPr>
            <w:r>
              <w:rPr>
                <w:rFonts w:eastAsia="Calibri" w:cs="Arial"/>
                <w:color w:val="000000"/>
                <w:lang w:eastAsia="en-GB"/>
              </w:rPr>
              <w:t>STP</w:t>
            </w:r>
          </w:p>
        </w:tc>
        <w:tc>
          <w:tcPr>
            <w:tcW w:w="567" w:type="dxa"/>
            <w:tcBorders>
              <w:top w:val="single" w:sz="4" w:space="0" w:color="000000"/>
              <w:left w:val="single" w:sz="4" w:space="0" w:color="000000"/>
              <w:bottom w:val="single" w:sz="4" w:space="0" w:color="000000"/>
            </w:tcBorders>
            <w:shd w:val="clear" w:color="auto" w:fill="auto"/>
            <w:vAlign w:val="center"/>
          </w:tcPr>
          <w:p w14:paraId="147790D7" w14:textId="77777777" w:rsidR="00567E0E" w:rsidRDefault="00567E0E" w:rsidP="00261A29">
            <w:pPr>
              <w:widowControl w:val="0"/>
              <w:spacing w:line="260" w:lineRule="atLeast"/>
              <w:jc w:val="center"/>
              <w:rPr>
                <w:rFonts w:eastAsia="Calibri"/>
                <w:bCs/>
                <w:color w:val="000000"/>
                <w:lang w:eastAsia="en-GB"/>
              </w:rPr>
            </w:pPr>
            <w:r>
              <w:rPr>
                <w:rFonts w:eastAsia="Calibri" w:cs="Arial"/>
                <w:color w:val="000000"/>
                <w:lang w:eastAsia="en-GB"/>
              </w:rPr>
              <w:t>Air</w:t>
            </w:r>
          </w:p>
        </w:tc>
        <w:tc>
          <w:tcPr>
            <w:tcW w:w="569" w:type="dxa"/>
            <w:tcBorders>
              <w:top w:val="single" w:sz="4" w:space="0" w:color="000000"/>
              <w:left w:val="single" w:sz="4" w:space="0" w:color="000000"/>
              <w:bottom w:val="single" w:sz="4" w:space="0" w:color="000000"/>
            </w:tcBorders>
            <w:shd w:val="clear" w:color="auto" w:fill="auto"/>
            <w:vAlign w:val="center"/>
          </w:tcPr>
          <w:p w14:paraId="49FC3D9B" w14:textId="77777777" w:rsidR="00567E0E" w:rsidRDefault="00567E0E" w:rsidP="00261A29">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Soil</w:t>
            </w:r>
          </w:p>
        </w:tc>
        <w:tc>
          <w:tcPr>
            <w:tcW w:w="1126" w:type="dxa"/>
            <w:tcBorders>
              <w:top w:val="single" w:sz="4" w:space="0" w:color="000000"/>
              <w:left w:val="single" w:sz="4" w:space="0" w:color="000000"/>
              <w:bottom w:val="single" w:sz="4" w:space="0" w:color="000000"/>
            </w:tcBorders>
            <w:shd w:val="clear" w:color="auto" w:fill="auto"/>
            <w:vAlign w:val="center"/>
          </w:tcPr>
          <w:p w14:paraId="6CD4314E" w14:textId="77777777" w:rsidR="00567E0E" w:rsidRDefault="00567E0E" w:rsidP="00261A29">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Ground-water</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80E9" w14:textId="77777777" w:rsidR="00567E0E" w:rsidRDefault="00567E0E" w:rsidP="00261A29">
            <w:pPr>
              <w:widowControl w:val="0"/>
              <w:tabs>
                <w:tab w:val="center" w:pos="4536"/>
                <w:tab w:val="right" w:pos="9072"/>
              </w:tabs>
              <w:spacing w:line="260" w:lineRule="atLeast"/>
              <w:jc w:val="center"/>
            </w:pPr>
            <w:r>
              <w:rPr>
                <w:rFonts w:eastAsia="Calibri"/>
                <w:bCs/>
                <w:color w:val="000000"/>
                <w:lang w:eastAsia="en-GB"/>
              </w:rPr>
              <w:t>Other</w:t>
            </w:r>
          </w:p>
        </w:tc>
      </w:tr>
      <w:tr w:rsidR="00567E0E" w14:paraId="7E7FB569" w14:textId="77777777" w:rsidTr="00261A29">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6B509D4E" w14:textId="77777777" w:rsidR="00567E0E" w:rsidRDefault="00567E0E" w:rsidP="00261A29">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via STP</w:t>
            </w:r>
          </w:p>
        </w:tc>
        <w:tc>
          <w:tcPr>
            <w:tcW w:w="851" w:type="dxa"/>
            <w:tcBorders>
              <w:top w:val="single" w:sz="4" w:space="0" w:color="000000"/>
              <w:left w:val="single" w:sz="4" w:space="0" w:color="000000"/>
              <w:bottom w:val="single" w:sz="4" w:space="0" w:color="000000"/>
            </w:tcBorders>
            <w:shd w:val="clear" w:color="auto" w:fill="auto"/>
            <w:vAlign w:val="center"/>
          </w:tcPr>
          <w:p w14:paraId="0EAF986C"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276" w:type="dxa"/>
            <w:tcBorders>
              <w:top w:val="single" w:sz="4" w:space="0" w:color="000000"/>
              <w:left w:val="single" w:sz="4" w:space="0" w:color="000000"/>
              <w:bottom w:val="single" w:sz="4" w:space="0" w:color="000000"/>
            </w:tcBorders>
            <w:shd w:val="clear" w:color="auto" w:fill="auto"/>
            <w:vAlign w:val="center"/>
          </w:tcPr>
          <w:p w14:paraId="01772E0C"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851" w:type="dxa"/>
            <w:tcBorders>
              <w:top w:val="single" w:sz="4" w:space="0" w:color="000000"/>
              <w:left w:val="single" w:sz="4" w:space="0" w:color="000000"/>
              <w:bottom w:val="single" w:sz="4" w:space="0" w:color="000000"/>
            </w:tcBorders>
            <w:shd w:val="clear" w:color="auto" w:fill="auto"/>
            <w:vAlign w:val="center"/>
          </w:tcPr>
          <w:p w14:paraId="542E286C"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1134" w:type="dxa"/>
            <w:tcBorders>
              <w:top w:val="single" w:sz="4" w:space="0" w:color="000000"/>
              <w:left w:val="single" w:sz="4" w:space="0" w:color="000000"/>
              <w:bottom w:val="single" w:sz="4" w:space="0" w:color="000000"/>
            </w:tcBorders>
            <w:shd w:val="clear" w:color="auto" w:fill="auto"/>
            <w:vAlign w:val="center"/>
          </w:tcPr>
          <w:p w14:paraId="09D19B91"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4949D0EF"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567" w:type="dxa"/>
            <w:tcBorders>
              <w:top w:val="single" w:sz="4" w:space="0" w:color="000000"/>
              <w:left w:val="single" w:sz="4" w:space="0" w:color="000000"/>
              <w:bottom w:val="single" w:sz="4" w:space="0" w:color="000000"/>
            </w:tcBorders>
            <w:shd w:val="clear" w:color="auto" w:fill="auto"/>
            <w:vAlign w:val="center"/>
          </w:tcPr>
          <w:p w14:paraId="2FE130B3"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6D160EA1"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126" w:type="dxa"/>
            <w:tcBorders>
              <w:top w:val="single" w:sz="4" w:space="0" w:color="000000"/>
              <w:left w:val="single" w:sz="4" w:space="0" w:color="000000"/>
              <w:bottom w:val="single" w:sz="4" w:space="0" w:color="000000"/>
            </w:tcBorders>
            <w:shd w:val="clear" w:color="auto" w:fill="auto"/>
            <w:vAlign w:val="center"/>
          </w:tcPr>
          <w:p w14:paraId="023C1AE5"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85F4"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r>
      <w:tr w:rsidR="00567E0E" w14:paraId="284FCA78" w14:textId="77777777" w:rsidTr="00261A29">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045F70D6" w14:textId="77777777" w:rsidR="00567E0E" w:rsidRDefault="00567E0E" w:rsidP="00261A29">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via Slurry/Man</w:t>
            </w:r>
            <w:r>
              <w:rPr>
                <w:rFonts w:eastAsia="Calibri"/>
                <w:color w:val="000000"/>
                <w:lang w:eastAsia="en-GB"/>
              </w:rPr>
              <w:lastRenderedPageBreak/>
              <w:t>ure</w:t>
            </w:r>
          </w:p>
        </w:tc>
        <w:tc>
          <w:tcPr>
            <w:tcW w:w="851" w:type="dxa"/>
            <w:tcBorders>
              <w:top w:val="single" w:sz="4" w:space="0" w:color="000000"/>
              <w:left w:val="single" w:sz="4" w:space="0" w:color="000000"/>
              <w:bottom w:val="single" w:sz="4" w:space="0" w:color="000000"/>
            </w:tcBorders>
            <w:shd w:val="clear" w:color="auto" w:fill="auto"/>
            <w:vAlign w:val="center"/>
          </w:tcPr>
          <w:p w14:paraId="5C78869A"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lastRenderedPageBreak/>
              <w:t>Yes</w:t>
            </w:r>
          </w:p>
        </w:tc>
        <w:tc>
          <w:tcPr>
            <w:tcW w:w="1276" w:type="dxa"/>
            <w:tcBorders>
              <w:top w:val="single" w:sz="4" w:space="0" w:color="000000"/>
              <w:left w:val="single" w:sz="4" w:space="0" w:color="000000"/>
              <w:bottom w:val="single" w:sz="4" w:space="0" w:color="000000"/>
            </w:tcBorders>
            <w:shd w:val="clear" w:color="auto" w:fill="auto"/>
            <w:vAlign w:val="center"/>
          </w:tcPr>
          <w:p w14:paraId="16D09904"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851" w:type="dxa"/>
            <w:tcBorders>
              <w:top w:val="single" w:sz="4" w:space="0" w:color="000000"/>
              <w:left w:val="single" w:sz="4" w:space="0" w:color="000000"/>
              <w:bottom w:val="single" w:sz="4" w:space="0" w:color="000000"/>
            </w:tcBorders>
            <w:shd w:val="clear" w:color="auto" w:fill="auto"/>
            <w:vAlign w:val="center"/>
          </w:tcPr>
          <w:p w14:paraId="5B8AE47A"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1134" w:type="dxa"/>
            <w:tcBorders>
              <w:top w:val="single" w:sz="4" w:space="0" w:color="000000"/>
              <w:left w:val="single" w:sz="4" w:space="0" w:color="000000"/>
              <w:bottom w:val="single" w:sz="4" w:space="0" w:color="000000"/>
            </w:tcBorders>
            <w:shd w:val="clear" w:color="auto" w:fill="auto"/>
            <w:vAlign w:val="center"/>
          </w:tcPr>
          <w:p w14:paraId="7A6BF4BC"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1A98B707"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567" w:type="dxa"/>
            <w:tcBorders>
              <w:top w:val="single" w:sz="4" w:space="0" w:color="000000"/>
              <w:left w:val="single" w:sz="4" w:space="0" w:color="000000"/>
              <w:bottom w:val="single" w:sz="4" w:space="0" w:color="000000"/>
            </w:tcBorders>
            <w:shd w:val="clear" w:color="auto" w:fill="auto"/>
            <w:vAlign w:val="center"/>
          </w:tcPr>
          <w:p w14:paraId="6FB23C37"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23BCFE6C"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126" w:type="dxa"/>
            <w:tcBorders>
              <w:top w:val="single" w:sz="4" w:space="0" w:color="000000"/>
              <w:left w:val="single" w:sz="4" w:space="0" w:color="000000"/>
              <w:bottom w:val="single" w:sz="4" w:space="0" w:color="000000"/>
            </w:tcBorders>
            <w:shd w:val="clear" w:color="auto" w:fill="auto"/>
            <w:vAlign w:val="center"/>
          </w:tcPr>
          <w:p w14:paraId="24793334"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0DAF" w14:textId="77777777" w:rsidR="00567E0E" w:rsidRDefault="00567E0E" w:rsidP="00261A29">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r>
    </w:tbl>
    <w:p w14:paraId="1817138B" w14:textId="77777777" w:rsidR="00567E0E" w:rsidRDefault="00567E0E" w:rsidP="00567E0E">
      <w:pPr>
        <w:spacing w:line="260" w:lineRule="atLeast"/>
        <w:rPr>
          <w:rFonts w:eastAsia="Calibri"/>
          <w:lang w:eastAsia="en-US"/>
        </w:rPr>
      </w:pPr>
    </w:p>
    <w:p w14:paraId="48558CF1" w14:textId="77777777" w:rsidR="00567E0E" w:rsidRDefault="00567E0E" w:rsidP="00567E0E">
      <w:pPr>
        <w:spacing w:line="260" w:lineRule="atLeast"/>
        <w:rPr>
          <w:rFonts w:ascii="Times New Roman" w:eastAsia="Calibri" w:hAnsi="Times New Roman" w:cs="Times New Roman"/>
          <w:i/>
          <w:lang w:eastAsia="en-US"/>
        </w:rPr>
      </w:pPr>
    </w:p>
    <w:tbl>
      <w:tblPr>
        <w:tblW w:w="9366" w:type="dxa"/>
        <w:tblInd w:w="108" w:type="dxa"/>
        <w:tblLayout w:type="fixed"/>
        <w:tblLook w:val="0000" w:firstRow="0" w:lastRow="0" w:firstColumn="0" w:lastColumn="0" w:noHBand="0" w:noVBand="0"/>
      </w:tblPr>
      <w:tblGrid>
        <w:gridCol w:w="2439"/>
        <w:gridCol w:w="1497"/>
        <w:gridCol w:w="1309"/>
        <w:gridCol w:w="1021"/>
        <w:gridCol w:w="822"/>
        <w:gridCol w:w="2278"/>
      </w:tblGrid>
      <w:tr w:rsidR="00567E0E" w14:paraId="2AA2F7A5" w14:textId="77777777" w:rsidTr="00261A29">
        <w:trPr>
          <w:trHeight w:val="313"/>
        </w:trPr>
        <w:tc>
          <w:tcPr>
            <w:tcW w:w="9366"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150CE467" w14:textId="77777777" w:rsidR="00567E0E" w:rsidRPr="00BD5D57" w:rsidRDefault="00567E0E" w:rsidP="00261A29">
            <w:pPr>
              <w:autoSpaceDE w:val="0"/>
              <w:spacing w:line="260" w:lineRule="atLeast"/>
              <w:jc w:val="center"/>
              <w:rPr>
                <w:sz w:val="18"/>
                <w:szCs w:val="18"/>
              </w:rPr>
            </w:pPr>
            <w:r w:rsidRPr="00BD5D57">
              <w:rPr>
                <w:rFonts w:eastAsia="Calibri" w:cs="Arial"/>
                <w:b/>
                <w:color w:val="000000"/>
                <w:sz w:val="18"/>
                <w:szCs w:val="18"/>
                <w:lang w:eastAsia="en-GB"/>
              </w:rPr>
              <w:t>Input parameters (only set values) for calculating the fate and distribution in the environment of Iodine</w:t>
            </w:r>
          </w:p>
        </w:tc>
      </w:tr>
      <w:tr w:rsidR="00567E0E" w14:paraId="4C2F5013" w14:textId="77777777" w:rsidTr="00261A29">
        <w:trPr>
          <w:trHeight w:val="31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49033F92" w14:textId="77777777" w:rsidR="00567E0E" w:rsidRPr="00BD5D57" w:rsidRDefault="00567E0E" w:rsidP="00261A29">
            <w:pPr>
              <w:autoSpaceDE w:val="0"/>
              <w:spacing w:line="260" w:lineRule="atLeast"/>
              <w:rPr>
                <w:rFonts w:eastAsia="Calibri" w:cs="Arial"/>
                <w:bCs/>
                <w:color w:val="000000"/>
                <w:sz w:val="18"/>
                <w:szCs w:val="18"/>
                <w:lang w:eastAsia="en-GB"/>
              </w:rPr>
            </w:pPr>
            <w:r w:rsidRPr="00BD5D57">
              <w:rPr>
                <w:rFonts w:eastAsia="Calibri" w:cs="Arial"/>
                <w:bCs/>
                <w:color w:val="000000"/>
                <w:sz w:val="18"/>
                <w:szCs w:val="18"/>
                <w:lang w:eastAsia="en-GB"/>
              </w:rPr>
              <w:t xml:space="preserve">Input </w:t>
            </w:r>
          </w:p>
        </w:tc>
        <w:tc>
          <w:tcPr>
            <w:tcW w:w="1309" w:type="dxa"/>
            <w:tcBorders>
              <w:top w:val="single" w:sz="4" w:space="0" w:color="000000"/>
              <w:left w:val="single" w:sz="4" w:space="0" w:color="000000"/>
              <w:bottom w:val="single" w:sz="4" w:space="0" w:color="000000"/>
            </w:tcBorders>
            <w:shd w:val="clear" w:color="auto" w:fill="FFFFFF"/>
            <w:vAlign w:val="center"/>
          </w:tcPr>
          <w:p w14:paraId="1CAA9A95" w14:textId="77777777" w:rsidR="00567E0E" w:rsidRPr="00BD5D57" w:rsidRDefault="00567E0E" w:rsidP="00261A29">
            <w:pPr>
              <w:autoSpaceDE w:val="0"/>
              <w:spacing w:line="260" w:lineRule="atLeast"/>
              <w:rPr>
                <w:rFonts w:eastAsia="Calibri" w:cs="Arial"/>
                <w:bCs/>
                <w:color w:val="000000"/>
                <w:sz w:val="18"/>
                <w:szCs w:val="18"/>
                <w:lang w:eastAsia="en-GB"/>
              </w:rPr>
            </w:pPr>
            <w:r w:rsidRPr="00BD5D57">
              <w:rPr>
                <w:rFonts w:eastAsia="Calibri" w:cs="Arial"/>
                <w:bCs/>
                <w:color w:val="000000"/>
                <w:sz w:val="18"/>
                <w:szCs w:val="18"/>
                <w:lang w:eastAsia="en-GB"/>
              </w:rPr>
              <w:t xml:space="preserve">Value </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57F91819" w14:textId="77777777" w:rsidR="00567E0E" w:rsidRPr="00BD5D57" w:rsidRDefault="00567E0E" w:rsidP="00261A29">
            <w:pPr>
              <w:autoSpaceDE w:val="0"/>
              <w:spacing w:line="260" w:lineRule="atLeast"/>
              <w:rPr>
                <w:rFonts w:eastAsia="Calibri" w:cs="Arial"/>
                <w:bCs/>
                <w:color w:val="000000"/>
                <w:sz w:val="18"/>
                <w:szCs w:val="18"/>
                <w:lang w:eastAsia="en-GB"/>
              </w:rPr>
            </w:pPr>
            <w:r w:rsidRPr="00BD5D57">
              <w:rPr>
                <w:rFonts w:eastAsia="Calibri" w:cs="Arial"/>
                <w:bCs/>
                <w:color w:val="000000"/>
                <w:sz w:val="18"/>
                <w:szCs w:val="18"/>
                <w:lang w:eastAsia="en-GB"/>
              </w:rPr>
              <w:t>Unit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E6C59" w14:textId="77777777" w:rsidR="00567E0E" w:rsidRPr="00BD5D57" w:rsidRDefault="00567E0E" w:rsidP="00261A29">
            <w:pPr>
              <w:autoSpaceDE w:val="0"/>
              <w:spacing w:line="260" w:lineRule="atLeast"/>
              <w:rPr>
                <w:sz w:val="18"/>
                <w:szCs w:val="18"/>
              </w:rPr>
            </w:pPr>
            <w:r w:rsidRPr="00BD5D57">
              <w:rPr>
                <w:rFonts w:eastAsia="Calibri" w:cs="Arial"/>
                <w:bCs/>
                <w:color w:val="000000"/>
                <w:sz w:val="18"/>
                <w:szCs w:val="18"/>
                <w:lang w:eastAsia="en-GB"/>
              </w:rPr>
              <w:t>Remarks</w:t>
            </w:r>
          </w:p>
        </w:tc>
      </w:tr>
      <w:tr w:rsidR="00567E0E" w14:paraId="5CCF67D3" w14:textId="77777777" w:rsidTr="009C176F">
        <w:trPr>
          <w:trHeight w:val="75"/>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4E1FB627" w14:textId="77777777" w:rsidR="00567E0E" w:rsidRPr="00BD5D57" w:rsidRDefault="00567E0E" w:rsidP="00261A29">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Molecular weight</w:t>
            </w:r>
          </w:p>
        </w:tc>
        <w:tc>
          <w:tcPr>
            <w:tcW w:w="1309" w:type="dxa"/>
            <w:tcBorders>
              <w:top w:val="single" w:sz="4" w:space="0" w:color="000000"/>
              <w:left w:val="single" w:sz="4" w:space="0" w:color="000000"/>
              <w:bottom w:val="single" w:sz="4" w:space="0" w:color="000000"/>
            </w:tcBorders>
            <w:shd w:val="clear" w:color="auto" w:fill="FFFFFF"/>
            <w:vAlign w:val="center"/>
          </w:tcPr>
          <w:p w14:paraId="319BDA6C"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253.81</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43173C6C"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5F445F">
              <w:rPr>
                <w:color w:val="000000"/>
                <w:sz w:val="18"/>
                <w:szCs w:val="18"/>
              </w:rPr>
              <w:t>g.mol</w:t>
            </w:r>
            <w:r w:rsidRPr="005F445F">
              <w:rPr>
                <w:color w:val="000000"/>
                <w:sz w:val="18"/>
                <w:szCs w:val="18"/>
                <w:vertAlign w:val="superscript"/>
              </w:rPr>
              <w:t>-1</w:t>
            </w:r>
          </w:p>
        </w:tc>
        <w:tc>
          <w:tcPr>
            <w:tcW w:w="2278" w:type="dxa"/>
            <w:vMerge w:val="restart"/>
            <w:tcBorders>
              <w:top w:val="single" w:sz="4" w:space="0" w:color="000000"/>
              <w:left w:val="single" w:sz="4" w:space="0" w:color="000000"/>
              <w:right w:val="single" w:sz="4" w:space="0" w:color="000000"/>
            </w:tcBorders>
            <w:shd w:val="clear" w:color="auto" w:fill="FFFFFF"/>
            <w:vAlign w:val="center"/>
          </w:tcPr>
          <w:p w14:paraId="6D75D73E" w14:textId="77777777" w:rsidR="00567E0E" w:rsidRPr="00BD5D57" w:rsidRDefault="00567E0E" w:rsidP="00261A29">
            <w:pPr>
              <w:autoSpaceDE w:val="0"/>
              <w:snapToGrid w:val="0"/>
              <w:spacing w:line="260" w:lineRule="atLeast"/>
              <w:rPr>
                <w:rFonts w:eastAsia="Calibri" w:cs="Arial"/>
                <w:color w:val="000000"/>
                <w:sz w:val="18"/>
                <w:szCs w:val="18"/>
                <w:lang w:eastAsia="en-GB"/>
              </w:rPr>
            </w:pPr>
            <w:r w:rsidRPr="00402365">
              <w:rPr>
                <w:rFonts w:eastAsia="Calibri" w:cs="Arial"/>
                <w:color w:val="000000"/>
                <w:sz w:val="18"/>
                <w:szCs w:val="18"/>
                <w:lang w:eastAsia="en-GB"/>
              </w:rPr>
              <w:t>Assessment Report for Iodine (including PVP-iodine) p</w:t>
            </w:r>
            <w:r>
              <w:rPr>
                <w:rFonts w:eastAsia="Calibri" w:cs="Arial"/>
                <w:color w:val="000000"/>
                <w:sz w:val="18"/>
                <w:szCs w:val="18"/>
                <w:lang w:eastAsia="en-GB"/>
              </w:rPr>
              <w:t>roduct types 1, 3, 4, and 22,</w:t>
            </w:r>
            <w:r w:rsidRPr="00402365">
              <w:rPr>
                <w:rFonts w:eastAsia="Calibri" w:cs="Arial"/>
                <w:color w:val="000000"/>
                <w:sz w:val="18"/>
                <w:szCs w:val="18"/>
                <w:lang w:eastAsia="en-GB"/>
              </w:rPr>
              <w:t xml:space="preserve"> December 2013</w:t>
            </w:r>
          </w:p>
        </w:tc>
      </w:tr>
      <w:tr w:rsidR="00567E0E" w14:paraId="684DE2F2" w14:textId="77777777" w:rsidTr="009C176F">
        <w:trPr>
          <w:trHeight w:val="75"/>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1BCEDEB3" w14:textId="77777777" w:rsidR="00567E0E" w:rsidRPr="00BD5D57" w:rsidRDefault="00567E0E" w:rsidP="00261A29">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 xml:space="preserve">Vapour pressure (at </w:t>
            </w:r>
            <w:r>
              <w:rPr>
                <w:rFonts w:eastAsia="Calibri" w:cs="Arial"/>
                <w:color w:val="000000"/>
                <w:sz w:val="18"/>
                <w:szCs w:val="18"/>
                <w:lang w:eastAsia="en-GB"/>
              </w:rPr>
              <w:t>20°</w:t>
            </w:r>
            <w:r w:rsidRPr="00BD5D57">
              <w:rPr>
                <w:rFonts w:eastAsia="Calibri" w:cs="Arial"/>
                <w:color w:val="000000"/>
                <w:sz w:val="18"/>
                <w:szCs w:val="18"/>
                <w:lang w:eastAsia="en-GB"/>
              </w:rPr>
              <w:t>C)</w:t>
            </w:r>
          </w:p>
        </w:tc>
        <w:tc>
          <w:tcPr>
            <w:tcW w:w="1309" w:type="dxa"/>
            <w:tcBorders>
              <w:top w:val="single" w:sz="4" w:space="0" w:color="000000"/>
              <w:left w:val="single" w:sz="4" w:space="0" w:color="000000"/>
              <w:bottom w:val="single" w:sz="4" w:space="0" w:color="000000"/>
            </w:tcBorders>
            <w:shd w:val="clear" w:color="auto" w:fill="FFFFFF"/>
            <w:vAlign w:val="center"/>
          </w:tcPr>
          <w:p w14:paraId="6A4232B8"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40.7</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08A0B7CE" w14:textId="77777777" w:rsidR="00567E0E" w:rsidRPr="00BD5D57" w:rsidRDefault="00567E0E" w:rsidP="009C176F">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Pa</w:t>
            </w:r>
          </w:p>
        </w:tc>
        <w:tc>
          <w:tcPr>
            <w:tcW w:w="2278" w:type="dxa"/>
            <w:vMerge/>
            <w:tcBorders>
              <w:left w:val="single" w:sz="4" w:space="0" w:color="000000"/>
              <w:right w:val="single" w:sz="4" w:space="0" w:color="000000"/>
            </w:tcBorders>
            <w:shd w:val="clear" w:color="auto" w:fill="FFFFFF"/>
            <w:vAlign w:val="center"/>
          </w:tcPr>
          <w:p w14:paraId="18B81016"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152D1AC7" w14:textId="77777777" w:rsidTr="009C176F">
        <w:trPr>
          <w:trHeight w:val="75"/>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0F085EA5" w14:textId="77777777" w:rsidR="00567E0E" w:rsidRPr="00BD5D57" w:rsidRDefault="00567E0E" w:rsidP="00261A29">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 xml:space="preserve">Water solubility (at </w:t>
            </w:r>
            <w:r>
              <w:rPr>
                <w:rFonts w:eastAsia="Calibri" w:cs="Arial"/>
                <w:color w:val="000000"/>
                <w:sz w:val="18"/>
                <w:szCs w:val="18"/>
                <w:lang w:eastAsia="en-GB"/>
              </w:rPr>
              <w:t>20</w:t>
            </w:r>
            <w:r w:rsidRPr="00BD5D57">
              <w:rPr>
                <w:rFonts w:eastAsia="Calibri" w:cs="Arial"/>
                <w:color w:val="000000"/>
                <w:sz w:val="18"/>
                <w:szCs w:val="18"/>
                <w:lang w:eastAsia="en-GB"/>
              </w:rPr>
              <w:t>°C)</w:t>
            </w:r>
          </w:p>
        </w:tc>
        <w:tc>
          <w:tcPr>
            <w:tcW w:w="1309" w:type="dxa"/>
            <w:tcBorders>
              <w:top w:val="single" w:sz="4" w:space="0" w:color="000000"/>
              <w:left w:val="single" w:sz="4" w:space="0" w:color="000000"/>
              <w:bottom w:val="single" w:sz="4" w:space="0" w:color="000000"/>
            </w:tcBorders>
            <w:shd w:val="clear" w:color="auto" w:fill="FFFFFF"/>
            <w:vAlign w:val="center"/>
          </w:tcPr>
          <w:p w14:paraId="4F2395AA" w14:textId="77777777" w:rsidR="00567E0E" w:rsidRPr="00BD5D57" w:rsidRDefault="00567E0E" w:rsidP="009C176F">
            <w:pPr>
              <w:autoSpaceDE w:val="0"/>
              <w:snapToGrid w:val="0"/>
              <w:spacing w:line="260" w:lineRule="atLeast"/>
              <w:ind w:right="175"/>
              <w:rPr>
                <w:rFonts w:eastAsia="Calibri" w:cs="Arial"/>
                <w:color w:val="000000"/>
                <w:sz w:val="18"/>
                <w:szCs w:val="18"/>
                <w:lang w:eastAsia="en-GB"/>
              </w:rPr>
            </w:pPr>
            <w:r w:rsidRPr="00BD5D57">
              <w:rPr>
                <w:rFonts w:eastAsia="Calibri" w:cs="Arial"/>
                <w:color w:val="000000"/>
                <w:sz w:val="18"/>
                <w:szCs w:val="18"/>
                <w:lang w:eastAsia="en-GB"/>
              </w:rPr>
              <w:t>290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23317DAA" w14:textId="77777777" w:rsidR="00567E0E" w:rsidRPr="00BD5D57" w:rsidRDefault="00567E0E" w:rsidP="009C176F">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mg/</w:t>
            </w:r>
            <w:r>
              <w:rPr>
                <w:rFonts w:eastAsia="Calibri" w:cs="Arial"/>
                <w:color w:val="000000"/>
                <w:sz w:val="18"/>
                <w:szCs w:val="18"/>
                <w:lang w:eastAsia="en-GB"/>
              </w:rPr>
              <w:t>L</w:t>
            </w:r>
          </w:p>
        </w:tc>
        <w:tc>
          <w:tcPr>
            <w:tcW w:w="2278" w:type="dxa"/>
            <w:vMerge/>
            <w:tcBorders>
              <w:left w:val="single" w:sz="4" w:space="0" w:color="000000"/>
              <w:bottom w:val="single" w:sz="4" w:space="0" w:color="000000"/>
              <w:right w:val="single" w:sz="4" w:space="0" w:color="000000"/>
            </w:tcBorders>
            <w:shd w:val="clear" w:color="auto" w:fill="FFFFFF"/>
            <w:vAlign w:val="center"/>
          </w:tcPr>
          <w:p w14:paraId="3CAEB39B"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47E2B0A7" w14:textId="77777777" w:rsidTr="009C176F">
        <w:trPr>
          <w:trHeight w:val="75"/>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7E68F31F" w14:textId="77777777" w:rsidR="00567E0E" w:rsidRPr="00BD5D57" w:rsidRDefault="00567E0E" w:rsidP="00261A29">
            <w:pPr>
              <w:autoSpaceDE w:val="0"/>
              <w:spacing w:line="260" w:lineRule="atLeast"/>
              <w:rPr>
                <w:rFonts w:eastAsia="Calibri" w:cs="Arial"/>
                <w:color w:val="000000"/>
                <w:sz w:val="18"/>
                <w:szCs w:val="18"/>
                <w:lang w:val="fr-BE" w:eastAsia="en-GB"/>
              </w:rPr>
            </w:pPr>
            <w:r w:rsidRPr="00354826">
              <w:rPr>
                <w:rFonts w:eastAsia="Calibri" w:cs="Arial"/>
                <w:color w:val="000000"/>
                <w:sz w:val="18"/>
                <w:szCs w:val="18"/>
                <w:lang w:val="fr-BE" w:eastAsia="en-GB"/>
              </w:rPr>
              <w:t>Log Octanol/water parti</w:t>
            </w:r>
            <w:r w:rsidRPr="00BD5D57">
              <w:rPr>
                <w:rFonts w:eastAsia="Calibri" w:cs="Arial"/>
                <w:color w:val="000000"/>
                <w:sz w:val="18"/>
                <w:szCs w:val="18"/>
                <w:lang w:val="fr-BE" w:eastAsia="en-GB"/>
              </w:rPr>
              <w:t>tion coefficient</w:t>
            </w:r>
          </w:p>
        </w:tc>
        <w:tc>
          <w:tcPr>
            <w:tcW w:w="1309" w:type="dxa"/>
            <w:tcBorders>
              <w:top w:val="single" w:sz="4" w:space="0" w:color="000000"/>
              <w:left w:val="single" w:sz="4" w:space="0" w:color="000000"/>
              <w:bottom w:val="single" w:sz="4" w:space="0" w:color="000000"/>
            </w:tcBorders>
            <w:shd w:val="clear" w:color="auto" w:fill="FFFFFF"/>
            <w:vAlign w:val="center"/>
          </w:tcPr>
          <w:p w14:paraId="1B43DA42" w14:textId="47FFB147" w:rsidR="00567E0E" w:rsidRPr="00BD5D57" w:rsidRDefault="002D0BFB" w:rsidP="009C176F">
            <w:pPr>
              <w:autoSpaceDE w:val="0"/>
              <w:snapToGrid w:val="0"/>
              <w:spacing w:line="260" w:lineRule="atLeast"/>
              <w:rPr>
                <w:rFonts w:eastAsia="Calibri" w:cs="Arial"/>
                <w:color w:val="000000"/>
                <w:sz w:val="18"/>
                <w:szCs w:val="18"/>
                <w:lang w:val="fr-BE" w:eastAsia="en-GB"/>
              </w:rPr>
            </w:pPr>
            <w:r>
              <w:rPr>
                <w:rFonts w:eastAsia="Calibri" w:cs="Arial"/>
                <w:color w:val="000000"/>
                <w:sz w:val="18"/>
                <w:szCs w:val="18"/>
                <w:lang w:val="fr-BE" w:eastAsia="en-GB"/>
              </w:rPr>
              <w:t>-</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1518E255" w14:textId="5643EA1F" w:rsidR="00567E0E" w:rsidRPr="00BD5D57" w:rsidRDefault="002D0BFB" w:rsidP="009C176F">
            <w:pPr>
              <w:autoSpaceDE w:val="0"/>
              <w:spacing w:line="260" w:lineRule="atLeast"/>
              <w:rPr>
                <w:rFonts w:eastAsia="Calibri" w:cs="Arial"/>
                <w:color w:val="000000"/>
                <w:sz w:val="18"/>
                <w:szCs w:val="18"/>
                <w:lang w:eastAsia="en-GB"/>
              </w:rPr>
            </w:pPr>
            <w:r>
              <w:rPr>
                <w:rFonts w:eastAsia="Calibri" w:cs="Arial"/>
                <w:color w:val="000000"/>
                <w:sz w:val="18"/>
                <w:szCs w:val="18"/>
                <w:lang w:val="fr-BE" w:eastAsia="en-GB"/>
              </w:rPr>
              <w: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F8DE0" w14:textId="74A899F9" w:rsidR="00567E0E" w:rsidRPr="00BD5D57" w:rsidRDefault="002D0BFB" w:rsidP="00261A29">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Inorganic substance</w:t>
            </w:r>
          </w:p>
        </w:tc>
      </w:tr>
      <w:tr w:rsidR="00567E0E" w14:paraId="681899C2" w14:textId="77777777" w:rsidTr="009C176F">
        <w:trPr>
          <w:trHeight w:val="75"/>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5E9FCE42" w14:textId="77777777" w:rsidR="00567E0E" w:rsidRPr="00BD5D57" w:rsidRDefault="00567E0E" w:rsidP="00261A29">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Organic carbon/water partition coefficient (Koc)</w:t>
            </w:r>
          </w:p>
        </w:tc>
        <w:tc>
          <w:tcPr>
            <w:tcW w:w="1309" w:type="dxa"/>
            <w:tcBorders>
              <w:top w:val="single" w:sz="4" w:space="0" w:color="000000"/>
              <w:left w:val="single" w:sz="4" w:space="0" w:color="000000"/>
              <w:bottom w:val="single" w:sz="4" w:space="0" w:color="000000"/>
            </w:tcBorders>
            <w:shd w:val="clear" w:color="auto" w:fill="FFFFFF"/>
            <w:vAlign w:val="center"/>
          </w:tcPr>
          <w:p w14:paraId="33B8A0C7" w14:textId="38D94A1C" w:rsidR="00567E0E" w:rsidRPr="00BD5D57" w:rsidRDefault="00A64B57" w:rsidP="009C176F">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Not relevant</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4CFCD439" w14:textId="77777777" w:rsidR="00567E0E" w:rsidRPr="00BD5D57" w:rsidRDefault="00567E0E" w:rsidP="009C176F">
            <w:pPr>
              <w:autoSpaceDE w:val="0"/>
              <w:spacing w:line="260" w:lineRule="atLeast"/>
              <w:rPr>
                <w:rFonts w:eastAsia="Calibri" w:cs="Arial"/>
                <w:color w:val="000000"/>
                <w:sz w:val="18"/>
                <w:szCs w:val="18"/>
                <w:lang w:eastAsia="en-GB"/>
              </w:rPr>
            </w:pPr>
            <w:r>
              <w:rPr>
                <w:rFonts w:eastAsia="Calibri" w:cs="Arial"/>
                <w:color w:val="000000"/>
                <w:sz w:val="18"/>
                <w:szCs w:val="18"/>
                <w:lang w:eastAsia="en-GB"/>
              </w:rPr>
              <w:t>L</w:t>
            </w:r>
            <w:r w:rsidRPr="00BD5D57">
              <w:rPr>
                <w:rFonts w:eastAsia="Calibri" w:cs="Arial"/>
                <w:color w:val="000000"/>
                <w:sz w:val="18"/>
                <w:szCs w:val="18"/>
                <w:lang w:eastAsia="en-GB"/>
              </w:rPr>
              <w:t>/kg</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6780F" w14:textId="1E6614FD" w:rsidR="00567E0E" w:rsidRPr="00BD5D57" w:rsidRDefault="00A64B57" w:rsidP="00261A29">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Inorganic substance</w:t>
            </w:r>
          </w:p>
        </w:tc>
      </w:tr>
      <w:tr w:rsidR="00567E0E" w14:paraId="5B485DE4"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12CF9E2B" w14:textId="77777777" w:rsidR="00567E0E" w:rsidRPr="00BD5D57" w:rsidRDefault="00567E0E" w:rsidP="00261A29">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 xml:space="preserve">Henry’s Law Constant (at </w:t>
            </w:r>
            <w:r>
              <w:rPr>
                <w:rFonts w:eastAsia="Calibri" w:cs="Arial"/>
                <w:color w:val="000000"/>
                <w:sz w:val="18"/>
                <w:szCs w:val="18"/>
                <w:lang w:eastAsia="en-GB"/>
              </w:rPr>
              <w:t>20°</w:t>
            </w:r>
            <w:r w:rsidRPr="00BD5D57">
              <w:rPr>
                <w:rFonts w:eastAsia="Calibri" w:cs="Arial"/>
                <w:color w:val="000000"/>
                <w:sz w:val="18"/>
                <w:szCs w:val="18"/>
                <w:lang w:eastAsia="en-GB"/>
              </w:rPr>
              <w:t>C)</w:t>
            </w:r>
          </w:p>
        </w:tc>
        <w:tc>
          <w:tcPr>
            <w:tcW w:w="1309" w:type="dxa"/>
            <w:tcBorders>
              <w:top w:val="single" w:sz="4" w:space="0" w:color="000000"/>
              <w:left w:val="single" w:sz="4" w:space="0" w:color="000000"/>
              <w:bottom w:val="single" w:sz="4" w:space="0" w:color="000000"/>
            </w:tcBorders>
            <w:shd w:val="clear" w:color="auto" w:fill="FFFFFF"/>
            <w:vAlign w:val="center"/>
          </w:tcPr>
          <w:p w14:paraId="41F3804F"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34.43</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358E2261" w14:textId="77777777" w:rsidR="00567E0E" w:rsidRPr="00BD5D57" w:rsidRDefault="00567E0E" w:rsidP="009C176F">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Pa/m</w:t>
            </w:r>
            <w:r w:rsidRPr="006B5EF2">
              <w:rPr>
                <w:rFonts w:eastAsia="Calibri" w:cs="Arial"/>
                <w:color w:val="000000"/>
                <w:sz w:val="18"/>
                <w:szCs w:val="18"/>
                <w:vertAlign w:val="superscript"/>
                <w:lang w:eastAsia="en-GB"/>
              </w:rPr>
              <w:t>3</w:t>
            </w:r>
            <w:r w:rsidRPr="00BD5D57">
              <w:rPr>
                <w:rFonts w:eastAsia="Calibri" w:cs="Arial"/>
                <w:color w:val="000000"/>
                <w:sz w:val="18"/>
                <w:szCs w:val="18"/>
                <w:lang w:eastAsia="en-GB"/>
              </w:rPr>
              <w:t>/mol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9A840"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17748CA2"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0246C7FA" w14:textId="77777777" w:rsidR="00567E0E" w:rsidRPr="00BD5D57" w:rsidRDefault="00567E0E" w:rsidP="00261A29">
            <w:pPr>
              <w:autoSpaceDE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DT</w:t>
            </w:r>
            <w:r w:rsidRPr="00BD5D57">
              <w:rPr>
                <w:rFonts w:eastAsia="Calibri" w:cs="Arial"/>
                <w:color w:val="000000"/>
                <w:sz w:val="18"/>
                <w:szCs w:val="18"/>
                <w:vertAlign w:val="subscript"/>
                <w:lang w:eastAsia="en-GB"/>
              </w:rPr>
              <w:t>50</w:t>
            </w:r>
            <w:r w:rsidRPr="00BD5D57">
              <w:rPr>
                <w:rFonts w:eastAsia="Calibri" w:cs="Arial"/>
                <w:color w:val="000000"/>
                <w:sz w:val="18"/>
                <w:szCs w:val="18"/>
                <w:lang w:eastAsia="en-GB"/>
              </w:rPr>
              <w:t xml:space="preserve"> for degradation in soil</w:t>
            </w:r>
          </w:p>
        </w:tc>
        <w:tc>
          <w:tcPr>
            <w:tcW w:w="1309" w:type="dxa"/>
            <w:tcBorders>
              <w:top w:val="single" w:sz="4" w:space="0" w:color="000000"/>
              <w:left w:val="single" w:sz="4" w:space="0" w:color="000000"/>
              <w:bottom w:val="single" w:sz="4" w:space="0" w:color="000000"/>
            </w:tcBorders>
            <w:shd w:val="clear" w:color="auto" w:fill="FFFFFF"/>
            <w:vAlign w:val="center"/>
          </w:tcPr>
          <w:p w14:paraId="7072749E"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color w:val="000000"/>
                <w:sz w:val="18"/>
                <w:szCs w:val="18"/>
                <w:lang w:eastAsia="en-GB"/>
              </w:rPr>
              <w:t>1</w:t>
            </w:r>
            <w:r>
              <w:rPr>
                <w:rFonts w:eastAsia="Calibri" w:cs="Arial"/>
                <w:color w:val="000000"/>
                <w:sz w:val="18"/>
                <w:szCs w:val="18"/>
                <w:lang w:eastAsia="en-GB"/>
              </w:rPr>
              <w:t>.0</w:t>
            </w:r>
            <w:r w:rsidRPr="00BD5D57">
              <w:rPr>
                <w:rFonts w:eastAsia="Calibri" w:cs="Arial"/>
                <w:color w:val="000000"/>
                <w:sz w:val="18"/>
                <w:szCs w:val="18"/>
                <w:lang w:eastAsia="en-GB"/>
              </w:rPr>
              <w:t>E+06</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71F0D772" w14:textId="77777777" w:rsidR="00567E0E" w:rsidRPr="00BD5D57" w:rsidRDefault="00567E0E" w:rsidP="009C176F">
            <w:pPr>
              <w:autoSpaceDE w:val="0"/>
              <w:spacing w:line="260" w:lineRule="atLeast"/>
              <w:rPr>
                <w:rFonts w:eastAsia="Calibri" w:cs="Arial"/>
                <w:color w:val="000000"/>
                <w:sz w:val="18"/>
                <w:szCs w:val="18"/>
                <w:lang w:eastAsia="en-GB"/>
              </w:rPr>
            </w:pPr>
            <w:r>
              <w:rPr>
                <w:rFonts w:eastAsia="Calibri" w:cs="Arial"/>
                <w:color w:val="000000"/>
                <w:sz w:val="18"/>
                <w:szCs w:val="18"/>
                <w:lang w:eastAsia="en-GB"/>
              </w:rPr>
              <w:t>D</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F861F88" w14:textId="77777777" w:rsidR="00567E0E" w:rsidRPr="00BD5D57" w:rsidRDefault="00567E0E" w:rsidP="00261A29">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Inorganic substance</w:t>
            </w:r>
          </w:p>
        </w:tc>
      </w:tr>
      <w:tr w:rsidR="00567E0E" w14:paraId="29B5B142"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6D43EFBA" w14:textId="77777777" w:rsidR="00567E0E" w:rsidRPr="00BD5D57" w:rsidRDefault="00567E0E" w:rsidP="00261A29">
            <w:pPr>
              <w:autoSpaceDE w:val="0"/>
              <w:spacing w:line="260" w:lineRule="atLeast"/>
              <w:rPr>
                <w:rFonts w:eastAsia="Calibri" w:cs="Arial"/>
                <w:color w:val="000000"/>
                <w:sz w:val="18"/>
                <w:szCs w:val="18"/>
                <w:lang w:eastAsia="en-GB"/>
              </w:rPr>
            </w:pPr>
            <w:r w:rsidRPr="00012B32">
              <w:rPr>
                <w:rFonts w:eastAsia="Calibri" w:cs="Arial"/>
                <w:color w:val="000000"/>
                <w:sz w:val="18"/>
                <w:szCs w:val="18"/>
                <w:lang w:eastAsia="en-GB"/>
              </w:rPr>
              <w:t>Solids-water partition coefficient in soil (K</w:t>
            </w:r>
            <w:r>
              <w:rPr>
                <w:rFonts w:eastAsia="Calibri" w:cs="Arial"/>
                <w:color w:val="000000"/>
                <w:sz w:val="18"/>
                <w:szCs w:val="18"/>
                <w:vertAlign w:val="subscript"/>
                <w:lang w:eastAsia="en-GB"/>
              </w:rPr>
              <w:t>p, soil</w:t>
            </w:r>
            <w:r w:rsidRPr="00012B32">
              <w:rPr>
                <w:rFonts w:eastAsia="Calibri" w:cs="Arial"/>
                <w:color w:val="000000"/>
                <w:sz w:val="18"/>
                <w:szCs w:val="18"/>
                <w:lang w:eastAsia="en-GB"/>
              </w:rPr>
              <w:t>)</w:t>
            </w:r>
          </w:p>
        </w:tc>
        <w:tc>
          <w:tcPr>
            <w:tcW w:w="1309" w:type="dxa"/>
            <w:tcBorders>
              <w:top w:val="single" w:sz="4" w:space="0" w:color="000000"/>
              <w:left w:val="single" w:sz="4" w:space="0" w:color="000000"/>
              <w:bottom w:val="single" w:sz="4" w:space="0" w:color="000000"/>
            </w:tcBorders>
            <w:shd w:val="clear" w:color="auto" w:fill="FFFFFF"/>
            <w:vAlign w:val="center"/>
          </w:tcPr>
          <w:p w14:paraId="62509A58"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012B32">
              <w:rPr>
                <w:rFonts w:eastAsia="Calibri" w:cs="Arial"/>
                <w:color w:val="000000"/>
                <w:sz w:val="18"/>
                <w:szCs w:val="18"/>
                <w:lang w:eastAsia="en-GB"/>
              </w:rPr>
              <w:t>5.8</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493E11D6" w14:textId="77777777" w:rsidR="00567E0E" w:rsidRPr="00BD5D57" w:rsidRDefault="00567E0E" w:rsidP="009C176F">
            <w:pPr>
              <w:autoSpaceDE w:val="0"/>
              <w:spacing w:line="260" w:lineRule="atLeast"/>
              <w:rPr>
                <w:rFonts w:eastAsia="Calibri" w:cs="Arial"/>
                <w:color w:val="000000"/>
                <w:sz w:val="18"/>
                <w:szCs w:val="18"/>
                <w:lang w:eastAsia="en-GB"/>
              </w:rPr>
            </w:pPr>
            <w:r>
              <w:rPr>
                <w:rFonts w:eastAsia="Calibri" w:cs="Arial"/>
                <w:color w:val="000000"/>
                <w:sz w:val="18"/>
                <w:szCs w:val="18"/>
                <w:lang w:eastAsia="en-GB"/>
              </w:rPr>
              <w:t>L</w:t>
            </w:r>
            <w:r w:rsidRPr="00012B32">
              <w:rPr>
                <w:rFonts w:eastAsia="Calibri" w:cs="Arial"/>
                <w:color w:val="000000"/>
                <w:sz w:val="18"/>
                <w:szCs w:val="18"/>
                <w:lang w:eastAsia="en-GB"/>
              </w:rPr>
              <w:t>/kg</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6D3F1FD9" w14:textId="7F6D296A" w:rsidR="00567E0E" w:rsidRPr="00BD5D57" w:rsidRDefault="002D0BFB" w:rsidP="00261A29">
            <w:pPr>
              <w:autoSpaceDE w:val="0"/>
              <w:snapToGrid w:val="0"/>
              <w:spacing w:line="260" w:lineRule="atLeast"/>
              <w:rPr>
                <w:rFonts w:eastAsia="Calibri" w:cs="Arial"/>
                <w:color w:val="000000"/>
                <w:sz w:val="18"/>
                <w:szCs w:val="18"/>
                <w:lang w:eastAsia="en-GB"/>
              </w:rPr>
            </w:pPr>
            <w:r w:rsidRPr="00CE7B4D">
              <w:rPr>
                <w:rFonts w:eastAsia="Calibri" w:cs="Arial"/>
                <w:color w:val="000000"/>
                <w:sz w:val="18"/>
                <w:szCs w:val="18"/>
                <w:lang w:eastAsia="en-GB"/>
              </w:rPr>
              <w:t>OECD 106 screening study and supported by the IAEA report</w:t>
            </w:r>
          </w:p>
        </w:tc>
      </w:tr>
      <w:tr w:rsidR="00567E0E" w14:paraId="45DC2526"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3A5DFA55" w14:textId="77777777" w:rsidR="00567E0E" w:rsidRPr="00BD5D57" w:rsidRDefault="00567E0E" w:rsidP="00261A29">
            <w:pPr>
              <w:autoSpaceDE w:val="0"/>
              <w:spacing w:line="260" w:lineRule="atLeast"/>
              <w:rPr>
                <w:rFonts w:eastAsia="Calibri" w:cs="Arial"/>
                <w:color w:val="000000"/>
                <w:sz w:val="18"/>
                <w:szCs w:val="18"/>
                <w:lang w:eastAsia="en-GB"/>
              </w:rPr>
            </w:pPr>
            <w:r w:rsidRPr="00012B32">
              <w:rPr>
                <w:rFonts w:eastAsia="Calibri" w:cs="Arial"/>
                <w:color w:val="000000"/>
                <w:sz w:val="18"/>
                <w:szCs w:val="18"/>
                <w:lang w:eastAsia="en-GB"/>
              </w:rPr>
              <w:t>Solids-water partition coefficient in suspended matter (K</w:t>
            </w:r>
            <w:r w:rsidRPr="00012B32">
              <w:rPr>
                <w:rFonts w:eastAsia="Calibri" w:cs="Arial"/>
                <w:color w:val="000000"/>
                <w:sz w:val="18"/>
                <w:szCs w:val="18"/>
                <w:vertAlign w:val="subscript"/>
                <w:lang w:eastAsia="en-GB"/>
              </w:rPr>
              <w:t>p, susp</w:t>
            </w:r>
            <w:r w:rsidRPr="00012B32">
              <w:rPr>
                <w:rFonts w:eastAsia="Calibri" w:cs="Arial"/>
                <w:color w:val="000000"/>
                <w:sz w:val="18"/>
                <w:szCs w:val="18"/>
                <w:lang w:eastAsia="en-GB"/>
              </w:rPr>
              <w:t>)_</w:t>
            </w:r>
          </w:p>
        </w:tc>
        <w:tc>
          <w:tcPr>
            <w:tcW w:w="1309" w:type="dxa"/>
            <w:tcBorders>
              <w:top w:val="single" w:sz="4" w:space="0" w:color="000000"/>
              <w:left w:val="single" w:sz="4" w:space="0" w:color="000000"/>
              <w:bottom w:val="single" w:sz="4" w:space="0" w:color="000000"/>
            </w:tcBorders>
            <w:shd w:val="clear" w:color="auto" w:fill="FFFFFF"/>
            <w:vAlign w:val="center"/>
          </w:tcPr>
          <w:p w14:paraId="4259620D"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012B32">
              <w:rPr>
                <w:rFonts w:eastAsia="Calibri" w:cs="Arial"/>
                <w:color w:val="000000"/>
                <w:sz w:val="18"/>
                <w:szCs w:val="18"/>
                <w:lang w:eastAsia="en-GB"/>
              </w:rPr>
              <w:t>220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7A135806" w14:textId="77777777" w:rsidR="00567E0E" w:rsidRPr="00BD5D57" w:rsidRDefault="00567E0E" w:rsidP="009C176F">
            <w:pPr>
              <w:autoSpaceDE w:val="0"/>
              <w:spacing w:line="260" w:lineRule="atLeast"/>
              <w:rPr>
                <w:rFonts w:eastAsia="Calibri" w:cs="Arial"/>
                <w:color w:val="000000"/>
                <w:sz w:val="18"/>
                <w:szCs w:val="18"/>
                <w:lang w:eastAsia="en-GB"/>
              </w:rPr>
            </w:pPr>
            <w:r>
              <w:rPr>
                <w:rFonts w:eastAsia="Calibri" w:cs="Arial"/>
                <w:color w:val="000000"/>
                <w:sz w:val="18"/>
                <w:szCs w:val="18"/>
                <w:lang w:eastAsia="en-GB"/>
              </w:rPr>
              <w:t>L</w:t>
            </w:r>
            <w:r w:rsidRPr="00012B32">
              <w:rPr>
                <w:rFonts w:eastAsia="Calibri" w:cs="Arial"/>
                <w:color w:val="000000"/>
                <w:sz w:val="18"/>
                <w:szCs w:val="18"/>
                <w:lang w:eastAsia="en-GB"/>
              </w:rPr>
              <w:t>/kg</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5324CD13" w14:textId="6EE3EE1D" w:rsidR="00567E0E" w:rsidRPr="00BD5D57" w:rsidRDefault="002D0BFB" w:rsidP="00261A29">
            <w:pPr>
              <w:autoSpaceDE w:val="0"/>
              <w:snapToGrid w:val="0"/>
              <w:spacing w:line="260" w:lineRule="atLeast"/>
              <w:rPr>
                <w:rFonts w:eastAsia="Calibri" w:cs="Arial"/>
                <w:color w:val="000000"/>
                <w:sz w:val="18"/>
                <w:szCs w:val="18"/>
                <w:lang w:eastAsia="en-GB"/>
              </w:rPr>
            </w:pPr>
            <w:r w:rsidRPr="00CE7B4D">
              <w:rPr>
                <w:rFonts w:eastAsia="Calibri" w:cs="Arial"/>
                <w:color w:val="000000"/>
                <w:sz w:val="18"/>
                <w:szCs w:val="18"/>
                <w:lang w:eastAsia="en-GB"/>
              </w:rPr>
              <w:t>IAEA Technical report No 472</w:t>
            </w:r>
          </w:p>
        </w:tc>
      </w:tr>
      <w:tr w:rsidR="00567E0E" w14:paraId="504CFC23"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2989F514" w14:textId="77777777" w:rsidR="00567E0E" w:rsidRPr="00BD5D57" w:rsidRDefault="00567E0E" w:rsidP="00261A29">
            <w:pPr>
              <w:autoSpaceDE w:val="0"/>
              <w:spacing w:line="260" w:lineRule="atLeast"/>
              <w:rPr>
                <w:rFonts w:eastAsia="Calibri" w:cs="Arial"/>
                <w:color w:val="000000"/>
                <w:sz w:val="18"/>
                <w:szCs w:val="18"/>
                <w:lang w:eastAsia="en-GB"/>
              </w:rPr>
            </w:pPr>
            <w:r w:rsidRPr="00402365">
              <w:rPr>
                <w:rFonts w:eastAsia="Calibri" w:cs="Arial"/>
                <w:color w:val="000000"/>
                <w:sz w:val="18"/>
                <w:szCs w:val="18"/>
                <w:lang w:eastAsia="en-GB"/>
              </w:rPr>
              <w:t>Solids-water par</w:t>
            </w:r>
            <w:r>
              <w:rPr>
                <w:rFonts w:eastAsia="Calibri" w:cs="Arial"/>
                <w:color w:val="000000"/>
                <w:sz w:val="18"/>
                <w:szCs w:val="18"/>
                <w:lang w:eastAsia="en-GB"/>
              </w:rPr>
              <w:t>tition coefficient in soil (K</w:t>
            </w:r>
            <w:r w:rsidRPr="006B5EF2">
              <w:rPr>
                <w:rFonts w:eastAsia="Calibri" w:cs="Arial"/>
                <w:color w:val="000000"/>
                <w:sz w:val="18"/>
                <w:szCs w:val="18"/>
                <w:vertAlign w:val="subscript"/>
                <w:lang w:eastAsia="en-GB"/>
              </w:rPr>
              <w:t>soil-water</w:t>
            </w:r>
            <w:r w:rsidRPr="00402365">
              <w:rPr>
                <w:rFonts w:eastAsia="Calibri" w:cs="Arial"/>
                <w:color w:val="000000"/>
                <w:sz w:val="18"/>
                <w:szCs w:val="18"/>
                <w:lang w:eastAsia="en-GB"/>
              </w:rPr>
              <w:t>)</w:t>
            </w:r>
          </w:p>
        </w:tc>
        <w:tc>
          <w:tcPr>
            <w:tcW w:w="1309" w:type="dxa"/>
            <w:tcBorders>
              <w:top w:val="single" w:sz="4" w:space="0" w:color="000000"/>
              <w:left w:val="single" w:sz="4" w:space="0" w:color="000000"/>
              <w:bottom w:val="single" w:sz="4" w:space="0" w:color="000000"/>
            </w:tcBorders>
            <w:shd w:val="clear" w:color="auto" w:fill="FFFFFF"/>
            <w:vAlign w:val="center"/>
          </w:tcPr>
          <w:p w14:paraId="2C8BC4AD"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8.90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0904F479" w14:textId="77777777" w:rsidR="00567E0E" w:rsidRPr="00BD5D57" w:rsidRDefault="00567E0E" w:rsidP="009C176F">
            <w:pPr>
              <w:autoSpaceDE w:val="0"/>
              <w:spacing w:line="260" w:lineRule="atLeast"/>
              <w:rPr>
                <w:rFonts w:eastAsia="Calibri" w:cs="Arial"/>
                <w:color w:val="000000"/>
                <w:sz w:val="18"/>
                <w:szCs w:val="18"/>
                <w:lang w:eastAsia="en-GB"/>
              </w:rPr>
            </w:pPr>
            <w:r w:rsidRPr="00402365">
              <w:rPr>
                <w:rFonts w:eastAsia="Calibri" w:cs="Arial"/>
                <w:color w:val="000000"/>
                <w:sz w:val="18"/>
                <w:szCs w:val="18"/>
                <w:lang w:eastAsia="en-GB"/>
              </w:rPr>
              <w:t>m</w:t>
            </w:r>
            <w:r w:rsidRPr="006B5EF2">
              <w:rPr>
                <w:rFonts w:eastAsia="Calibri" w:cs="Arial"/>
                <w:color w:val="000000"/>
                <w:sz w:val="18"/>
                <w:szCs w:val="18"/>
                <w:vertAlign w:val="superscript"/>
                <w:lang w:eastAsia="en-GB"/>
              </w:rPr>
              <w:t>3</w:t>
            </w:r>
            <w:r w:rsidRPr="00402365">
              <w:rPr>
                <w:rFonts w:eastAsia="Calibri" w:cs="Arial"/>
                <w:color w:val="000000"/>
                <w:sz w:val="18"/>
                <w:szCs w:val="18"/>
                <w:lang w:eastAsia="en-GB"/>
              </w:rPr>
              <w:t>.m</w:t>
            </w:r>
            <w:r w:rsidRPr="006B5EF2">
              <w:rPr>
                <w:rFonts w:eastAsia="Calibri" w:cs="Arial"/>
                <w:color w:val="000000"/>
                <w:sz w:val="18"/>
                <w:szCs w:val="18"/>
                <w:vertAlign w:val="superscript"/>
                <w:lang w:eastAsia="en-GB"/>
              </w:rPr>
              <w:t>-3</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1E236E59" w14:textId="215199F6" w:rsidR="00567E0E" w:rsidRPr="00BD5D57" w:rsidRDefault="002D0BFB" w:rsidP="00261A29">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Calculated</w:t>
            </w:r>
          </w:p>
        </w:tc>
      </w:tr>
      <w:tr w:rsidR="00567E0E" w14:paraId="529FFD60"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3471A036" w14:textId="56C0B95B" w:rsidR="00567E0E" w:rsidRPr="00BD5D57" w:rsidRDefault="00567E0E" w:rsidP="00261A29">
            <w:pPr>
              <w:autoSpaceDE w:val="0"/>
              <w:snapToGrid w:val="0"/>
              <w:spacing w:line="260" w:lineRule="atLeast"/>
              <w:rPr>
                <w:rFonts w:cs="Arial"/>
                <w:b/>
                <w:sz w:val="18"/>
                <w:szCs w:val="18"/>
                <w:lang w:eastAsia="en-GB"/>
              </w:rPr>
            </w:pPr>
            <w:r>
              <w:rPr>
                <w:rFonts w:eastAsia="Calibri" w:cs="Arial"/>
                <w:color w:val="000000"/>
                <w:sz w:val="18"/>
                <w:szCs w:val="18"/>
                <w:lang w:eastAsia="en-GB"/>
              </w:rPr>
              <w:t>kleach</w:t>
            </w:r>
            <w:r w:rsidRPr="005F445F">
              <w:rPr>
                <w:rFonts w:eastAsia="Calibri" w:cs="Arial"/>
                <w:color w:val="000000"/>
                <w:sz w:val="18"/>
                <w:szCs w:val="18"/>
                <w:lang w:eastAsia="en-GB"/>
              </w:rPr>
              <w:t xml:space="preserve"> (0.2</w:t>
            </w:r>
            <w:r>
              <w:rPr>
                <w:rFonts w:eastAsia="Calibri" w:cs="Arial"/>
                <w:color w:val="000000"/>
                <w:sz w:val="18"/>
                <w:szCs w:val="18"/>
                <w:lang w:eastAsia="en-GB"/>
              </w:rPr>
              <w:t xml:space="preserve"> </w:t>
            </w:r>
            <w:r w:rsidRPr="005F445F">
              <w:rPr>
                <w:rFonts w:eastAsia="Calibri" w:cs="Arial"/>
                <w:color w:val="000000"/>
                <w:sz w:val="18"/>
                <w:szCs w:val="18"/>
                <w:lang w:eastAsia="en-GB"/>
              </w:rPr>
              <w:t>m relevant for STP</w:t>
            </w:r>
            <w:r>
              <w:rPr>
                <w:rFonts w:eastAsia="Calibri" w:cs="Arial"/>
                <w:color w:val="000000"/>
                <w:sz w:val="18"/>
                <w:szCs w:val="18"/>
                <w:lang w:eastAsia="en-GB"/>
              </w:rPr>
              <w:t xml:space="preserve"> and slurry/manure arable land</w:t>
            </w:r>
            <w:r w:rsidRPr="005F445F">
              <w:rPr>
                <w:rFonts w:eastAsia="Calibri" w:cs="Arial"/>
                <w:color w:val="000000"/>
                <w:sz w:val="18"/>
                <w:szCs w:val="18"/>
                <w:lang w:eastAsia="en-GB"/>
              </w:rPr>
              <w:t>)</w:t>
            </w:r>
          </w:p>
        </w:tc>
        <w:tc>
          <w:tcPr>
            <w:tcW w:w="1309" w:type="dxa"/>
            <w:tcBorders>
              <w:top w:val="single" w:sz="4" w:space="0" w:color="000000"/>
              <w:left w:val="single" w:sz="4" w:space="0" w:color="000000"/>
              <w:bottom w:val="single" w:sz="4" w:space="0" w:color="000000"/>
            </w:tcBorders>
            <w:shd w:val="clear" w:color="auto" w:fill="FFFFFF"/>
            <w:vAlign w:val="center"/>
          </w:tcPr>
          <w:p w14:paraId="061BF4C3"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2.70E-04</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798998B4"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w:t>
            </w:r>
            <w:r w:rsidRPr="00FE50A7">
              <w:rPr>
                <w:rFonts w:eastAsia="Calibri" w:cs="Arial"/>
                <w:color w:val="000000"/>
                <w:sz w:val="18"/>
                <w:szCs w:val="18"/>
                <w:vertAlign w:val="superscript"/>
                <w:lang w:eastAsia="en-GB"/>
              </w:rPr>
              <w:t>-1</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2EB4369D" w14:textId="38F9A29F" w:rsidR="00567E0E" w:rsidRPr="00BD5D57" w:rsidRDefault="00A64B57" w:rsidP="00261A29">
            <w:pPr>
              <w:autoSpaceDE w:val="0"/>
              <w:snapToGrid w:val="0"/>
              <w:spacing w:line="260" w:lineRule="atLeast"/>
              <w:rPr>
                <w:rFonts w:eastAsia="Calibri" w:cs="Arial"/>
                <w:color w:val="000000"/>
                <w:sz w:val="18"/>
                <w:szCs w:val="18"/>
                <w:lang w:eastAsia="en-GB"/>
              </w:rPr>
            </w:pPr>
            <w:r>
              <w:rPr>
                <w:rFonts w:cs="Arial"/>
                <w:sz w:val="18"/>
                <w:szCs w:val="18"/>
                <w:lang w:eastAsia="en-GB"/>
              </w:rPr>
              <w:t>Agreed at the WG level</w:t>
            </w:r>
          </w:p>
        </w:tc>
      </w:tr>
      <w:tr w:rsidR="00567E0E" w14:paraId="4EEA3040"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5EC82BA2" w14:textId="5294AAD4" w:rsidR="00567E0E" w:rsidRPr="00BD5D57" w:rsidRDefault="00567E0E" w:rsidP="00261A29">
            <w:pPr>
              <w:autoSpaceDE w:val="0"/>
              <w:snapToGrid w:val="0"/>
              <w:spacing w:line="260" w:lineRule="atLeast"/>
              <w:rPr>
                <w:rFonts w:cs="Arial"/>
                <w:b/>
                <w:sz w:val="18"/>
                <w:szCs w:val="18"/>
                <w:lang w:eastAsia="en-GB"/>
              </w:rPr>
            </w:pPr>
            <w:r>
              <w:rPr>
                <w:rFonts w:eastAsia="Calibri" w:cs="Arial"/>
                <w:color w:val="000000"/>
                <w:sz w:val="18"/>
                <w:szCs w:val="18"/>
                <w:lang w:eastAsia="en-GB"/>
              </w:rPr>
              <w:t xml:space="preserve">kleach (0.05 </w:t>
            </w:r>
            <w:r w:rsidRPr="005F445F">
              <w:rPr>
                <w:rFonts w:eastAsia="Calibri" w:cs="Arial"/>
                <w:color w:val="000000"/>
                <w:sz w:val="18"/>
                <w:szCs w:val="18"/>
                <w:lang w:eastAsia="en-GB"/>
              </w:rPr>
              <w:t xml:space="preserve">m relevant for </w:t>
            </w:r>
            <w:r>
              <w:rPr>
                <w:rFonts w:eastAsia="Calibri" w:cs="Arial"/>
                <w:color w:val="000000"/>
                <w:sz w:val="18"/>
                <w:szCs w:val="18"/>
                <w:lang w:eastAsia="en-GB"/>
              </w:rPr>
              <w:t>slurry/manure grass land</w:t>
            </w:r>
            <w:r w:rsidRPr="005F445F">
              <w:rPr>
                <w:rFonts w:eastAsia="Calibri" w:cs="Arial"/>
                <w:color w:val="000000"/>
                <w:sz w:val="18"/>
                <w:szCs w:val="18"/>
                <w:lang w:eastAsia="en-GB"/>
              </w:rPr>
              <w:t>)</w:t>
            </w:r>
          </w:p>
        </w:tc>
        <w:tc>
          <w:tcPr>
            <w:tcW w:w="1309" w:type="dxa"/>
            <w:tcBorders>
              <w:top w:val="single" w:sz="4" w:space="0" w:color="000000"/>
              <w:left w:val="single" w:sz="4" w:space="0" w:color="000000"/>
              <w:bottom w:val="single" w:sz="4" w:space="0" w:color="000000"/>
            </w:tcBorders>
            <w:shd w:val="clear" w:color="auto" w:fill="FFFFFF"/>
            <w:vAlign w:val="center"/>
          </w:tcPr>
          <w:p w14:paraId="403EC4F0"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1.08E-03</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4315F1EC"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w:t>
            </w:r>
            <w:r w:rsidRPr="00FE50A7">
              <w:rPr>
                <w:rFonts w:eastAsia="Calibri" w:cs="Arial"/>
                <w:color w:val="000000"/>
                <w:sz w:val="18"/>
                <w:szCs w:val="18"/>
                <w:vertAlign w:val="superscript"/>
                <w:lang w:eastAsia="en-GB"/>
              </w:rPr>
              <w:t>-1</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BEEB032" w14:textId="76C08BDB" w:rsidR="00567E0E" w:rsidRPr="00BD5D57" w:rsidRDefault="00A64B57" w:rsidP="00261A29">
            <w:pPr>
              <w:autoSpaceDE w:val="0"/>
              <w:snapToGrid w:val="0"/>
              <w:spacing w:line="260" w:lineRule="atLeast"/>
              <w:rPr>
                <w:rFonts w:eastAsia="Calibri" w:cs="Arial"/>
                <w:color w:val="000000"/>
                <w:sz w:val="18"/>
                <w:szCs w:val="18"/>
                <w:lang w:eastAsia="en-GB"/>
              </w:rPr>
            </w:pPr>
            <w:r>
              <w:rPr>
                <w:rFonts w:cs="Arial"/>
                <w:sz w:val="18"/>
                <w:szCs w:val="18"/>
                <w:lang w:eastAsia="en-GB"/>
              </w:rPr>
              <w:t>Agreed at the WG</w:t>
            </w:r>
            <w:r w:rsidDel="00A64B57">
              <w:rPr>
                <w:rFonts w:cs="Arial"/>
                <w:sz w:val="18"/>
                <w:szCs w:val="18"/>
                <w:lang w:eastAsia="en-GB"/>
              </w:rPr>
              <w:t xml:space="preserve"> </w:t>
            </w:r>
            <w:r>
              <w:rPr>
                <w:rFonts w:cs="Arial"/>
                <w:sz w:val="18"/>
                <w:szCs w:val="18"/>
                <w:lang w:eastAsia="en-GB"/>
              </w:rPr>
              <w:t>level</w:t>
            </w:r>
          </w:p>
        </w:tc>
      </w:tr>
      <w:tr w:rsidR="00567E0E" w14:paraId="04316077"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0949E909" w14:textId="77777777" w:rsidR="00567E0E" w:rsidRPr="00BD5D57" w:rsidRDefault="00567E0E" w:rsidP="00261A29">
            <w:pPr>
              <w:autoSpaceDE w:val="0"/>
              <w:snapToGrid w:val="0"/>
              <w:spacing w:line="260" w:lineRule="atLeast"/>
              <w:rPr>
                <w:rFonts w:eastAsia="Calibri" w:cs="Arial"/>
                <w:color w:val="000000"/>
                <w:sz w:val="18"/>
                <w:szCs w:val="18"/>
                <w:lang w:eastAsia="en-GB"/>
              </w:rPr>
            </w:pPr>
            <w:r w:rsidRPr="00BD5D57">
              <w:rPr>
                <w:rFonts w:cs="Arial"/>
                <w:b/>
                <w:sz w:val="18"/>
                <w:szCs w:val="18"/>
                <w:lang w:eastAsia="en-GB"/>
              </w:rPr>
              <w:t>Parameters for iodide</w:t>
            </w:r>
          </w:p>
        </w:tc>
        <w:tc>
          <w:tcPr>
            <w:tcW w:w="1309" w:type="dxa"/>
            <w:tcBorders>
              <w:top w:val="single" w:sz="4" w:space="0" w:color="000000"/>
              <w:left w:val="single" w:sz="4" w:space="0" w:color="000000"/>
              <w:bottom w:val="single" w:sz="4" w:space="0" w:color="000000"/>
            </w:tcBorders>
            <w:shd w:val="clear" w:color="auto" w:fill="FFFFFF"/>
            <w:vAlign w:val="center"/>
          </w:tcPr>
          <w:p w14:paraId="737DB351" w14:textId="77777777" w:rsidR="00567E0E" w:rsidRPr="00BD5D57" w:rsidRDefault="00567E0E" w:rsidP="009C176F">
            <w:pPr>
              <w:autoSpaceDE w:val="0"/>
              <w:snapToGrid w:val="0"/>
              <w:spacing w:line="260" w:lineRule="atLeast"/>
              <w:rPr>
                <w:rFonts w:eastAsia="Calibri" w:cs="Arial"/>
                <w:color w:val="000000"/>
                <w:sz w:val="18"/>
                <w:szCs w:val="18"/>
                <w:lang w:eastAsia="en-GB"/>
              </w:rPr>
            </w:pP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38551B58" w14:textId="77777777" w:rsidR="00567E0E" w:rsidRPr="00BD5D57" w:rsidRDefault="00567E0E" w:rsidP="009C176F">
            <w:pPr>
              <w:autoSpaceDE w:val="0"/>
              <w:snapToGrid w:val="0"/>
              <w:spacing w:line="260" w:lineRule="atLeast"/>
              <w:rPr>
                <w:rFonts w:eastAsia="Calibri" w:cs="Arial"/>
                <w:color w:val="000000"/>
                <w:sz w:val="18"/>
                <w:szCs w:val="18"/>
                <w:lang w:eastAsia="en-GB"/>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406CE9E"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052B4F75"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754E5945" w14:textId="77777777" w:rsidR="00567E0E" w:rsidRPr="00BD5D57" w:rsidRDefault="00567E0E" w:rsidP="00261A29">
            <w:pPr>
              <w:autoSpaceDE w:val="0"/>
              <w:snapToGrid w:val="0"/>
              <w:spacing w:line="260" w:lineRule="atLeast"/>
              <w:rPr>
                <w:rFonts w:eastAsia="Calibri" w:cs="Arial"/>
                <w:color w:val="000000"/>
                <w:sz w:val="18"/>
                <w:szCs w:val="18"/>
                <w:lang w:eastAsia="en-GB"/>
              </w:rPr>
            </w:pPr>
            <w:r w:rsidRPr="00BD5D57">
              <w:rPr>
                <w:rFonts w:cs="Arial"/>
                <w:sz w:val="18"/>
                <w:szCs w:val="18"/>
              </w:rPr>
              <w:t xml:space="preserve">Transformation rate in surface water iodine to iodide </w:t>
            </w:r>
          </w:p>
        </w:tc>
        <w:tc>
          <w:tcPr>
            <w:tcW w:w="1309" w:type="dxa"/>
            <w:tcBorders>
              <w:top w:val="single" w:sz="4" w:space="0" w:color="000000"/>
              <w:left w:val="single" w:sz="4" w:space="0" w:color="000000"/>
              <w:bottom w:val="single" w:sz="4" w:space="0" w:color="000000"/>
            </w:tcBorders>
            <w:shd w:val="clear" w:color="auto" w:fill="FFFFFF"/>
            <w:vAlign w:val="center"/>
          </w:tcPr>
          <w:p w14:paraId="59C39411"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cs="Arial"/>
                <w:sz w:val="18"/>
                <w:szCs w:val="18"/>
              </w:rPr>
              <w:t>100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3F142E83"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bCs/>
                <w:color w:val="000000"/>
                <w:sz w:val="18"/>
                <w:szCs w:val="18"/>
                <w:lang w:eastAsia="en-GB"/>
              </w:rPr>
              <w: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0449255F"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7D4122DC"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6993F9D8" w14:textId="77777777" w:rsidR="00567E0E" w:rsidRPr="00BD5D57" w:rsidRDefault="00567E0E" w:rsidP="00261A29">
            <w:pPr>
              <w:autoSpaceDE w:val="0"/>
              <w:snapToGrid w:val="0"/>
              <w:spacing w:line="260" w:lineRule="atLeast"/>
              <w:rPr>
                <w:rFonts w:cs="Arial"/>
                <w:sz w:val="18"/>
                <w:szCs w:val="18"/>
              </w:rPr>
            </w:pPr>
            <w:r w:rsidRPr="00BD5D57">
              <w:rPr>
                <w:rFonts w:cs="Arial"/>
                <w:sz w:val="18"/>
                <w:szCs w:val="18"/>
              </w:rPr>
              <w:t xml:space="preserve">Transformation rate in soil iodine to iodide via the STP </w:t>
            </w:r>
          </w:p>
        </w:tc>
        <w:tc>
          <w:tcPr>
            <w:tcW w:w="1309" w:type="dxa"/>
            <w:tcBorders>
              <w:top w:val="single" w:sz="4" w:space="0" w:color="000000"/>
              <w:left w:val="single" w:sz="4" w:space="0" w:color="000000"/>
              <w:bottom w:val="single" w:sz="4" w:space="0" w:color="000000"/>
            </w:tcBorders>
            <w:shd w:val="clear" w:color="auto" w:fill="FFFFFF"/>
            <w:vAlign w:val="center"/>
          </w:tcPr>
          <w:p w14:paraId="6CE4B21A" w14:textId="5C3BE129" w:rsidR="00567E0E" w:rsidRPr="00BD5D57" w:rsidRDefault="00D14200" w:rsidP="009C176F">
            <w:pPr>
              <w:autoSpaceDE w:val="0"/>
              <w:snapToGrid w:val="0"/>
              <w:spacing w:line="260" w:lineRule="atLeast"/>
              <w:rPr>
                <w:rFonts w:cs="Arial"/>
                <w:sz w:val="18"/>
                <w:szCs w:val="18"/>
              </w:rPr>
            </w:pPr>
            <w:r>
              <w:rPr>
                <w:rFonts w:cs="Arial"/>
                <w:sz w:val="18"/>
                <w:szCs w:val="18"/>
              </w:rPr>
              <w:t>14</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1C917919"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bCs/>
                <w:color w:val="000000"/>
                <w:sz w:val="18"/>
                <w:szCs w:val="18"/>
                <w:lang w:eastAsia="en-GB"/>
              </w:rPr>
              <w: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13DF6C0E" w14:textId="6DEED895" w:rsidR="00567E0E" w:rsidRPr="00A0176D" w:rsidRDefault="00567E0E" w:rsidP="00261A29">
            <w:pPr>
              <w:autoSpaceDE w:val="0"/>
              <w:snapToGrid w:val="0"/>
              <w:spacing w:line="260" w:lineRule="atLeast"/>
              <w:rPr>
                <w:rFonts w:eastAsia="Calibri" w:cs="Arial"/>
                <w:color w:val="000000"/>
                <w:sz w:val="18"/>
                <w:szCs w:val="18"/>
                <w:lang w:val="en-US" w:eastAsia="en-GB"/>
              </w:rPr>
            </w:pPr>
          </w:p>
        </w:tc>
      </w:tr>
      <w:tr w:rsidR="00567E0E" w14:paraId="3E3CAEC2"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46E34097" w14:textId="77777777" w:rsidR="00567E0E" w:rsidRPr="00BD5D57" w:rsidRDefault="00567E0E" w:rsidP="00261A29">
            <w:pPr>
              <w:autoSpaceDE w:val="0"/>
              <w:snapToGrid w:val="0"/>
              <w:spacing w:line="260" w:lineRule="atLeast"/>
              <w:rPr>
                <w:rFonts w:cs="Arial"/>
                <w:sz w:val="18"/>
                <w:szCs w:val="18"/>
              </w:rPr>
            </w:pPr>
            <w:r w:rsidRPr="00BD5D57">
              <w:rPr>
                <w:rFonts w:cs="Arial"/>
                <w:sz w:val="18"/>
                <w:szCs w:val="18"/>
              </w:rPr>
              <w:t xml:space="preserve">Transformation rate in soil iodine to iodide via manure </w:t>
            </w:r>
          </w:p>
        </w:tc>
        <w:tc>
          <w:tcPr>
            <w:tcW w:w="1309" w:type="dxa"/>
            <w:tcBorders>
              <w:top w:val="single" w:sz="4" w:space="0" w:color="000000"/>
              <w:left w:val="single" w:sz="4" w:space="0" w:color="000000"/>
              <w:bottom w:val="single" w:sz="4" w:space="0" w:color="000000"/>
            </w:tcBorders>
            <w:shd w:val="clear" w:color="auto" w:fill="FFFFFF"/>
            <w:vAlign w:val="center"/>
          </w:tcPr>
          <w:p w14:paraId="1731C5A3" w14:textId="77777777" w:rsidR="00567E0E" w:rsidRPr="00BD5D57" w:rsidRDefault="00567E0E" w:rsidP="009C176F">
            <w:pPr>
              <w:autoSpaceDE w:val="0"/>
              <w:snapToGrid w:val="0"/>
              <w:spacing w:line="260" w:lineRule="atLeast"/>
              <w:rPr>
                <w:rFonts w:cs="Arial"/>
                <w:sz w:val="18"/>
                <w:szCs w:val="18"/>
              </w:rPr>
            </w:pPr>
            <w:r w:rsidRPr="00BD5D57">
              <w:rPr>
                <w:rFonts w:cs="Arial"/>
                <w:sz w:val="18"/>
                <w:szCs w:val="18"/>
              </w:rPr>
              <w:t>100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6B77BD74"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bCs/>
                <w:color w:val="000000"/>
                <w:sz w:val="18"/>
                <w:szCs w:val="18"/>
                <w:lang w:eastAsia="en-GB"/>
              </w:rPr>
              <w: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6BABF0AB"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23BB8721"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39090BD6" w14:textId="77777777" w:rsidR="00567E0E" w:rsidRPr="00BD5D57" w:rsidRDefault="00567E0E" w:rsidP="00261A29">
            <w:pPr>
              <w:autoSpaceDE w:val="0"/>
              <w:snapToGrid w:val="0"/>
              <w:spacing w:line="260" w:lineRule="atLeast"/>
              <w:rPr>
                <w:rFonts w:cs="Arial"/>
                <w:sz w:val="18"/>
                <w:szCs w:val="18"/>
              </w:rPr>
            </w:pPr>
            <w:r w:rsidRPr="00BD5D57">
              <w:rPr>
                <w:rFonts w:cs="Arial"/>
                <w:sz w:val="18"/>
                <w:szCs w:val="18"/>
              </w:rPr>
              <w:t xml:space="preserve">Molecular equivalent iodide/iodine </w:t>
            </w:r>
          </w:p>
        </w:tc>
        <w:tc>
          <w:tcPr>
            <w:tcW w:w="1309" w:type="dxa"/>
            <w:tcBorders>
              <w:top w:val="single" w:sz="4" w:space="0" w:color="000000"/>
              <w:left w:val="single" w:sz="4" w:space="0" w:color="000000"/>
              <w:bottom w:val="single" w:sz="4" w:space="0" w:color="000000"/>
            </w:tcBorders>
            <w:shd w:val="clear" w:color="auto" w:fill="FFFFFF"/>
            <w:vAlign w:val="center"/>
          </w:tcPr>
          <w:p w14:paraId="2B17F5E6" w14:textId="77777777" w:rsidR="00567E0E" w:rsidRPr="00BD5D57" w:rsidRDefault="00567E0E" w:rsidP="009C176F">
            <w:pPr>
              <w:autoSpaceDE w:val="0"/>
              <w:snapToGrid w:val="0"/>
              <w:spacing w:line="260" w:lineRule="atLeast"/>
              <w:rPr>
                <w:rFonts w:cs="Arial"/>
                <w:sz w:val="18"/>
                <w:szCs w:val="18"/>
              </w:rPr>
            </w:pPr>
            <w:r w:rsidRPr="00BD5D57">
              <w:rPr>
                <w:rFonts w:cs="Arial"/>
                <w:sz w:val="18"/>
                <w:szCs w:val="18"/>
              </w:rPr>
              <w:t>1</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51413446" w14:textId="77777777" w:rsidR="00567E0E" w:rsidRPr="00BD5D57" w:rsidRDefault="00567E0E" w:rsidP="009C176F">
            <w:pPr>
              <w:autoSpaceDE w:val="0"/>
              <w:snapToGrid w:val="0"/>
              <w:spacing w:line="260" w:lineRule="atLeast"/>
              <w:rPr>
                <w:rFonts w:eastAsia="Calibri" w:cs="Arial"/>
                <w:color w:val="000000"/>
                <w:sz w:val="18"/>
                <w:szCs w:val="18"/>
                <w:lang w:eastAsia="en-GB"/>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4D7F325A"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1BE1F97F"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6C3BCE0F" w14:textId="77777777" w:rsidR="00567E0E" w:rsidRPr="00BD5D57" w:rsidRDefault="00567E0E" w:rsidP="00261A29">
            <w:pPr>
              <w:autoSpaceDE w:val="0"/>
              <w:snapToGrid w:val="0"/>
              <w:spacing w:line="260" w:lineRule="atLeast"/>
              <w:rPr>
                <w:rFonts w:cs="Arial"/>
                <w:sz w:val="18"/>
                <w:szCs w:val="18"/>
              </w:rPr>
            </w:pPr>
            <w:r w:rsidRPr="00BD5D57">
              <w:rPr>
                <w:rFonts w:cs="Arial"/>
                <w:b/>
                <w:sz w:val="18"/>
                <w:szCs w:val="18"/>
                <w:lang w:eastAsia="en-GB"/>
              </w:rPr>
              <w:t>Parameters for iodate</w:t>
            </w:r>
          </w:p>
        </w:tc>
        <w:tc>
          <w:tcPr>
            <w:tcW w:w="1309" w:type="dxa"/>
            <w:tcBorders>
              <w:top w:val="single" w:sz="4" w:space="0" w:color="000000"/>
              <w:left w:val="single" w:sz="4" w:space="0" w:color="000000"/>
              <w:bottom w:val="single" w:sz="4" w:space="0" w:color="000000"/>
            </w:tcBorders>
            <w:shd w:val="clear" w:color="auto" w:fill="FFFFFF"/>
            <w:vAlign w:val="center"/>
          </w:tcPr>
          <w:p w14:paraId="4D5D03D1" w14:textId="77777777" w:rsidR="00567E0E" w:rsidRPr="00BD5D57" w:rsidRDefault="00567E0E" w:rsidP="009C176F">
            <w:pPr>
              <w:autoSpaceDE w:val="0"/>
              <w:snapToGrid w:val="0"/>
              <w:spacing w:line="260" w:lineRule="atLeast"/>
              <w:rPr>
                <w:rFonts w:cs="Arial"/>
                <w:sz w:val="18"/>
                <w:szCs w:val="18"/>
              </w:rPr>
            </w:pP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04685833" w14:textId="77777777" w:rsidR="00567E0E" w:rsidRPr="00BD5D57" w:rsidRDefault="00567E0E" w:rsidP="009C176F">
            <w:pPr>
              <w:autoSpaceDE w:val="0"/>
              <w:snapToGrid w:val="0"/>
              <w:spacing w:line="260" w:lineRule="atLeast"/>
              <w:rPr>
                <w:rFonts w:eastAsia="Calibri" w:cs="Arial"/>
                <w:color w:val="000000"/>
                <w:sz w:val="18"/>
                <w:szCs w:val="18"/>
                <w:lang w:eastAsia="en-GB"/>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20C45E4"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049B537F"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472D436B" w14:textId="77777777" w:rsidR="00567E0E" w:rsidRPr="00BD5D57" w:rsidRDefault="00567E0E" w:rsidP="00261A29">
            <w:pPr>
              <w:autoSpaceDE w:val="0"/>
              <w:snapToGrid w:val="0"/>
              <w:spacing w:line="260" w:lineRule="atLeast"/>
              <w:rPr>
                <w:rFonts w:cs="Arial"/>
                <w:b/>
                <w:sz w:val="18"/>
                <w:szCs w:val="18"/>
                <w:lang w:eastAsia="en-GB"/>
              </w:rPr>
            </w:pPr>
            <w:r w:rsidRPr="00BD5D57">
              <w:rPr>
                <w:rFonts w:cs="Arial"/>
                <w:sz w:val="18"/>
                <w:szCs w:val="18"/>
              </w:rPr>
              <w:t xml:space="preserve">Transformation rate in surface water iodine to iodate </w:t>
            </w:r>
          </w:p>
        </w:tc>
        <w:tc>
          <w:tcPr>
            <w:tcW w:w="1309" w:type="dxa"/>
            <w:tcBorders>
              <w:top w:val="single" w:sz="4" w:space="0" w:color="000000"/>
              <w:left w:val="single" w:sz="4" w:space="0" w:color="000000"/>
              <w:bottom w:val="single" w:sz="4" w:space="0" w:color="000000"/>
            </w:tcBorders>
            <w:shd w:val="clear" w:color="auto" w:fill="FFFFFF"/>
            <w:vAlign w:val="center"/>
          </w:tcPr>
          <w:p w14:paraId="2E80483F" w14:textId="77777777" w:rsidR="00567E0E" w:rsidRPr="00BD5D57" w:rsidRDefault="00567E0E" w:rsidP="009C176F">
            <w:pPr>
              <w:autoSpaceDE w:val="0"/>
              <w:snapToGrid w:val="0"/>
              <w:spacing w:line="260" w:lineRule="atLeast"/>
              <w:rPr>
                <w:rFonts w:cs="Arial"/>
                <w:sz w:val="18"/>
                <w:szCs w:val="18"/>
              </w:rPr>
            </w:pPr>
            <w:r w:rsidRPr="00BD5D57">
              <w:rPr>
                <w:rFonts w:cs="Arial"/>
                <w:sz w:val="18"/>
                <w:szCs w:val="18"/>
              </w:rPr>
              <w:t>100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0A6073B4"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bCs/>
                <w:color w:val="000000"/>
                <w:sz w:val="18"/>
                <w:szCs w:val="18"/>
                <w:lang w:eastAsia="en-GB"/>
              </w:rPr>
              <w: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1437990"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6E0CC4A9"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55DEDBDE" w14:textId="77777777" w:rsidR="00567E0E" w:rsidRPr="00BD5D57" w:rsidRDefault="00567E0E" w:rsidP="00261A29">
            <w:pPr>
              <w:autoSpaceDE w:val="0"/>
              <w:snapToGrid w:val="0"/>
              <w:spacing w:line="260" w:lineRule="atLeast"/>
              <w:rPr>
                <w:rFonts w:cs="Arial"/>
                <w:sz w:val="18"/>
                <w:szCs w:val="18"/>
              </w:rPr>
            </w:pPr>
            <w:r w:rsidRPr="00BD5D57">
              <w:rPr>
                <w:rFonts w:cs="Arial"/>
                <w:sz w:val="18"/>
                <w:szCs w:val="18"/>
              </w:rPr>
              <w:t xml:space="preserve">Transformation rate in soil iodine to iodate via the STP </w:t>
            </w:r>
          </w:p>
        </w:tc>
        <w:tc>
          <w:tcPr>
            <w:tcW w:w="1309" w:type="dxa"/>
            <w:tcBorders>
              <w:top w:val="single" w:sz="4" w:space="0" w:color="000000"/>
              <w:left w:val="single" w:sz="4" w:space="0" w:color="000000"/>
              <w:bottom w:val="single" w:sz="4" w:space="0" w:color="000000"/>
            </w:tcBorders>
            <w:shd w:val="clear" w:color="auto" w:fill="FFFFFF"/>
            <w:vAlign w:val="center"/>
          </w:tcPr>
          <w:p w14:paraId="61A5BE58" w14:textId="77777777" w:rsidR="00567E0E" w:rsidRPr="00BD5D57" w:rsidRDefault="00567E0E" w:rsidP="009C176F">
            <w:pPr>
              <w:autoSpaceDE w:val="0"/>
              <w:snapToGrid w:val="0"/>
              <w:spacing w:line="260" w:lineRule="atLeast"/>
              <w:rPr>
                <w:rFonts w:cs="Arial"/>
                <w:sz w:val="18"/>
                <w:szCs w:val="18"/>
              </w:rPr>
            </w:pPr>
            <w:r w:rsidRPr="00BD5D57">
              <w:rPr>
                <w:rFonts w:cs="Arial"/>
                <w:sz w:val="18"/>
                <w:szCs w:val="18"/>
              </w:rPr>
              <w:t>100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2E8428FC"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bCs/>
                <w:color w:val="000000"/>
                <w:sz w:val="18"/>
                <w:szCs w:val="18"/>
                <w:lang w:eastAsia="en-GB"/>
              </w:rPr>
              <w: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1F251E6B"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6CFFBA70"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7AE186C5" w14:textId="77777777" w:rsidR="00567E0E" w:rsidRPr="00BD5D57" w:rsidRDefault="00567E0E" w:rsidP="00261A29">
            <w:pPr>
              <w:autoSpaceDE w:val="0"/>
              <w:snapToGrid w:val="0"/>
              <w:spacing w:line="260" w:lineRule="atLeast"/>
              <w:rPr>
                <w:rFonts w:cs="Arial"/>
                <w:sz w:val="18"/>
                <w:szCs w:val="18"/>
              </w:rPr>
            </w:pPr>
            <w:r w:rsidRPr="00BD5D57">
              <w:rPr>
                <w:rFonts w:cs="Arial"/>
                <w:sz w:val="18"/>
                <w:szCs w:val="18"/>
              </w:rPr>
              <w:t xml:space="preserve">Transformation rate in soil iodine to iodate via manure </w:t>
            </w:r>
          </w:p>
        </w:tc>
        <w:tc>
          <w:tcPr>
            <w:tcW w:w="1309" w:type="dxa"/>
            <w:tcBorders>
              <w:top w:val="single" w:sz="4" w:space="0" w:color="000000"/>
              <w:left w:val="single" w:sz="4" w:space="0" w:color="000000"/>
              <w:bottom w:val="single" w:sz="4" w:space="0" w:color="000000"/>
            </w:tcBorders>
            <w:shd w:val="clear" w:color="auto" w:fill="FFFFFF"/>
            <w:vAlign w:val="center"/>
          </w:tcPr>
          <w:p w14:paraId="38FC2BAD" w14:textId="77777777" w:rsidR="00567E0E" w:rsidRPr="00BD5D57" w:rsidRDefault="00567E0E" w:rsidP="009C176F">
            <w:pPr>
              <w:autoSpaceDE w:val="0"/>
              <w:snapToGrid w:val="0"/>
              <w:spacing w:line="260" w:lineRule="atLeast"/>
              <w:rPr>
                <w:rFonts w:cs="Arial"/>
                <w:sz w:val="18"/>
                <w:szCs w:val="18"/>
              </w:rPr>
            </w:pPr>
            <w:r w:rsidRPr="00BD5D57">
              <w:rPr>
                <w:rFonts w:cs="Arial"/>
                <w:sz w:val="18"/>
                <w:szCs w:val="18"/>
              </w:rPr>
              <w:t>100</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3D246C48" w14:textId="77777777" w:rsidR="00567E0E" w:rsidRPr="00BD5D57" w:rsidRDefault="00567E0E" w:rsidP="009C176F">
            <w:pPr>
              <w:autoSpaceDE w:val="0"/>
              <w:snapToGrid w:val="0"/>
              <w:spacing w:line="260" w:lineRule="atLeast"/>
              <w:rPr>
                <w:rFonts w:eastAsia="Calibri" w:cs="Arial"/>
                <w:color w:val="000000"/>
                <w:sz w:val="18"/>
                <w:szCs w:val="18"/>
                <w:lang w:eastAsia="en-GB"/>
              </w:rPr>
            </w:pPr>
            <w:r w:rsidRPr="00BD5D57">
              <w:rPr>
                <w:rFonts w:eastAsia="Calibri" w:cs="Arial"/>
                <w:bCs/>
                <w:color w:val="000000"/>
                <w:sz w:val="18"/>
                <w:szCs w:val="18"/>
                <w:lang w:eastAsia="en-GB"/>
              </w:rPr>
              <w:t>[%]</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395AD73B"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6EB14613" w14:textId="77777777" w:rsidTr="009C176F">
        <w:trPr>
          <w:trHeight w:val="93"/>
        </w:trPr>
        <w:tc>
          <w:tcPr>
            <w:tcW w:w="3936" w:type="dxa"/>
            <w:gridSpan w:val="2"/>
            <w:tcBorders>
              <w:top w:val="single" w:sz="4" w:space="0" w:color="000000"/>
              <w:left w:val="single" w:sz="4" w:space="0" w:color="000000"/>
              <w:bottom w:val="single" w:sz="4" w:space="0" w:color="000000"/>
            </w:tcBorders>
            <w:shd w:val="clear" w:color="auto" w:fill="FFFFFF"/>
            <w:vAlign w:val="center"/>
          </w:tcPr>
          <w:p w14:paraId="29A049E2" w14:textId="77777777" w:rsidR="00567E0E" w:rsidRPr="00BD5D57" w:rsidRDefault="00567E0E" w:rsidP="00261A29">
            <w:pPr>
              <w:autoSpaceDE w:val="0"/>
              <w:snapToGrid w:val="0"/>
              <w:spacing w:line="260" w:lineRule="atLeast"/>
              <w:rPr>
                <w:rFonts w:cs="Arial"/>
                <w:sz w:val="18"/>
                <w:szCs w:val="18"/>
              </w:rPr>
            </w:pPr>
            <w:r w:rsidRPr="00BD5D57">
              <w:rPr>
                <w:rFonts w:cs="Arial"/>
                <w:sz w:val="18"/>
                <w:szCs w:val="18"/>
              </w:rPr>
              <w:t xml:space="preserve">Molecular equivalent iodate/iodine </w:t>
            </w:r>
          </w:p>
        </w:tc>
        <w:tc>
          <w:tcPr>
            <w:tcW w:w="1309" w:type="dxa"/>
            <w:tcBorders>
              <w:top w:val="single" w:sz="4" w:space="0" w:color="000000"/>
              <w:left w:val="single" w:sz="4" w:space="0" w:color="000000"/>
              <w:bottom w:val="single" w:sz="4" w:space="0" w:color="000000"/>
            </w:tcBorders>
            <w:shd w:val="clear" w:color="auto" w:fill="FFFFFF"/>
            <w:vAlign w:val="center"/>
          </w:tcPr>
          <w:p w14:paraId="053F2BDC" w14:textId="77777777" w:rsidR="00567E0E" w:rsidRPr="00BD5D57" w:rsidRDefault="00567E0E" w:rsidP="009C176F">
            <w:pPr>
              <w:autoSpaceDE w:val="0"/>
              <w:snapToGrid w:val="0"/>
              <w:spacing w:line="260" w:lineRule="atLeast"/>
              <w:rPr>
                <w:rFonts w:cs="Arial"/>
                <w:sz w:val="18"/>
                <w:szCs w:val="18"/>
              </w:rPr>
            </w:pPr>
            <w:r w:rsidRPr="00BD5D57">
              <w:rPr>
                <w:rFonts w:cs="Arial"/>
                <w:sz w:val="18"/>
                <w:szCs w:val="18"/>
              </w:rPr>
              <w:t>1.382</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638258B5" w14:textId="77777777" w:rsidR="00567E0E" w:rsidRPr="00BD5D57" w:rsidRDefault="00567E0E" w:rsidP="009C176F">
            <w:pPr>
              <w:autoSpaceDE w:val="0"/>
              <w:snapToGrid w:val="0"/>
              <w:spacing w:line="260" w:lineRule="atLeast"/>
              <w:rPr>
                <w:rFonts w:eastAsia="Calibri" w:cs="Arial"/>
                <w:color w:val="000000"/>
                <w:sz w:val="18"/>
                <w:szCs w:val="18"/>
                <w:lang w:eastAsia="en-GB"/>
              </w:rPr>
            </w:pPr>
          </w:p>
        </w:tc>
        <w:tc>
          <w:tcPr>
            <w:tcW w:w="2278" w:type="dxa"/>
            <w:tcBorders>
              <w:top w:val="single" w:sz="4" w:space="0" w:color="000000"/>
              <w:left w:val="single" w:sz="4" w:space="0" w:color="000000"/>
              <w:bottom w:val="single" w:sz="4" w:space="0" w:color="000000"/>
              <w:right w:val="single" w:sz="4" w:space="0" w:color="000000"/>
            </w:tcBorders>
            <w:shd w:val="clear" w:color="auto" w:fill="FFFFFF"/>
          </w:tcPr>
          <w:p w14:paraId="1A920407" w14:textId="77777777" w:rsidR="00567E0E" w:rsidRPr="00BD5D57" w:rsidRDefault="00567E0E" w:rsidP="00261A29">
            <w:pPr>
              <w:autoSpaceDE w:val="0"/>
              <w:snapToGrid w:val="0"/>
              <w:spacing w:line="260" w:lineRule="atLeast"/>
              <w:rPr>
                <w:rFonts w:eastAsia="Calibri" w:cs="Arial"/>
                <w:color w:val="000000"/>
                <w:sz w:val="18"/>
                <w:szCs w:val="18"/>
                <w:lang w:eastAsia="en-GB"/>
              </w:rPr>
            </w:pPr>
          </w:p>
        </w:tc>
      </w:tr>
      <w:tr w:rsidR="00567E0E" w14:paraId="4B62C586" w14:textId="77777777" w:rsidTr="00261A29">
        <w:trPr>
          <w:trHeight w:val="93"/>
        </w:trPr>
        <w:tc>
          <w:tcPr>
            <w:tcW w:w="936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1DA3653" w14:textId="77777777" w:rsidR="00567E0E" w:rsidRPr="00BD5D57" w:rsidRDefault="00567E0E" w:rsidP="00261A29">
            <w:pPr>
              <w:autoSpaceDE w:val="0"/>
              <w:snapToGrid w:val="0"/>
              <w:spacing w:line="260" w:lineRule="atLeast"/>
              <w:jc w:val="center"/>
              <w:rPr>
                <w:rFonts w:eastAsia="Calibri" w:cs="Arial"/>
                <w:color w:val="000000"/>
                <w:sz w:val="18"/>
                <w:szCs w:val="18"/>
                <w:lang w:eastAsia="en-GB"/>
              </w:rPr>
            </w:pPr>
            <w:r w:rsidRPr="00BD5D57">
              <w:rPr>
                <w:rFonts w:eastAsia="Calibri"/>
                <w:b/>
                <w:sz w:val="18"/>
                <w:szCs w:val="18"/>
                <w:lang w:eastAsia="en-US"/>
              </w:rPr>
              <w:t xml:space="preserve">Calculated fate and distribution in the STP </w:t>
            </w:r>
            <w:r w:rsidRPr="00BD5D57">
              <w:rPr>
                <w:rFonts w:eastAsia="Calibri" w:cs="Arial"/>
                <w:b/>
                <w:color w:val="000000"/>
                <w:sz w:val="18"/>
                <w:szCs w:val="18"/>
                <w:lang w:eastAsia="en-GB"/>
              </w:rPr>
              <w:t>of Iodine</w:t>
            </w:r>
          </w:p>
        </w:tc>
      </w:tr>
      <w:tr w:rsidR="00567E0E" w14:paraId="5D27E953" w14:textId="77777777" w:rsidTr="00261A29">
        <w:trPr>
          <w:trHeight w:val="93"/>
        </w:trPr>
        <w:tc>
          <w:tcPr>
            <w:tcW w:w="2439" w:type="dxa"/>
            <w:tcBorders>
              <w:top w:val="single" w:sz="4" w:space="0" w:color="000000"/>
              <w:left w:val="single" w:sz="4" w:space="0" w:color="000000"/>
              <w:bottom w:val="single" w:sz="4" w:space="0" w:color="000000"/>
            </w:tcBorders>
            <w:shd w:val="clear" w:color="auto" w:fill="FFFFFF"/>
            <w:vAlign w:val="center"/>
          </w:tcPr>
          <w:p w14:paraId="27408870" w14:textId="77777777" w:rsidR="00567E0E" w:rsidRPr="00BD5D57" w:rsidRDefault="00567E0E" w:rsidP="00261A29">
            <w:pPr>
              <w:autoSpaceDE w:val="0"/>
              <w:snapToGrid w:val="0"/>
              <w:spacing w:line="260" w:lineRule="atLeast"/>
              <w:jc w:val="center"/>
              <w:rPr>
                <w:rFonts w:eastAsia="Calibri"/>
                <w:b/>
                <w:sz w:val="18"/>
                <w:szCs w:val="18"/>
                <w:lang w:eastAsia="en-US"/>
              </w:rPr>
            </w:pPr>
            <w:r w:rsidRPr="00BD5D57">
              <w:rPr>
                <w:rFonts w:eastAsia="Calibri" w:cs="Arial"/>
                <w:bCs/>
                <w:color w:val="000000"/>
                <w:sz w:val="18"/>
                <w:szCs w:val="18"/>
                <w:lang w:eastAsia="en-GB"/>
              </w:rPr>
              <w:t>Compartment</w:t>
            </w:r>
          </w:p>
        </w:tc>
        <w:tc>
          <w:tcPr>
            <w:tcW w:w="3827" w:type="dxa"/>
            <w:gridSpan w:val="3"/>
            <w:tcBorders>
              <w:top w:val="single" w:sz="4" w:space="0" w:color="000000"/>
              <w:left w:val="single" w:sz="4" w:space="0" w:color="000000"/>
              <w:bottom w:val="single" w:sz="4" w:space="0" w:color="000000"/>
            </w:tcBorders>
            <w:shd w:val="clear" w:color="auto" w:fill="FFFFFF"/>
            <w:vAlign w:val="center"/>
          </w:tcPr>
          <w:p w14:paraId="71BEF399" w14:textId="77777777" w:rsidR="00567E0E" w:rsidRPr="00BD5D57" w:rsidRDefault="00567E0E" w:rsidP="00261A29">
            <w:pPr>
              <w:autoSpaceDE w:val="0"/>
              <w:snapToGrid w:val="0"/>
              <w:spacing w:line="260" w:lineRule="atLeast"/>
              <w:jc w:val="center"/>
              <w:rPr>
                <w:rFonts w:cs="Arial"/>
                <w:sz w:val="18"/>
                <w:szCs w:val="18"/>
              </w:rPr>
            </w:pPr>
            <w:r w:rsidRPr="00BD5D57">
              <w:rPr>
                <w:rFonts w:eastAsia="Calibri" w:cs="Arial"/>
                <w:bCs/>
                <w:color w:val="000000"/>
                <w:sz w:val="18"/>
                <w:szCs w:val="18"/>
                <w:lang w:eastAsia="en-GB"/>
              </w:rPr>
              <w:t>Percentage [%]</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94164A" w14:textId="77777777" w:rsidR="00567E0E" w:rsidRPr="00BD5D57" w:rsidRDefault="00567E0E" w:rsidP="00261A29">
            <w:pPr>
              <w:autoSpaceDE w:val="0"/>
              <w:snapToGrid w:val="0"/>
              <w:spacing w:line="260" w:lineRule="atLeast"/>
              <w:jc w:val="center"/>
              <w:rPr>
                <w:rFonts w:eastAsia="Calibri" w:cs="Arial"/>
                <w:color w:val="000000"/>
                <w:sz w:val="18"/>
                <w:szCs w:val="18"/>
                <w:lang w:eastAsia="en-GB"/>
              </w:rPr>
            </w:pPr>
            <w:r w:rsidRPr="00BD5D57">
              <w:rPr>
                <w:rFonts w:eastAsia="Calibri" w:cs="Arial"/>
                <w:bCs/>
                <w:color w:val="000000"/>
                <w:sz w:val="18"/>
                <w:szCs w:val="18"/>
                <w:lang w:eastAsia="en-GB"/>
              </w:rPr>
              <w:t>Remarks</w:t>
            </w:r>
          </w:p>
        </w:tc>
      </w:tr>
      <w:tr w:rsidR="00567E0E" w14:paraId="6D5E102A" w14:textId="77777777" w:rsidTr="00261A29">
        <w:trPr>
          <w:trHeight w:val="93"/>
        </w:trPr>
        <w:tc>
          <w:tcPr>
            <w:tcW w:w="2439" w:type="dxa"/>
            <w:tcBorders>
              <w:top w:val="single" w:sz="4" w:space="0" w:color="000000"/>
              <w:left w:val="single" w:sz="4" w:space="0" w:color="000000"/>
              <w:bottom w:val="single" w:sz="4" w:space="0" w:color="000000"/>
            </w:tcBorders>
            <w:shd w:val="clear" w:color="auto" w:fill="FFFFFF"/>
          </w:tcPr>
          <w:p w14:paraId="5F2F0A30" w14:textId="77777777" w:rsidR="00567E0E" w:rsidRPr="00BD5D57" w:rsidRDefault="00567E0E" w:rsidP="00261A29">
            <w:pPr>
              <w:autoSpaceDE w:val="0"/>
              <w:snapToGrid w:val="0"/>
              <w:spacing w:line="260" w:lineRule="atLeast"/>
              <w:rPr>
                <w:rFonts w:eastAsia="Calibri" w:cs="Arial"/>
                <w:bCs/>
                <w:color w:val="000000"/>
                <w:sz w:val="18"/>
                <w:szCs w:val="18"/>
                <w:lang w:eastAsia="en-GB"/>
              </w:rPr>
            </w:pPr>
            <w:r w:rsidRPr="00BD5D57">
              <w:rPr>
                <w:rFonts w:eastAsia="Calibri" w:cs="Arial"/>
                <w:color w:val="000000"/>
                <w:sz w:val="18"/>
                <w:szCs w:val="18"/>
                <w:lang w:eastAsia="en-GB"/>
              </w:rPr>
              <w:t>Air</w:t>
            </w:r>
          </w:p>
        </w:tc>
        <w:tc>
          <w:tcPr>
            <w:tcW w:w="3827" w:type="dxa"/>
            <w:gridSpan w:val="3"/>
            <w:tcBorders>
              <w:top w:val="single" w:sz="4" w:space="0" w:color="000000"/>
              <w:left w:val="single" w:sz="4" w:space="0" w:color="000000"/>
              <w:bottom w:val="single" w:sz="4" w:space="0" w:color="000000"/>
            </w:tcBorders>
            <w:shd w:val="clear" w:color="auto" w:fill="FFFFFF"/>
            <w:vAlign w:val="center"/>
          </w:tcPr>
          <w:p w14:paraId="2AA6C900" w14:textId="77777777" w:rsidR="00567E0E" w:rsidRPr="00BD5D57" w:rsidRDefault="00567E0E" w:rsidP="00261A29">
            <w:pPr>
              <w:autoSpaceDE w:val="0"/>
              <w:snapToGrid w:val="0"/>
              <w:spacing w:line="260" w:lineRule="atLeast"/>
              <w:jc w:val="center"/>
              <w:rPr>
                <w:rFonts w:eastAsia="Calibri" w:cs="Arial"/>
                <w:bCs/>
                <w:color w:val="000000"/>
                <w:sz w:val="18"/>
                <w:szCs w:val="18"/>
                <w:lang w:eastAsia="en-GB"/>
              </w:rPr>
            </w:pPr>
            <w:r w:rsidRPr="00BD5D57">
              <w:rPr>
                <w:rFonts w:eastAsia="Calibri" w:cs="Arial"/>
                <w:color w:val="000000"/>
                <w:sz w:val="18"/>
                <w:szCs w:val="18"/>
                <w:lang w:eastAsia="en-GB"/>
              </w:rPr>
              <w:t>0</w:t>
            </w:r>
          </w:p>
        </w:tc>
        <w:tc>
          <w:tcPr>
            <w:tcW w:w="3100" w:type="dxa"/>
            <w:gridSpan w:val="2"/>
            <w:vMerge w:val="restart"/>
            <w:tcBorders>
              <w:top w:val="single" w:sz="4" w:space="0" w:color="000000"/>
              <w:left w:val="single" w:sz="4" w:space="0" w:color="000000"/>
              <w:right w:val="single" w:sz="4" w:space="0" w:color="000000"/>
            </w:tcBorders>
            <w:shd w:val="clear" w:color="auto" w:fill="FFFFFF"/>
            <w:vAlign w:val="center"/>
          </w:tcPr>
          <w:p w14:paraId="5B79DE9D" w14:textId="3F53DE2D" w:rsidR="00567E0E" w:rsidRPr="00BD5D57" w:rsidRDefault="00567E0E" w:rsidP="00261A29">
            <w:pPr>
              <w:autoSpaceDE w:val="0"/>
              <w:snapToGrid w:val="0"/>
              <w:spacing w:line="260" w:lineRule="atLeast"/>
              <w:rPr>
                <w:rFonts w:eastAsia="Calibri" w:cs="Arial"/>
                <w:color w:val="000000"/>
                <w:sz w:val="18"/>
                <w:szCs w:val="18"/>
                <w:lang w:eastAsia="en-GB"/>
              </w:rPr>
            </w:pPr>
            <w:r w:rsidRPr="00C33632">
              <w:rPr>
                <w:rFonts w:eastAsia="Calibri" w:cs="Arial"/>
                <w:color w:val="000000"/>
                <w:sz w:val="18"/>
                <w:szCs w:val="18"/>
                <w:lang w:eastAsia="en-GB"/>
              </w:rPr>
              <w:t xml:space="preserve">Assessment Report for Iodine (including PVP-iodine) product </w:t>
            </w:r>
            <w:r w:rsidRPr="00C33632">
              <w:rPr>
                <w:rFonts w:eastAsia="Calibri" w:cs="Arial"/>
                <w:color w:val="000000"/>
                <w:sz w:val="18"/>
                <w:szCs w:val="18"/>
                <w:lang w:eastAsia="en-GB"/>
              </w:rPr>
              <w:lastRenderedPageBreak/>
              <w:t>types 1, 3, 4, and 22. 13 December 2013</w:t>
            </w:r>
            <w:r w:rsidR="00886DBE">
              <w:rPr>
                <w:rFonts w:eastAsia="Calibri" w:cs="Arial"/>
                <w:color w:val="000000"/>
                <w:sz w:val="18"/>
                <w:szCs w:val="18"/>
                <w:lang w:eastAsia="en-GB"/>
              </w:rPr>
              <w:t>*</w:t>
            </w:r>
          </w:p>
        </w:tc>
      </w:tr>
      <w:tr w:rsidR="00567E0E" w14:paraId="1D51311D" w14:textId="77777777" w:rsidTr="00261A29">
        <w:trPr>
          <w:trHeight w:val="93"/>
        </w:trPr>
        <w:tc>
          <w:tcPr>
            <w:tcW w:w="2439" w:type="dxa"/>
            <w:tcBorders>
              <w:top w:val="single" w:sz="4" w:space="0" w:color="000000"/>
              <w:left w:val="single" w:sz="4" w:space="0" w:color="000000"/>
              <w:bottom w:val="single" w:sz="4" w:space="0" w:color="000000"/>
            </w:tcBorders>
            <w:shd w:val="clear" w:color="auto" w:fill="FFFFFF"/>
          </w:tcPr>
          <w:p w14:paraId="4C9F0103"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w:t>
            </w:r>
          </w:p>
        </w:tc>
        <w:tc>
          <w:tcPr>
            <w:tcW w:w="3827" w:type="dxa"/>
            <w:gridSpan w:val="3"/>
            <w:tcBorders>
              <w:top w:val="single" w:sz="4" w:space="0" w:color="000000"/>
              <w:left w:val="single" w:sz="4" w:space="0" w:color="000000"/>
              <w:bottom w:val="single" w:sz="4" w:space="0" w:color="000000"/>
            </w:tcBorders>
            <w:shd w:val="clear" w:color="auto" w:fill="FFFFFF"/>
            <w:vAlign w:val="center"/>
          </w:tcPr>
          <w:p w14:paraId="0AF69D58" w14:textId="77777777" w:rsidR="00567E0E" w:rsidRPr="005F445F" w:rsidRDefault="00567E0E" w:rsidP="00261A29">
            <w:pPr>
              <w:autoSpaceDE w:val="0"/>
              <w:snapToGri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80</w:t>
            </w:r>
          </w:p>
        </w:tc>
        <w:tc>
          <w:tcPr>
            <w:tcW w:w="3100" w:type="dxa"/>
            <w:gridSpan w:val="2"/>
            <w:vMerge/>
            <w:tcBorders>
              <w:left w:val="single" w:sz="4" w:space="0" w:color="000000"/>
              <w:right w:val="single" w:sz="4" w:space="0" w:color="000000"/>
            </w:tcBorders>
            <w:shd w:val="clear" w:color="auto" w:fill="FFFFFF"/>
          </w:tcPr>
          <w:p w14:paraId="31FEF6DC" w14:textId="77777777" w:rsidR="00567E0E" w:rsidRDefault="00567E0E" w:rsidP="00261A29">
            <w:pPr>
              <w:autoSpaceDE w:val="0"/>
              <w:snapToGrid w:val="0"/>
              <w:spacing w:line="260" w:lineRule="atLeast"/>
              <w:rPr>
                <w:rFonts w:eastAsia="Calibri" w:cs="Arial"/>
                <w:color w:val="000000"/>
                <w:lang w:eastAsia="en-GB"/>
              </w:rPr>
            </w:pPr>
          </w:p>
        </w:tc>
      </w:tr>
      <w:tr w:rsidR="00567E0E" w14:paraId="5302E6B0" w14:textId="77777777" w:rsidTr="00261A29">
        <w:trPr>
          <w:trHeight w:val="93"/>
        </w:trPr>
        <w:tc>
          <w:tcPr>
            <w:tcW w:w="2439" w:type="dxa"/>
            <w:tcBorders>
              <w:top w:val="single" w:sz="4" w:space="0" w:color="000000"/>
              <w:left w:val="single" w:sz="4" w:space="0" w:color="000000"/>
              <w:bottom w:val="single" w:sz="4" w:space="0" w:color="000000"/>
            </w:tcBorders>
            <w:shd w:val="clear" w:color="auto" w:fill="FFFFFF"/>
          </w:tcPr>
          <w:p w14:paraId="4ED5DB2F"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lastRenderedPageBreak/>
              <w:t>Sludge</w:t>
            </w:r>
          </w:p>
        </w:tc>
        <w:tc>
          <w:tcPr>
            <w:tcW w:w="3827" w:type="dxa"/>
            <w:gridSpan w:val="3"/>
            <w:tcBorders>
              <w:top w:val="single" w:sz="4" w:space="0" w:color="000000"/>
              <w:left w:val="single" w:sz="4" w:space="0" w:color="000000"/>
              <w:bottom w:val="single" w:sz="4" w:space="0" w:color="000000"/>
            </w:tcBorders>
            <w:shd w:val="clear" w:color="auto" w:fill="FFFFFF"/>
            <w:vAlign w:val="center"/>
          </w:tcPr>
          <w:p w14:paraId="7D467602" w14:textId="77777777" w:rsidR="00567E0E" w:rsidRPr="005F445F" w:rsidRDefault="00567E0E" w:rsidP="00261A29">
            <w:pPr>
              <w:autoSpaceDE w:val="0"/>
              <w:snapToGri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20</w:t>
            </w:r>
          </w:p>
        </w:tc>
        <w:tc>
          <w:tcPr>
            <w:tcW w:w="3100" w:type="dxa"/>
            <w:gridSpan w:val="2"/>
            <w:vMerge/>
            <w:tcBorders>
              <w:left w:val="single" w:sz="4" w:space="0" w:color="000000"/>
              <w:right w:val="single" w:sz="4" w:space="0" w:color="000000"/>
            </w:tcBorders>
            <w:shd w:val="clear" w:color="auto" w:fill="FFFFFF"/>
          </w:tcPr>
          <w:p w14:paraId="132A2610" w14:textId="77777777" w:rsidR="00567E0E" w:rsidRDefault="00567E0E" w:rsidP="00261A29">
            <w:pPr>
              <w:autoSpaceDE w:val="0"/>
              <w:snapToGrid w:val="0"/>
              <w:spacing w:line="260" w:lineRule="atLeast"/>
              <w:rPr>
                <w:rFonts w:eastAsia="Calibri" w:cs="Arial"/>
                <w:color w:val="000000"/>
                <w:lang w:eastAsia="en-GB"/>
              </w:rPr>
            </w:pPr>
          </w:p>
        </w:tc>
      </w:tr>
      <w:tr w:rsidR="00567E0E" w14:paraId="59FB2D29" w14:textId="77777777" w:rsidTr="00261A29">
        <w:trPr>
          <w:trHeight w:val="93"/>
        </w:trPr>
        <w:tc>
          <w:tcPr>
            <w:tcW w:w="2439" w:type="dxa"/>
            <w:tcBorders>
              <w:top w:val="single" w:sz="4" w:space="0" w:color="000000"/>
              <w:left w:val="single" w:sz="4" w:space="0" w:color="000000"/>
              <w:bottom w:val="single" w:sz="4" w:space="0" w:color="000000"/>
            </w:tcBorders>
            <w:shd w:val="clear" w:color="auto" w:fill="FFFFFF"/>
          </w:tcPr>
          <w:p w14:paraId="3158D497"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Degraded in STP</w:t>
            </w:r>
          </w:p>
        </w:tc>
        <w:tc>
          <w:tcPr>
            <w:tcW w:w="3827" w:type="dxa"/>
            <w:gridSpan w:val="3"/>
            <w:tcBorders>
              <w:top w:val="single" w:sz="4" w:space="0" w:color="000000"/>
              <w:left w:val="single" w:sz="4" w:space="0" w:color="000000"/>
              <w:bottom w:val="single" w:sz="4" w:space="0" w:color="000000"/>
            </w:tcBorders>
            <w:shd w:val="clear" w:color="auto" w:fill="FFFFFF"/>
            <w:vAlign w:val="center"/>
          </w:tcPr>
          <w:p w14:paraId="37E078DA" w14:textId="77777777" w:rsidR="00567E0E" w:rsidRPr="005F445F" w:rsidRDefault="00567E0E" w:rsidP="00261A29">
            <w:pPr>
              <w:autoSpaceDE w:val="0"/>
              <w:snapToGri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0</w:t>
            </w:r>
          </w:p>
        </w:tc>
        <w:tc>
          <w:tcPr>
            <w:tcW w:w="3100" w:type="dxa"/>
            <w:gridSpan w:val="2"/>
            <w:vMerge/>
            <w:tcBorders>
              <w:left w:val="single" w:sz="4" w:space="0" w:color="000000"/>
              <w:bottom w:val="single" w:sz="4" w:space="0" w:color="000000"/>
              <w:right w:val="single" w:sz="4" w:space="0" w:color="000000"/>
            </w:tcBorders>
            <w:shd w:val="clear" w:color="auto" w:fill="FFFFFF"/>
          </w:tcPr>
          <w:p w14:paraId="39890E6D" w14:textId="77777777" w:rsidR="00567E0E" w:rsidRDefault="00567E0E" w:rsidP="00261A29">
            <w:pPr>
              <w:autoSpaceDE w:val="0"/>
              <w:snapToGrid w:val="0"/>
              <w:spacing w:line="260" w:lineRule="atLeast"/>
              <w:rPr>
                <w:rFonts w:eastAsia="Calibri" w:cs="Arial"/>
                <w:color w:val="000000"/>
                <w:lang w:eastAsia="en-GB"/>
              </w:rPr>
            </w:pPr>
          </w:p>
        </w:tc>
      </w:tr>
    </w:tbl>
    <w:p w14:paraId="6AF8B037" w14:textId="10B9D813" w:rsidR="00886DBE" w:rsidRPr="00D3140E" w:rsidRDefault="00886DBE" w:rsidP="00D3140E">
      <w:pPr>
        <w:ind w:left="142"/>
        <w:rPr>
          <w:sz w:val="18"/>
          <w:szCs w:val="18"/>
          <w:lang w:eastAsia="en-GB"/>
        </w:rPr>
      </w:pPr>
      <w:r w:rsidRPr="00D3140E">
        <w:rPr>
          <w:sz w:val="18"/>
          <w:szCs w:val="18"/>
          <w:lang w:eastAsia="en-GB"/>
        </w:rPr>
        <w:t>* The distribution in the STP was directly taken from the CAR and not recalculated with SimpleTreat as iodine is a very specific inorganic element.</w:t>
      </w:r>
    </w:p>
    <w:p w14:paraId="14005544" w14:textId="3984B784" w:rsidR="00567E0E" w:rsidRPr="00D3140E" w:rsidRDefault="00567E0E" w:rsidP="00D3140E">
      <w:pPr>
        <w:pStyle w:val="Paragraphedeliste"/>
        <w:spacing w:line="260" w:lineRule="atLeast"/>
        <w:rPr>
          <w:rFonts w:ascii="Times New Roman" w:eastAsia="Calibri" w:hAnsi="Times New Roman" w:cs="Times New Roman"/>
          <w:i/>
          <w:lang w:eastAsia="en-US"/>
        </w:rPr>
      </w:pPr>
    </w:p>
    <w:p w14:paraId="6BD3BD3C" w14:textId="77777777" w:rsidR="00567E0E" w:rsidRDefault="00567E0E" w:rsidP="00567E0E">
      <w:pPr>
        <w:spacing w:line="260" w:lineRule="atLeast"/>
        <w:rPr>
          <w:rFonts w:eastAsia="Calibri"/>
          <w:lang w:eastAsia="en-US"/>
        </w:rPr>
      </w:pPr>
    </w:p>
    <w:tbl>
      <w:tblPr>
        <w:tblW w:w="9356" w:type="dxa"/>
        <w:tblInd w:w="108" w:type="dxa"/>
        <w:tblLayout w:type="fixed"/>
        <w:tblLook w:val="0000" w:firstRow="0" w:lastRow="0" w:firstColumn="0" w:lastColumn="0" w:noHBand="0" w:noVBand="0"/>
      </w:tblPr>
      <w:tblGrid>
        <w:gridCol w:w="3856"/>
        <w:gridCol w:w="1389"/>
        <w:gridCol w:w="1872"/>
        <w:gridCol w:w="2239"/>
      </w:tblGrid>
      <w:tr w:rsidR="00567E0E" w:rsidRPr="005F445F" w14:paraId="31D77B95" w14:textId="77777777" w:rsidTr="00261A29">
        <w:trPr>
          <w:trHeight w:val="313"/>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50F9518" w14:textId="77777777" w:rsidR="00567E0E" w:rsidRPr="005F445F" w:rsidRDefault="00567E0E" w:rsidP="00261A29">
            <w:pPr>
              <w:autoSpaceDE w:val="0"/>
              <w:spacing w:line="260" w:lineRule="atLeast"/>
              <w:jc w:val="center"/>
              <w:rPr>
                <w:rFonts w:eastAsia="Calibri" w:cs="Arial"/>
                <w:b/>
                <w:color w:val="000000"/>
                <w:sz w:val="18"/>
                <w:szCs w:val="18"/>
                <w:lang w:eastAsia="en-GB"/>
              </w:rPr>
            </w:pPr>
            <w:r w:rsidRPr="005F445F">
              <w:rPr>
                <w:rFonts w:eastAsia="Calibri" w:cs="Arial"/>
                <w:b/>
                <w:color w:val="000000"/>
                <w:sz w:val="18"/>
                <w:szCs w:val="18"/>
                <w:lang w:eastAsia="en-GB"/>
              </w:rPr>
              <w:t>Input parameters (only set values) for calculating the fate and distribution in the environment of L(+) Lactic acid</w:t>
            </w:r>
          </w:p>
        </w:tc>
      </w:tr>
      <w:tr w:rsidR="00567E0E" w:rsidRPr="005F445F" w14:paraId="6CAAF267" w14:textId="77777777" w:rsidTr="00261A29">
        <w:trPr>
          <w:trHeight w:val="313"/>
        </w:trPr>
        <w:tc>
          <w:tcPr>
            <w:tcW w:w="3856" w:type="dxa"/>
            <w:tcBorders>
              <w:top w:val="single" w:sz="4" w:space="0" w:color="000000"/>
              <w:left w:val="single" w:sz="4" w:space="0" w:color="000000"/>
              <w:bottom w:val="single" w:sz="4" w:space="0" w:color="000000"/>
            </w:tcBorders>
            <w:shd w:val="clear" w:color="auto" w:fill="FFFFFF"/>
            <w:vAlign w:val="center"/>
          </w:tcPr>
          <w:p w14:paraId="32ACD002" w14:textId="77777777" w:rsidR="00567E0E" w:rsidRPr="005F445F" w:rsidRDefault="00567E0E" w:rsidP="00261A29">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 xml:space="preserve">Input </w:t>
            </w:r>
          </w:p>
        </w:tc>
        <w:tc>
          <w:tcPr>
            <w:tcW w:w="1389" w:type="dxa"/>
            <w:tcBorders>
              <w:top w:val="single" w:sz="4" w:space="0" w:color="000000"/>
              <w:left w:val="single" w:sz="4" w:space="0" w:color="000000"/>
              <w:bottom w:val="single" w:sz="4" w:space="0" w:color="000000"/>
            </w:tcBorders>
            <w:shd w:val="clear" w:color="auto" w:fill="FFFFFF"/>
            <w:vAlign w:val="center"/>
          </w:tcPr>
          <w:p w14:paraId="2AB49E24" w14:textId="77777777" w:rsidR="00567E0E" w:rsidRPr="005F445F" w:rsidRDefault="00567E0E" w:rsidP="00261A29">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 xml:space="preserve">Value </w:t>
            </w:r>
          </w:p>
        </w:tc>
        <w:tc>
          <w:tcPr>
            <w:tcW w:w="1872" w:type="dxa"/>
            <w:tcBorders>
              <w:top w:val="single" w:sz="4" w:space="0" w:color="000000"/>
              <w:left w:val="single" w:sz="4" w:space="0" w:color="000000"/>
              <w:bottom w:val="single" w:sz="4" w:space="0" w:color="000000"/>
            </w:tcBorders>
            <w:shd w:val="clear" w:color="auto" w:fill="FFFFFF"/>
            <w:vAlign w:val="center"/>
          </w:tcPr>
          <w:p w14:paraId="6E239481" w14:textId="77777777" w:rsidR="00567E0E" w:rsidRPr="005F445F" w:rsidRDefault="00567E0E" w:rsidP="00261A29">
            <w:pPr>
              <w:autoSpaceDE w:val="0"/>
              <w:spacing w:line="260" w:lineRule="atLeast"/>
              <w:rPr>
                <w:rFonts w:eastAsia="Calibri" w:cs="Arial"/>
                <w:bCs/>
                <w:color w:val="000000"/>
                <w:sz w:val="18"/>
                <w:szCs w:val="18"/>
                <w:lang w:eastAsia="en-GB"/>
              </w:rPr>
            </w:pPr>
            <w:r w:rsidRPr="005F445F">
              <w:rPr>
                <w:rFonts w:eastAsia="Calibri" w:cs="Arial"/>
                <w:bCs/>
                <w:color w:val="000000"/>
                <w:sz w:val="18"/>
                <w:szCs w:val="18"/>
                <w:lang w:eastAsia="en-GB"/>
              </w:rPr>
              <w:t>Unit</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5195D" w14:textId="77777777" w:rsidR="00567E0E" w:rsidRPr="005F445F" w:rsidRDefault="00567E0E" w:rsidP="00261A29">
            <w:pPr>
              <w:autoSpaceDE w:val="0"/>
              <w:spacing w:line="260" w:lineRule="atLeast"/>
              <w:rPr>
                <w:sz w:val="18"/>
                <w:szCs w:val="18"/>
              </w:rPr>
            </w:pPr>
            <w:r w:rsidRPr="005F445F">
              <w:rPr>
                <w:rFonts w:eastAsia="Calibri" w:cs="Arial"/>
                <w:bCs/>
                <w:color w:val="000000"/>
                <w:sz w:val="18"/>
                <w:szCs w:val="18"/>
                <w:lang w:eastAsia="en-GB"/>
              </w:rPr>
              <w:t>Remarks</w:t>
            </w:r>
          </w:p>
        </w:tc>
      </w:tr>
      <w:tr w:rsidR="00567E0E" w:rsidRPr="005F445F" w14:paraId="021D98BB" w14:textId="77777777" w:rsidTr="00261A29">
        <w:trPr>
          <w:trHeight w:val="75"/>
        </w:trPr>
        <w:tc>
          <w:tcPr>
            <w:tcW w:w="3856" w:type="dxa"/>
            <w:tcBorders>
              <w:top w:val="single" w:sz="4" w:space="0" w:color="000000"/>
              <w:left w:val="single" w:sz="4" w:space="0" w:color="000000"/>
              <w:bottom w:val="single" w:sz="4" w:space="0" w:color="000000"/>
            </w:tcBorders>
            <w:shd w:val="clear" w:color="auto" w:fill="FFFFFF"/>
            <w:vAlign w:val="center"/>
          </w:tcPr>
          <w:p w14:paraId="75224FA7"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Molecular weight</w:t>
            </w:r>
          </w:p>
        </w:tc>
        <w:tc>
          <w:tcPr>
            <w:tcW w:w="1389" w:type="dxa"/>
            <w:tcBorders>
              <w:top w:val="single" w:sz="4" w:space="0" w:color="000000"/>
              <w:left w:val="single" w:sz="4" w:space="0" w:color="000000"/>
              <w:bottom w:val="single" w:sz="4" w:space="0" w:color="000000"/>
            </w:tcBorders>
            <w:shd w:val="clear" w:color="auto" w:fill="FFFFFF"/>
            <w:vAlign w:val="center"/>
          </w:tcPr>
          <w:p w14:paraId="4056ABC9"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90.08</w:t>
            </w:r>
          </w:p>
        </w:tc>
        <w:tc>
          <w:tcPr>
            <w:tcW w:w="1872" w:type="dxa"/>
            <w:tcBorders>
              <w:top w:val="single" w:sz="4" w:space="0" w:color="000000"/>
              <w:left w:val="single" w:sz="4" w:space="0" w:color="000000"/>
              <w:bottom w:val="single" w:sz="4" w:space="0" w:color="000000"/>
            </w:tcBorders>
            <w:shd w:val="clear" w:color="auto" w:fill="FFFFFF"/>
            <w:vAlign w:val="center"/>
          </w:tcPr>
          <w:p w14:paraId="58090A12"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color w:val="000000"/>
                <w:sz w:val="18"/>
                <w:szCs w:val="18"/>
              </w:rPr>
              <w:t>g.mol</w:t>
            </w:r>
            <w:r w:rsidRPr="005F445F">
              <w:rPr>
                <w:color w:val="000000"/>
                <w:sz w:val="18"/>
                <w:szCs w:val="18"/>
                <w:vertAlign w:val="superscript"/>
              </w:rPr>
              <w:t>-1</w:t>
            </w:r>
          </w:p>
        </w:tc>
        <w:tc>
          <w:tcPr>
            <w:tcW w:w="2239" w:type="dxa"/>
            <w:vMerge w:val="restart"/>
            <w:tcBorders>
              <w:top w:val="single" w:sz="4" w:space="0" w:color="000000"/>
              <w:left w:val="single" w:sz="4" w:space="0" w:color="000000"/>
              <w:right w:val="single" w:sz="4" w:space="0" w:color="000000"/>
            </w:tcBorders>
            <w:shd w:val="clear" w:color="auto" w:fill="FFFFFF"/>
            <w:vAlign w:val="bottom"/>
          </w:tcPr>
          <w:p w14:paraId="6DD43C63"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Assessment Report L(+) lactic acid Product-type 02, 03 and 04, June 2017</w:t>
            </w:r>
          </w:p>
        </w:tc>
      </w:tr>
      <w:tr w:rsidR="00567E0E" w:rsidRPr="005F445F" w14:paraId="5CDF5025" w14:textId="77777777" w:rsidTr="00261A29">
        <w:trPr>
          <w:trHeight w:val="75"/>
        </w:trPr>
        <w:tc>
          <w:tcPr>
            <w:tcW w:w="3856" w:type="dxa"/>
            <w:tcBorders>
              <w:top w:val="single" w:sz="4" w:space="0" w:color="000000"/>
              <w:left w:val="single" w:sz="4" w:space="0" w:color="000000"/>
              <w:bottom w:val="single" w:sz="4" w:space="0" w:color="000000"/>
            </w:tcBorders>
            <w:shd w:val="clear" w:color="auto" w:fill="FFFFFF"/>
            <w:vAlign w:val="center"/>
          </w:tcPr>
          <w:p w14:paraId="4478EDAA"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Vapour pressure (at 20°C)</w:t>
            </w:r>
          </w:p>
        </w:tc>
        <w:tc>
          <w:tcPr>
            <w:tcW w:w="1389" w:type="dxa"/>
            <w:tcBorders>
              <w:top w:val="single" w:sz="4" w:space="0" w:color="000000"/>
              <w:left w:val="single" w:sz="4" w:space="0" w:color="000000"/>
              <w:bottom w:val="single" w:sz="4" w:space="0" w:color="000000"/>
            </w:tcBorders>
            <w:shd w:val="clear" w:color="auto" w:fill="FFFFFF"/>
            <w:vAlign w:val="center"/>
          </w:tcPr>
          <w:p w14:paraId="6E426148"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0.4</w:t>
            </w:r>
          </w:p>
        </w:tc>
        <w:tc>
          <w:tcPr>
            <w:tcW w:w="1872" w:type="dxa"/>
            <w:tcBorders>
              <w:top w:val="single" w:sz="4" w:space="0" w:color="000000"/>
              <w:left w:val="single" w:sz="4" w:space="0" w:color="000000"/>
              <w:bottom w:val="single" w:sz="4" w:space="0" w:color="000000"/>
            </w:tcBorders>
            <w:shd w:val="clear" w:color="auto" w:fill="FFFFFF"/>
            <w:vAlign w:val="center"/>
          </w:tcPr>
          <w:p w14:paraId="039B05CA"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Pa</w:t>
            </w:r>
          </w:p>
        </w:tc>
        <w:tc>
          <w:tcPr>
            <w:tcW w:w="2239" w:type="dxa"/>
            <w:vMerge/>
            <w:tcBorders>
              <w:left w:val="single" w:sz="4" w:space="0" w:color="000000"/>
              <w:bottom w:val="single" w:sz="4" w:space="0" w:color="000000"/>
              <w:right w:val="single" w:sz="4" w:space="0" w:color="000000"/>
            </w:tcBorders>
            <w:shd w:val="clear" w:color="auto" w:fill="FFFFFF"/>
            <w:vAlign w:val="center"/>
          </w:tcPr>
          <w:p w14:paraId="6D39C8F5" w14:textId="77777777" w:rsidR="00567E0E" w:rsidRPr="005F445F" w:rsidRDefault="00567E0E" w:rsidP="00261A29">
            <w:pPr>
              <w:autoSpaceDE w:val="0"/>
              <w:snapToGrid w:val="0"/>
              <w:spacing w:line="260" w:lineRule="atLeast"/>
              <w:rPr>
                <w:rFonts w:eastAsia="Calibri" w:cs="Arial"/>
                <w:color w:val="000000"/>
                <w:sz w:val="18"/>
                <w:szCs w:val="18"/>
                <w:lang w:eastAsia="en-GB"/>
              </w:rPr>
            </w:pPr>
          </w:p>
        </w:tc>
      </w:tr>
      <w:tr w:rsidR="00567E0E" w:rsidRPr="005F445F" w14:paraId="1E9BFF66" w14:textId="77777777" w:rsidTr="00261A29">
        <w:trPr>
          <w:trHeight w:val="75"/>
        </w:trPr>
        <w:tc>
          <w:tcPr>
            <w:tcW w:w="3856" w:type="dxa"/>
            <w:tcBorders>
              <w:top w:val="single" w:sz="4" w:space="0" w:color="000000"/>
              <w:left w:val="single" w:sz="4" w:space="0" w:color="000000"/>
              <w:bottom w:val="single" w:sz="4" w:space="0" w:color="000000"/>
            </w:tcBorders>
            <w:shd w:val="clear" w:color="auto" w:fill="FFFFFF"/>
            <w:vAlign w:val="center"/>
          </w:tcPr>
          <w:p w14:paraId="7E128011"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 solubility (at 12°C)</w:t>
            </w:r>
          </w:p>
        </w:tc>
        <w:tc>
          <w:tcPr>
            <w:tcW w:w="1389" w:type="dxa"/>
            <w:tcBorders>
              <w:top w:val="single" w:sz="4" w:space="0" w:color="000000"/>
              <w:left w:val="single" w:sz="4" w:space="0" w:color="000000"/>
              <w:bottom w:val="single" w:sz="4" w:space="0" w:color="000000"/>
            </w:tcBorders>
            <w:shd w:val="clear" w:color="auto" w:fill="FFFFFF"/>
            <w:vAlign w:val="center"/>
          </w:tcPr>
          <w:p w14:paraId="26C80A35" w14:textId="77777777" w:rsidR="00567E0E" w:rsidRPr="005F445F" w:rsidRDefault="00567E0E" w:rsidP="00261A29">
            <w:pPr>
              <w:autoSpaceDE w:val="0"/>
              <w:snapToGrid w:val="0"/>
              <w:spacing w:line="260" w:lineRule="atLeast"/>
              <w:ind w:right="175"/>
              <w:rPr>
                <w:rFonts w:eastAsia="Calibri" w:cs="Arial"/>
                <w:color w:val="000000"/>
                <w:sz w:val="18"/>
                <w:szCs w:val="18"/>
                <w:lang w:eastAsia="en-GB"/>
              </w:rPr>
            </w:pPr>
            <w:r w:rsidRPr="005F445F">
              <w:rPr>
                <w:rFonts w:eastAsia="Calibri" w:cs="Arial"/>
                <w:color w:val="000000"/>
                <w:sz w:val="18"/>
                <w:szCs w:val="18"/>
                <w:lang w:eastAsia="en-GB"/>
              </w:rPr>
              <w:t>1.00E+06</w:t>
            </w:r>
          </w:p>
        </w:tc>
        <w:tc>
          <w:tcPr>
            <w:tcW w:w="1872" w:type="dxa"/>
            <w:tcBorders>
              <w:top w:val="single" w:sz="4" w:space="0" w:color="000000"/>
              <w:left w:val="single" w:sz="4" w:space="0" w:color="000000"/>
              <w:bottom w:val="single" w:sz="4" w:space="0" w:color="000000"/>
            </w:tcBorders>
            <w:shd w:val="clear" w:color="auto" w:fill="FFFFFF"/>
            <w:vAlign w:val="center"/>
          </w:tcPr>
          <w:p w14:paraId="633C5ACF"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mg/</w:t>
            </w:r>
            <w:r>
              <w:rPr>
                <w:rFonts w:eastAsia="Calibri" w:cs="Arial"/>
                <w:color w:val="000000"/>
                <w:sz w:val="18"/>
                <w:szCs w:val="18"/>
                <w:lang w:eastAsia="en-GB"/>
              </w:rPr>
              <w:t>L</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A2F3"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Completely miscible with water</w:t>
            </w:r>
          </w:p>
        </w:tc>
      </w:tr>
      <w:tr w:rsidR="00567E0E" w:rsidRPr="005F445F" w14:paraId="6FE499D8" w14:textId="77777777" w:rsidTr="00261A29">
        <w:trPr>
          <w:trHeight w:val="75"/>
        </w:trPr>
        <w:tc>
          <w:tcPr>
            <w:tcW w:w="3856" w:type="dxa"/>
            <w:tcBorders>
              <w:top w:val="single" w:sz="4" w:space="0" w:color="000000"/>
              <w:left w:val="single" w:sz="4" w:space="0" w:color="000000"/>
              <w:bottom w:val="single" w:sz="4" w:space="0" w:color="000000"/>
            </w:tcBorders>
            <w:shd w:val="clear" w:color="auto" w:fill="FFFFFF"/>
            <w:vAlign w:val="center"/>
          </w:tcPr>
          <w:p w14:paraId="61A1AB98" w14:textId="77777777" w:rsidR="00567E0E" w:rsidRPr="005F445F" w:rsidRDefault="00567E0E" w:rsidP="00261A29">
            <w:pPr>
              <w:autoSpaceDE w:val="0"/>
              <w:spacing w:line="260" w:lineRule="atLeast"/>
              <w:rPr>
                <w:rFonts w:eastAsia="Calibri" w:cs="Arial"/>
                <w:color w:val="000000"/>
                <w:sz w:val="18"/>
                <w:szCs w:val="18"/>
                <w:lang w:val="fr-BE" w:eastAsia="en-GB"/>
              </w:rPr>
            </w:pPr>
            <w:r w:rsidRPr="005F445F">
              <w:rPr>
                <w:rFonts w:eastAsia="Calibri" w:cs="Arial"/>
                <w:color w:val="000000"/>
                <w:sz w:val="18"/>
                <w:szCs w:val="18"/>
                <w:lang w:val="fr-BE" w:eastAsia="en-GB"/>
              </w:rPr>
              <w:t>Log Octanol/water partition coefficient</w:t>
            </w:r>
          </w:p>
        </w:tc>
        <w:tc>
          <w:tcPr>
            <w:tcW w:w="1389" w:type="dxa"/>
            <w:tcBorders>
              <w:top w:val="single" w:sz="4" w:space="0" w:color="000000"/>
              <w:left w:val="single" w:sz="4" w:space="0" w:color="000000"/>
              <w:bottom w:val="single" w:sz="4" w:space="0" w:color="000000"/>
            </w:tcBorders>
            <w:shd w:val="clear" w:color="auto" w:fill="FFFFFF"/>
            <w:vAlign w:val="center"/>
          </w:tcPr>
          <w:p w14:paraId="1240C142" w14:textId="77777777" w:rsidR="00567E0E" w:rsidRPr="005F445F" w:rsidRDefault="00567E0E" w:rsidP="00261A29">
            <w:pPr>
              <w:autoSpaceDE w:val="0"/>
              <w:snapToGrid w:val="0"/>
              <w:spacing w:line="260" w:lineRule="atLeast"/>
              <w:rPr>
                <w:rFonts w:eastAsia="Calibri" w:cs="Arial"/>
                <w:color w:val="000000"/>
                <w:sz w:val="18"/>
                <w:szCs w:val="18"/>
                <w:lang w:val="fr-BE" w:eastAsia="en-GB"/>
              </w:rPr>
            </w:pPr>
            <w:r w:rsidRPr="005F445F">
              <w:rPr>
                <w:rFonts w:eastAsia="Calibri" w:cs="Arial"/>
                <w:color w:val="000000"/>
                <w:sz w:val="18"/>
                <w:szCs w:val="18"/>
                <w:lang w:val="fr-BE" w:eastAsia="en-GB"/>
              </w:rPr>
              <w:t>-0.74</w:t>
            </w:r>
          </w:p>
        </w:tc>
        <w:tc>
          <w:tcPr>
            <w:tcW w:w="1872" w:type="dxa"/>
            <w:tcBorders>
              <w:top w:val="single" w:sz="4" w:space="0" w:color="000000"/>
              <w:left w:val="single" w:sz="4" w:space="0" w:color="000000"/>
              <w:bottom w:val="single" w:sz="4" w:space="0" w:color="000000"/>
            </w:tcBorders>
            <w:shd w:val="clear" w:color="auto" w:fill="FFFFFF"/>
            <w:vAlign w:val="center"/>
          </w:tcPr>
          <w:p w14:paraId="5942CF0D"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val="fr-BE" w:eastAsia="en-GB"/>
              </w:rPr>
              <w:t>Log 10</w:t>
            </w:r>
          </w:p>
        </w:tc>
        <w:tc>
          <w:tcPr>
            <w:tcW w:w="2239" w:type="dxa"/>
            <w:vMerge w:val="restart"/>
            <w:tcBorders>
              <w:top w:val="single" w:sz="4" w:space="0" w:color="000000"/>
              <w:left w:val="single" w:sz="4" w:space="0" w:color="000000"/>
              <w:right w:val="single" w:sz="4" w:space="0" w:color="000000"/>
            </w:tcBorders>
            <w:shd w:val="clear" w:color="auto" w:fill="FFFFFF"/>
            <w:vAlign w:val="center"/>
          </w:tcPr>
          <w:p w14:paraId="730E09E6"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Assessment Report L(+) lactic acid Product-type 02, 03 and 04, June 2017</w:t>
            </w:r>
          </w:p>
          <w:p w14:paraId="7C9EB722" w14:textId="77777777" w:rsidR="00567E0E" w:rsidRPr="005F445F" w:rsidRDefault="00567E0E" w:rsidP="00261A29">
            <w:pPr>
              <w:autoSpaceDE w:val="0"/>
              <w:snapToGrid w:val="0"/>
              <w:spacing w:line="260" w:lineRule="atLeast"/>
              <w:rPr>
                <w:rFonts w:eastAsia="Calibri" w:cs="Arial"/>
                <w:color w:val="000000"/>
                <w:sz w:val="18"/>
                <w:szCs w:val="18"/>
                <w:lang w:eastAsia="en-GB"/>
              </w:rPr>
            </w:pPr>
          </w:p>
        </w:tc>
      </w:tr>
      <w:tr w:rsidR="00567E0E" w:rsidRPr="005F445F" w14:paraId="7459B2EB" w14:textId="77777777" w:rsidTr="00261A29">
        <w:trPr>
          <w:trHeight w:val="75"/>
        </w:trPr>
        <w:tc>
          <w:tcPr>
            <w:tcW w:w="3856" w:type="dxa"/>
            <w:tcBorders>
              <w:top w:val="single" w:sz="4" w:space="0" w:color="000000"/>
              <w:left w:val="single" w:sz="4" w:space="0" w:color="000000"/>
              <w:bottom w:val="single" w:sz="4" w:space="0" w:color="000000"/>
            </w:tcBorders>
            <w:shd w:val="clear" w:color="auto" w:fill="FFFFFF"/>
            <w:vAlign w:val="center"/>
          </w:tcPr>
          <w:p w14:paraId="2FEEF578"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Organic carbon/water partition coefficient (Koc)</w:t>
            </w:r>
          </w:p>
        </w:tc>
        <w:tc>
          <w:tcPr>
            <w:tcW w:w="1389" w:type="dxa"/>
            <w:tcBorders>
              <w:top w:val="single" w:sz="4" w:space="0" w:color="000000"/>
              <w:left w:val="single" w:sz="4" w:space="0" w:color="000000"/>
              <w:bottom w:val="single" w:sz="4" w:space="0" w:color="000000"/>
            </w:tcBorders>
            <w:shd w:val="clear" w:color="auto" w:fill="FFFFFF"/>
            <w:vAlign w:val="center"/>
          </w:tcPr>
          <w:p w14:paraId="7D4BDC20"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20</w:t>
            </w:r>
          </w:p>
        </w:tc>
        <w:tc>
          <w:tcPr>
            <w:tcW w:w="1872" w:type="dxa"/>
            <w:tcBorders>
              <w:top w:val="single" w:sz="4" w:space="0" w:color="000000"/>
              <w:left w:val="single" w:sz="4" w:space="0" w:color="000000"/>
              <w:bottom w:val="single" w:sz="4" w:space="0" w:color="000000"/>
            </w:tcBorders>
            <w:shd w:val="clear" w:color="auto" w:fill="FFFFFF"/>
            <w:vAlign w:val="center"/>
          </w:tcPr>
          <w:p w14:paraId="6248A82A" w14:textId="77777777" w:rsidR="00567E0E" w:rsidRPr="005F445F" w:rsidRDefault="00567E0E" w:rsidP="00261A29">
            <w:pPr>
              <w:autoSpaceDE w:val="0"/>
              <w:spacing w:line="260" w:lineRule="atLeast"/>
              <w:rPr>
                <w:rFonts w:eastAsia="Calibri" w:cs="Arial"/>
                <w:color w:val="000000"/>
                <w:sz w:val="18"/>
                <w:szCs w:val="18"/>
                <w:lang w:eastAsia="en-GB"/>
              </w:rPr>
            </w:pPr>
            <w:r>
              <w:rPr>
                <w:rFonts w:eastAsia="Calibri" w:cs="Arial"/>
                <w:color w:val="000000"/>
                <w:sz w:val="18"/>
                <w:szCs w:val="18"/>
                <w:lang w:eastAsia="en-GB"/>
              </w:rPr>
              <w:t>L</w:t>
            </w:r>
            <w:r w:rsidRPr="005F445F">
              <w:rPr>
                <w:rFonts w:eastAsia="Calibri" w:cs="Arial"/>
                <w:color w:val="000000"/>
                <w:sz w:val="18"/>
                <w:szCs w:val="18"/>
                <w:lang w:eastAsia="en-GB"/>
              </w:rPr>
              <w:t>/kg</w:t>
            </w:r>
          </w:p>
        </w:tc>
        <w:tc>
          <w:tcPr>
            <w:tcW w:w="2239" w:type="dxa"/>
            <w:vMerge/>
            <w:tcBorders>
              <w:left w:val="single" w:sz="4" w:space="0" w:color="000000"/>
              <w:right w:val="single" w:sz="4" w:space="0" w:color="000000"/>
            </w:tcBorders>
            <w:shd w:val="clear" w:color="auto" w:fill="FFFFFF"/>
            <w:vAlign w:val="center"/>
          </w:tcPr>
          <w:p w14:paraId="18684CDF" w14:textId="77777777" w:rsidR="00567E0E" w:rsidRPr="005F445F" w:rsidRDefault="00567E0E" w:rsidP="00261A29">
            <w:pPr>
              <w:autoSpaceDE w:val="0"/>
              <w:snapToGrid w:val="0"/>
              <w:spacing w:line="260" w:lineRule="atLeast"/>
              <w:rPr>
                <w:rFonts w:eastAsia="Calibri" w:cs="Arial"/>
                <w:color w:val="000000"/>
                <w:sz w:val="18"/>
                <w:szCs w:val="18"/>
                <w:lang w:eastAsia="en-GB"/>
              </w:rPr>
            </w:pPr>
          </w:p>
        </w:tc>
      </w:tr>
      <w:tr w:rsidR="00567E0E" w:rsidRPr="005F445F" w14:paraId="6A4B5CFE" w14:textId="77777777" w:rsidTr="00261A29">
        <w:trPr>
          <w:trHeight w:val="75"/>
        </w:trPr>
        <w:tc>
          <w:tcPr>
            <w:tcW w:w="3856" w:type="dxa"/>
            <w:tcBorders>
              <w:top w:val="single" w:sz="4" w:space="0" w:color="000000"/>
              <w:left w:val="single" w:sz="4" w:space="0" w:color="000000"/>
              <w:bottom w:val="single" w:sz="4" w:space="0" w:color="000000"/>
            </w:tcBorders>
            <w:shd w:val="clear" w:color="auto" w:fill="FFFFFF"/>
            <w:vAlign w:val="center"/>
          </w:tcPr>
          <w:p w14:paraId="3031CC25" w14:textId="77777777" w:rsidR="00567E0E" w:rsidRPr="005F445F" w:rsidRDefault="00567E0E" w:rsidP="00261A29">
            <w:pPr>
              <w:autoSpaceDE w:val="0"/>
              <w:spacing w:line="260" w:lineRule="atLeast"/>
              <w:rPr>
                <w:rFonts w:eastAsia="Calibri" w:cs="Times New Roman"/>
                <w:i/>
                <w:color w:val="FF0000"/>
                <w:sz w:val="18"/>
                <w:szCs w:val="18"/>
                <w:lang w:eastAsia="en-GB"/>
              </w:rPr>
            </w:pPr>
            <w:r w:rsidRPr="005F445F">
              <w:rPr>
                <w:rFonts w:eastAsia="Calibri" w:cs="Arial"/>
                <w:color w:val="000000"/>
                <w:sz w:val="18"/>
                <w:szCs w:val="18"/>
                <w:lang w:eastAsia="en-GB"/>
              </w:rPr>
              <w:t>Biodegradability</w:t>
            </w:r>
          </w:p>
        </w:tc>
        <w:tc>
          <w:tcPr>
            <w:tcW w:w="1389" w:type="dxa"/>
            <w:tcBorders>
              <w:top w:val="single" w:sz="4" w:space="0" w:color="000000"/>
              <w:left w:val="single" w:sz="4" w:space="0" w:color="000000"/>
              <w:bottom w:val="single" w:sz="4" w:space="0" w:color="000000"/>
            </w:tcBorders>
            <w:shd w:val="clear" w:color="auto" w:fill="FFFFFF"/>
            <w:vAlign w:val="center"/>
          </w:tcPr>
          <w:p w14:paraId="01717B24"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Times New Roman"/>
                <w:sz w:val="18"/>
                <w:szCs w:val="18"/>
                <w:lang w:eastAsia="en-GB"/>
              </w:rPr>
              <w:t xml:space="preserve">Readily biodegradable </w:t>
            </w:r>
            <w:r>
              <w:rPr>
                <w:rFonts w:eastAsia="Calibri" w:cs="Arial"/>
                <w:color w:val="000000"/>
                <w:sz w:val="18"/>
                <w:szCs w:val="18"/>
                <w:lang w:eastAsia="en-GB"/>
              </w:rPr>
              <w:t>failing the 10-</w:t>
            </w:r>
            <w:r w:rsidRPr="005F445F">
              <w:rPr>
                <w:rFonts w:eastAsia="Calibri" w:cs="Arial"/>
                <w:color w:val="000000"/>
                <w:sz w:val="18"/>
                <w:szCs w:val="18"/>
                <w:lang w:eastAsia="en-GB"/>
              </w:rPr>
              <w:t>days window criterion</w:t>
            </w:r>
          </w:p>
        </w:tc>
        <w:tc>
          <w:tcPr>
            <w:tcW w:w="1872" w:type="dxa"/>
            <w:tcBorders>
              <w:top w:val="single" w:sz="4" w:space="0" w:color="000000"/>
              <w:left w:val="single" w:sz="4" w:space="0" w:color="000000"/>
              <w:bottom w:val="single" w:sz="4" w:space="0" w:color="000000"/>
            </w:tcBorders>
            <w:shd w:val="clear" w:color="auto" w:fill="FFFFFF"/>
            <w:vAlign w:val="center"/>
          </w:tcPr>
          <w:p w14:paraId="798DC36E"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t>
            </w:r>
          </w:p>
        </w:tc>
        <w:tc>
          <w:tcPr>
            <w:tcW w:w="2239" w:type="dxa"/>
            <w:vMerge/>
            <w:tcBorders>
              <w:left w:val="single" w:sz="4" w:space="0" w:color="000000"/>
              <w:right w:val="single" w:sz="4" w:space="0" w:color="000000"/>
            </w:tcBorders>
            <w:shd w:val="clear" w:color="auto" w:fill="FFFFFF"/>
            <w:vAlign w:val="center"/>
          </w:tcPr>
          <w:p w14:paraId="4E8F4B5F" w14:textId="77777777" w:rsidR="00567E0E" w:rsidRPr="005F445F" w:rsidRDefault="00567E0E" w:rsidP="00261A29">
            <w:pPr>
              <w:autoSpaceDE w:val="0"/>
              <w:snapToGrid w:val="0"/>
              <w:spacing w:line="260" w:lineRule="atLeast"/>
              <w:rPr>
                <w:rFonts w:eastAsia="Calibri" w:cs="Arial"/>
                <w:color w:val="000000"/>
                <w:sz w:val="18"/>
                <w:szCs w:val="18"/>
                <w:lang w:eastAsia="en-GB"/>
              </w:rPr>
            </w:pPr>
          </w:p>
        </w:tc>
      </w:tr>
      <w:tr w:rsidR="00567E0E" w:rsidRPr="005F445F" w14:paraId="4DB2B9C8" w14:textId="77777777" w:rsidTr="00A0176D">
        <w:trPr>
          <w:trHeight w:val="93"/>
        </w:trPr>
        <w:tc>
          <w:tcPr>
            <w:tcW w:w="3856" w:type="dxa"/>
            <w:tcBorders>
              <w:top w:val="single" w:sz="4" w:space="0" w:color="000000"/>
              <w:left w:val="single" w:sz="4" w:space="0" w:color="000000"/>
              <w:bottom w:val="single" w:sz="4" w:space="0" w:color="000000"/>
            </w:tcBorders>
            <w:shd w:val="clear" w:color="auto" w:fill="FFFFFF"/>
            <w:vAlign w:val="center"/>
          </w:tcPr>
          <w:p w14:paraId="683B622C"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DT</w:t>
            </w:r>
            <w:r w:rsidRPr="005F445F">
              <w:rPr>
                <w:rFonts w:eastAsia="Calibri" w:cs="Arial"/>
                <w:color w:val="000000"/>
                <w:sz w:val="18"/>
                <w:szCs w:val="18"/>
                <w:vertAlign w:val="subscript"/>
                <w:lang w:eastAsia="en-GB"/>
              </w:rPr>
              <w:t>50</w:t>
            </w:r>
            <w:r w:rsidRPr="005F445F">
              <w:rPr>
                <w:rFonts w:eastAsia="Calibri" w:cs="Arial"/>
                <w:color w:val="000000"/>
                <w:sz w:val="18"/>
                <w:szCs w:val="18"/>
                <w:lang w:eastAsia="en-GB"/>
              </w:rPr>
              <w:t xml:space="preserve"> for degradation in soil (at 12ºC)</w:t>
            </w:r>
          </w:p>
        </w:tc>
        <w:tc>
          <w:tcPr>
            <w:tcW w:w="1389" w:type="dxa"/>
            <w:tcBorders>
              <w:top w:val="single" w:sz="4" w:space="0" w:color="000000"/>
              <w:left w:val="single" w:sz="4" w:space="0" w:color="000000"/>
              <w:bottom w:val="single" w:sz="4" w:space="0" w:color="000000"/>
            </w:tcBorders>
            <w:shd w:val="clear" w:color="auto" w:fill="FFFFFF"/>
            <w:vAlign w:val="center"/>
          </w:tcPr>
          <w:p w14:paraId="49323363" w14:textId="77777777" w:rsidR="00567E0E" w:rsidRPr="005F445F" w:rsidRDefault="00567E0E" w:rsidP="00A64B57">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30</w:t>
            </w:r>
          </w:p>
        </w:tc>
        <w:tc>
          <w:tcPr>
            <w:tcW w:w="1872" w:type="dxa"/>
            <w:tcBorders>
              <w:top w:val="single" w:sz="4" w:space="0" w:color="000000"/>
              <w:left w:val="single" w:sz="4" w:space="0" w:color="000000"/>
              <w:bottom w:val="single" w:sz="4" w:space="0" w:color="000000"/>
            </w:tcBorders>
            <w:shd w:val="clear" w:color="auto" w:fill="FFFFFF"/>
            <w:vAlign w:val="center"/>
          </w:tcPr>
          <w:p w14:paraId="25EA2B0B"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 xml:space="preserve">d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238202D0" w14:textId="77777777" w:rsidR="00567E0E" w:rsidRPr="00666A27" w:rsidRDefault="00567E0E" w:rsidP="00261A29">
            <w:pPr>
              <w:autoSpaceDE w:val="0"/>
              <w:spacing w:before="60" w:after="60"/>
              <w:jc w:val="both"/>
              <w:rPr>
                <w:rFonts w:eastAsia="Calibri" w:cs="Arial"/>
                <w:sz w:val="18"/>
                <w:szCs w:val="18"/>
                <w:lang w:eastAsia="en-GB"/>
              </w:rPr>
            </w:pPr>
            <w:r w:rsidRPr="005F445F">
              <w:rPr>
                <w:rFonts w:cs="Arial"/>
                <w:sz w:val="18"/>
                <w:szCs w:val="18"/>
                <w:lang w:eastAsia="en-GB"/>
              </w:rPr>
              <w:t>30d as refinement for 90d value in AR</w:t>
            </w:r>
            <w:r w:rsidRPr="00666A27" w:rsidDel="00823D3B">
              <w:rPr>
                <w:rFonts w:cs="Arial"/>
                <w:sz w:val="18"/>
                <w:szCs w:val="18"/>
                <w:lang w:eastAsia="en-GB"/>
              </w:rPr>
              <w:t xml:space="preserve"> </w:t>
            </w:r>
            <w:r w:rsidRPr="00666A27">
              <w:rPr>
                <w:rFonts w:cs="Arial"/>
                <w:sz w:val="18"/>
                <w:szCs w:val="18"/>
                <w:lang w:eastAsia="en-GB"/>
              </w:rPr>
              <w:t>(WGII2020)</w:t>
            </w:r>
          </w:p>
        </w:tc>
      </w:tr>
      <w:tr w:rsidR="00567E0E" w:rsidRPr="005F445F" w14:paraId="19733161" w14:textId="77777777" w:rsidTr="00261A29">
        <w:trPr>
          <w:trHeight w:val="93"/>
        </w:trPr>
        <w:tc>
          <w:tcPr>
            <w:tcW w:w="3856" w:type="dxa"/>
            <w:tcBorders>
              <w:top w:val="single" w:sz="4" w:space="0" w:color="000000"/>
              <w:left w:val="single" w:sz="4" w:space="0" w:color="000000"/>
              <w:bottom w:val="single" w:sz="4" w:space="0" w:color="000000"/>
            </w:tcBorders>
            <w:shd w:val="clear" w:color="auto" w:fill="FFFFFF"/>
            <w:vAlign w:val="center"/>
          </w:tcPr>
          <w:p w14:paraId="5C8E0DCA"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ktotal (0.2</w:t>
            </w:r>
            <w:r>
              <w:rPr>
                <w:rFonts w:eastAsia="Calibri" w:cs="Arial"/>
                <w:color w:val="000000"/>
                <w:sz w:val="18"/>
                <w:szCs w:val="18"/>
                <w:lang w:eastAsia="en-GB"/>
              </w:rPr>
              <w:t xml:space="preserve"> </w:t>
            </w:r>
            <w:r w:rsidRPr="005F445F">
              <w:rPr>
                <w:rFonts w:eastAsia="Calibri" w:cs="Arial"/>
                <w:color w:val="000000"/>
                <w:sz w:val="18"/>
                <w:szCs w:val="18"/>
                <w:lang w:eastAsia="en-GB"/>
              </w:rPr>
              <w:t>m relevant for STP</w:t>
            </w:r>
            <w:r>
              <w:rPr>
                <w:rFonts w:eastAsia="Calibri" w:cs="Arial"/>
                <w:color w:val="000000"/>
                <w:sz w:val="18"/>
                <w:szCs w:val="18"/>
                <w:lang w:eastAsia="en-GB"/>
              </w:rPr>
              <w:t xml:space="preserve"> and slurry/manure arable land</w:t>
            </w:r>
            <w:r w:rsidRPr="005F445F">
              <w:rPr>
                <w:rFonts w:eastAsia="Calibri" w:cs="Arial"/>
                <w:color w:val="000000"/>
                <w:sz w:val="18"/>
                <w:szCs w:val="18"/>
                <w:lang w:eastAsia="en-GB"/>
              </w:rPr>
              <w:t>)</w:t>
            </w:r>
          </w:p>
        </w:tc>
        <w:tc>
          <w:tcPr>
            <w:tcW w:w="1389" w:type="dxa"/>
            <w:tcBorders>
              <w:top w:val="single" w:sz="4" w:space="0" w:color="000000"/>
              <w:left w:val="single" w:sz="4" w:space="0" w:color="000000"/>
              <w:bottom w:val="single" w:sz="4" w:space="0" w:color="000000"/>
            </w:tcBorders>
            <w:shd w:val="clear" w:color="auto" w:fill="FFFFFF"/>
          </w:tcPr>
          <w:p w14:paraId="50B3D9F2"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2.61E-02</w:t>
            </w:r>
          </w:p>
        </w:tc>
        <w:tc>
          <w:tcPr>
            <w:tcW w:w="1872" w:type="dxa"/>
            <w:tcBorders>
              <w:top w:val="single" w:sz="4" w:space="0" w:color="000000"/>
              <w:left w:val="single" w:sz="4" w:space="0" w:color="000000"/>
              <w:bottom w:val="single" w:sz="4" w:space="0" w:color="000000"/>
            </w:tcBorders>
            <w:shd w:val="clear" w:color="auto" w:fill="FFFFFF"/>
          </w:tcPr>
          <w:p w14:paraId="1EBCF168"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w:t>
            </w:r>
            <w:r w:rsidRPr="00FE50A7">
              <w:rPr>
                <w:rFonts w:eastAsia="Calibri" w:cs="Arial"/>
                <w:color w:val="000000"/>
                <w:sz w:val="18"/>
                <w:szCs w:val="18"/>
                <w:vertAlign w:val="superscript"/>
                <w:lang w:eastAsia="en-GB"/>
              </w:rPr>
              <w:t>-1</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5185EA1D" w14:textId="77777777" w:rsidR="00567E0E" w:rsidRPr="002C181D" w:rsidRDefault="00567E0E" w:rsidP="00261A29">
            <w:pPr>
              <w:autoSpaceDE w:val="0"/>
              <w:spacing w:before="60" w:after="60"/>
              <w:jc w:val="both"/>
              <w:rPr>
                <w:rFonts w:cs="Arial"/>
                <w:sz w:val="18"/>
                <w:szCs w:val="18"/>
                <w:lang w:eastAsia="en-GB"/>
              </w:rPr>
            </w:pPr>
            <w:r w:rsidRPr="002C181D">
              <w:rPr>
                <w:rFonts w:cs="Arial"/>
                <w:sz w:val="18"/>
                <w:szCs w:val="18"/>
                <w:lang w:eastAsia="en-GB"/>
              </w:rPr>
              <w:t>Calculated</w:t>
            </w:r>
          </w:p>
        </w:tc>
      </w:tr>
      <w:tr w:rsidR="00567E0E" w:rsidRPr="005F445F" w14:paraId="1F05E784" w14:textId="77777777" w:rsidTr="00261A29">
        <w:trPr>
          <w:trHeight w:val="93"/>
        </w:trPr>
        <w:tc>
          <w:tcPr>
            <w:tcW w:w="3856" w:type="dxa"/>
            <w:tcBorders>
              <w:top w:val="single" w:sz="4" w:space="0" w:color="000000"/>
              <w:left w:val="single" w:sz="4" w:space="0" w:color="000000"/>
              <w:bottom w:val="single" w:sz="4" w:space="0" w:color="000000"/>
            </w:tcBorders>
            <w:shd w:val="clear" w:color="auto" w:fill="FFFFFF"/>
            <w:vAlign w:val="center"/>
          </w:tcPr>
          <w:p w14:paraId="733A1DB8" w14:textId="77777777" w:rsidR="00567E0E" w:rsidRPr="005F445F" w:rsidRDefault="00567E0E" w:rsidP="00261A29">
            <w:pPr>
              <w:autoSpaceDE w:val="0"/>
              <w:spacing w:line="260" w:lineRule="atLeast"/>
              <w:rPr>
                <w:rFonts w:eastAsia="Calibri" w:cs="Arial"/>
                <w:color w:val="000000"/>
                <w:sz w:val="18"/>
                <w:szCs w:val="18"/>
                <w:lang w:eastAsia="en-GB"/>
              </w:rPr>
            </w:pPr>
            <w:r>
              <w:rPr>
                <w:rFonts w:eastAsia="Calibri" w:cs="Arial"/>
                <w:color w:val="000000"/>
                <w:sz w:val="18"/>
                <w:szCs w:val="18"/>
                <w:lang w:eastAsia="en-GB"/>
              </w:rPr>
              <w:t xml:space="preserve">ktotal (0.05 </w:t>
            </w:r>
            <w:r w:rsidRPr="005F445F">
              <w:rPr>
                <w:rFonts w:eastAsia="Calibri" w:cs="Arial"/>
                <w:color w:val="000000"/>
                <w:sz w:val="18"/>
                <w:szCs w:val="18"/>
                <w:lang w:eastAsia="en-GB"/>
              </w:rPr>
              <w:t xml:space="preserve">m relevant for </w:t>
            </w:r>
            <w:r>
              <w:rPr>
                <w:rFonts w:eastAsia="Calibri" w:cs="Arial"/>
                <w:color w:val="000000"/>
                <w:sz w:val="18"/>
                <w:szCs w:val="18"/>
                <w:lang w:eastAsia="en-GB"/>
              </w:rPr>
              <w:t>slurry/manure grass land</w:t>
            </w:r>
            <w:r w:rsidRPr="005F445F">
              <w:rPr>
                <w:rFonts w:eastAsia="Calibri" w:cs="Arial"/>
                <w:color w:val="000000"/>
                <w:sz w:val="18"/>
                <w:szCs w:val="18"/>
                <w:lang w:eastAsia="en-GB"/>
              </w:rPr>
              <w:t>)</w:t>
            </w:r>
          </w:p>
        </w:tc>
        <w:tc>
          <w:tcPr>
            <w:tcW w:w="1389" w:type="dxa"/>
            <w:tcBorders>
              <w:top w:val="single" w:sz="4" w:space="0" w:color="000000"/>
              <w:left w:val="single" w:sz="4" w:space="0" w:color="000000"/>
              <w:bottom w:val="single" w:sz="4" w:space="0" w:color="000000"/>
            </w:tcBorders>
            <w:shd w:val="clear" w:color="auto" w:fill="FFFFFF"/>
          </w:tcPr>
          <w:p w14:paraId="179300A0" w14:textId="77777777" w:rsidR="00567E0E" w:rsidRPr="005F445F" w:rsidRDefault="00567E0E" w:rsidP="00261A29">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3.51E-02</w:t>
            </w:r>
          </w:p>
        </w:tc>
        <w:tc>
          <w:tcPr>
            <w:tcW w:w="1872" w:type="dxa"/>
            <w:tcBorders>
              <w:top w:val="single" w:sz="4" w:space="0" w:color="000000"/>
              <w:left w:val="single" w:sz="4" w:space="0" w:color="000000"/>
              <w:bottom w:val="single" w:sz="4" w:space="0" w:color="000000"/>
            </w:tcBorders>
            <w:shd w:val="clear" w:color="auto" w:fill="FFFFFF"/>
          </w:tcPr>
          <w:p w14:paraId="7D8BB970"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w:t>
            </w:r>
            <w:r w:rsidRPr="00FE50A7">
              <w:rPr>
                <w:rFonts w:eastAsia="Calibri" w:cs="Arial"/>
                <w:color w:val="000000"/>
                <w:sz w:val="18"/>
                <w:szCs w:val="18"/>
                <w:vertAlign w:val="superscript"/>
                <w:lang w:eastAsia="en-GB"/>
              </w:rPr>
              <w:t>-1</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7455EA2E" w14:textId="77777777" w:rsidR="00567E0E" w:rsidRPr="002C181D" w:rsidRDefault="00567E0E" w:rsidP="00261A29">
            <w:pPr>
              <w:autoSpaceDE w:val="0"/>
              <w:spacing w:before="60" w:after="60"/>
              <w:jc w:val="both"/>
              <w:rPr>
                <w:rFonts w:cs="Arial"/>
                <w:sz w:val="18"/>
                <w:szCs w:val="18"/>
                <w:lang w:eastAsia="en-GB"/>
              </w:rPr>
            </w:pPr>
            <w:r w:rsidRPr="002C181D">
              <w:rPr>
                <w:rFonts w:cs="Arial"/>
                <w:sz w:val="18"/>
                <w:szCs w:val="18"/>
                <w:lang w:eastAsia="en-GB"/>
              </w:rPr>
              <w:t>Calculated</w:t>
            </w:r>
          </w:p>
        </w:tc>
      </w:tr>
    </w:tbl>
    <w:p w14:paraId="76143253" w14:textId="77777777" w:rsidR="00F41438" w:rsidRDefault="00F41438"/>
    <w:tbl>
      <w:tblPr>
        <w:tblW w:w="9356" w:type="dxa"/>
        <w:tblInd w:w="108" w:type="dxa"/>
        <w:tblLayout w:type="fixed"/>
        <w:tblLook w:val="0000" w:firstRow="0" w:lastRow="0" w:firstColumn="0" w:lastColumn="0" w:noHBand="0" w:noVBand="0"/>
      </w:tblPr>
      <w:tblGrid>
        <w:gridCol w:w="2410"/>
        <w:gridCol w:w="3828"/>
        <w:gridCol w:w="3118"/>
      </w:tblGrid>
      <w:tr w:rsidR="00567E0E" w14:paraId="59BDCB98" w14:textId="77777777" w:rsidTr="00261A29">
        <w:trPr>
          <w:trHeight w:val="269"/>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08F6FB8" w14:textId="77777777" w:rsidR="00567E0E" w:rsidRPr="005F445F" w:rsidRDefault="00567E0E" w:rsidP="00261A29">
            <w:pPr>
              <w:keepNext/>
              <w:autoSpaceDE w:val="0"/>
              <w:spacing w:line="260" w:lineRule="atLeast"/>
              <w:jc w:val="center"/>
              <w:rPr>
                <w:sz w:val="18"/>
                <w:szCs w:val="18"/>
              </w:rPr>
            </w:pPr>
            <w:r w:rsidRPr="005F445F">
              <w:rPr>
                <w:rFonts w:eastAsia="Calibri"/>
                <w:b/>
                <w:sz w:val="18"/>
                <w:szCs w:val="18"/>
                <w:lang w:eastAsia="en-US"/>
              </w:rPr>
              <w:t xml:space="preserve">Calculated fate and distribution in the STP </w:t>
            </w:r>
            <w:r w:rsidRPr="005F445F">
              <w:rPr>
                <w:rFonts w:eastAsia="Calibri" w:cs="Arial"/>
                <w:b/>
                <w:color w:val="000000"/>
                <w:sz w:val="18"/>
                <w:szCs w:val="18"/>
                <w:lang w:eastAsia="en-GB"/>
              </w:rPr>
              <w:t>of L(+) Lactic acid</w:t>
            </w:r>
          </w:p>
        </w:tc>
      </w:tr>
      <w:tr w:rsidR="00567E0E" w14:paraId="0FA2F93E" w14:textId="77777777" w:rsidTr="00261A29">
        <w:trPr>
          <w:cantSplit/>
          <w:trHeight w:val="790"/>
        </w:trPr>
        <w:tc>
          <w:tcPr>
            <w:tcW w:w="2410" w:type="dxa"/>
            <w:tcBorders>
              <w:top w:val="single" w:sz="4" w:space="0" w:color="000000"/>
              <w:left w:val="single" w:sz="4" w:space="0" w:color="000000"/>
              <w:bottom w:val="single" w:sz="4" w:space="0" w:color="000000"/>
            </w:tcBorders>
            <w:shd w:val="clear" w:color="auto" w:fill="FFFFFF"/>
            <w:vAlign w:val="center"/>
          </w:tcPr>
          <w:p w14:paraId="613879AE" w14:textId="77777777" w:rsidR="00567E0E" w:rsidRPr="005F445F" w:rsidRDefault="00567E0E" w:rsidP="00261A29">
            <w:pPr>
              <w:autoSpaceDE w:val="0"/>
              <w:spacing w:line="260" w:lineRule="atLeast"/>
              <w:jc w:val="center"/>
              <w:rPr>
                <w:rFonts w:eastAsia="Calibri" w:cs="Arial"/>
                <w:bCs/>
                <w:color w:val="000000"/>
                <w:sz w:val="18"/>
                <w:szCs w:val="18"/>
                <w:lang w:eastAsia="en-GB"/>
              </w:rPr>
            </w:pPr>
            <w:r w:rsidRPr="005F445F">
              <w:rPr>
                <w:rFonts w:eastAsia="Calibri" w:cs="Arial"/>
                <w:bCs/>
                <w:color w:val="000000"/>
                <w:sz w:val="18"/>
                <w:szCs w:val="18"/>
                <w:lang w:eastAsia="en-GB"/>
              </w:rPr>
              <w:t>Compartment</w:t>
            </w:r>
          </w:p>
        </w:tc>
        <w:tc>
          <w:tcPr>
            <w:tcW w:w="3828" w:type="dxa"/>
            <w:tcBorders>
              <w:top w:val="single" w:sz="4" w:space="0" w:color="000000"/>
              <w:left w:val="single" w:sz="4" w:space="0" w:color="000000"/>
            </w:tcBorders>
            <w:shd w:val="clear" w:color="auto" w:fill="FFFFFF"/>
            <w:vAlign w:val="center"/>
          </w:tcPr>
          <w:p w14:paraId="4EA104E4" w14:textId="77777777" w:rsidR="00567E0E" w:rsidRPr="005F445F" w:rsidRDefault="00567E0E" w:rsidP="00261A29">
            <w:pPr>
              <w:autoSpaceDE w:val="0"/>
              <w:spacing w:line="260" w:lineRule="atLeast"/>
              <w:jc w:val="center"/>
              <w:rPr>
                <w:rFonts w:eastAsia="Calibri" w:cs="Arial"/>
                <w:bCs/>
                <w:color w:val="000000"/>
                <w:sz w:val="18"/>
                <w:szCs w:val="18"/>
                <w:lang w:eastAsia="en-GB"/>
              </w:rPr>
            </w:pPr>
            <w:r w:rsidRPr="005F445F">
              <w:rPr>
                <w:rFonts w:eastAsia="Calibri" w:cs="Arial"/>
                <w:bCs/>
                <w:color w:val="000000"/>
                <w:sz w:val="18"/>
                <w:szCs w:val="18"/>
                <w:lang w:eastAsia="en-GB"/>
              </w:rPr>
              <w:t>Percentage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58243" w14:textId="77777777" w:rsidR="00567E0E" w:rsidRPr="005F445F" w:rsidRDefault="00567E0E" w:rsidP="00261A29">
            <w:pPr>
              <w:autoSpaceDE w:val="0"/>
              <w:spacing w:line="260" w:lineRule="atLeast"/>
              <w:jc w:val="center"/>
              <w:rPr>
                <w:sz w:val="18"/>
                <w:szCs w:val="18"/>
              </w:rPr>
            </w:pPr>
            <w:r w:rsidRPr="005F445F">
              <w:rPr>
                <w:rFonts w:eastAsia="Calibri" w:cs="Arial"/>
                <w:bCs/>
                <w:color w:val="000000"/>
                <w:sz w:val="18"/>
                <w:szCs w:val="18"/>
                <w:lang w:eastAsia="en-GB"/>
              </w:rPr>
              <w:t>Remarks</w:t>
            </w:r>
          </w:p>
        </w:tc>
      </w:tr>
      <w:tr w:rsidR="00567E0E" w14:paraId="6EA5B356" w14:textId="77777777" w:rsidTr="00261A29">
        <w:trPr>
          <w:trHeight w:val="75"/>
        </w:trPr>
        <w:tc>
          <w:tcPr>
            <w:tcW w:w="2410" w:type="dxa"/>
            <w:tcBorders>
              <w:top w:val="single" w:sz="4" w:space="0" w:color="000000"/>
              <w:left w:val="single" w:sz="4" w:space="0" w:color="000000"/>
              <w:bottom w:val="single" w:sz="4" w:space="0" w:color="000000"/>
            </w:tcBorders>
            <w:shd w:val="clear" w:color="auto" w:fill="FFFFFF"/>
          </w:tcPr>
          <w:p w14:paraId="7A407C23"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Air</w:t>
            </w:r>
          </w:p>
        </w:tc>
        <w:tc>
          <w:tcPr>
            <w:tcW w:w="3828" w:type="dxa"/>
            <w:tcBorders>
              <w:top w:val="single" w:sz="4" w:space="0" w:color="000000"/>
              <w:left w:val="single" w:sz="4" w:space="0" w:color="000000"/>
              <w:bottom w:val="single" w:sz="4" w:space="0" w:color="000000"/>
            </w:tcBorders>
            <w:shd w:val="clear" w:color="auto" w:fill="FFFFFF"/>
            <w:vAlign w:val="center"/>
          </w:tcPr>
          <w:p w14:paraId="16E748E6" w14:textId="77777777" w:rsidR="00567E0E" w:rsidRPr="005F445F" w:rsidRDefault="00567E0E" w:rsidP="00261A29">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2.50E-05</w:t>
            </w:r>
          </w:p>
        </w:tc>
        <w:tc>
          <w:tcPr>
            <w:tcW w:w="3118" w:type="dxa"/>
            <w:vMerge w:val="restart"/>
            <w:tcBorders>
              <w:top w:val="single" w:sz="4" w:space="0" w:color="000000"/>
              <w:left w:val="single" w:sz="4" w:space="0" w:color="000000"/>
              <w:right w:val="single" w:sz="4" w:space="0" w:color="000000"/>
            </w:tcBorders>
            <w:shd w:val="clear" w:color="auto" w:fill="FFFFFF"/>
            <w:vAlign w:val="center"/>
          </w:tcPr>
          <w:p w14:paraId="41E44E89" w14:textId="77777777" w:rsidR="00567E0E" w:rsidRPr="005F445F" w:rsidRDefault="00567E0E" w:rsidP="00261A29">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Simple treat v4.0</w:t>
            </w:r>
          </w:p>
        </w:tc>
      </w:tr>
      <w:tr w:rsidR="00567E0E" w14:paraId="78756EE9" w14:textId="77777777" w:rsidTr="00261A29">
        <w:trPr>
          <w:trHeight w:val="75"/>
        </w:trPr>
        <w:tc>
          <w:tcPr>
            <w:tcW w:w="2410" w:type="dxa"/>
            <w:tcBorders>
              <w:top w:val="single" w:sz="4" w:space="0" w:color="000000"/>
              <w:left w:val="single" w:sz="4" w:space="0" w:color="000000"/>
              <w:bottom w:val="single" w:sz="4" w:space="0" w:color="000000"/>
            </w:tcBorders>
            <w:shd w:val="clear" w:color="auto" w:fill="FFFFFF"/>
          </w:tcPr>
          <w:p w14:paraId="65DDD4B7"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Water</w:t>
            </w:r>
          </w:p>
        </w:tc>
        <w:tc>
          <w:tcPr>
            <w:tcW w:w="3828" w:type="dxa"/>
            <w:tcBorders>
              <w:top w:val="single" w:sz="4" w:space="0" w:color="000000"/>
              <w:left w:val="single" w:sz="4" w:space="0" w:color="000000"/>
              <w:bottom w:val="single" w:sz="4" w:space="0" w:color="000000"/>
            </w:tcBorders>
            <w:shd w:val="clear" w:color="auto" w:fill="FFFFFF"/>
            <w:vAlign w:val="center"/>
          </w:tcPr>
          <w:p w14:paraId="0A364EAB" w14:textId="77777777" w:rsidR="00567E0E" w:rsidRPr="005F445F" w:rsidRDefault="00567E0E" w:rsidP="00261A29">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22.5</w:t>
            </w:r>
          </w:p>
        </w:tc>
        <w:tc>
          <w:tcPr>
            <w:tcW w:w="3118" w:type="dxa"/>
            <w:vMerge/>
            <w:tcBorders>
              <w:left w:val="single" w:sz="4" w:space="0" w:color="000000"/>
              <w:right w:val="single" w:sz="4" w:space="0" w:color="000000"/>
            </w:tcBorders>
            <w:shd w:val="clear" w:color="auto" w:fill="FFFFFF"/>
          </w:tcPr>
          <w:p w14:paraId="6074B5F5" w14:textId="77777777" w:rsidR="00567E0E" w:rsidRPr="005F445F" w:rsidRDefault="00567E0E" w:rsidP="00261A29">
            <w:pPr>
              <w:autoSpaceDE w:val="0"/>
              <w:snapToGrid w:val="0"/>
              <w:spacing w:line="260" w:lineRule="atLeast"/>
              <w:rPr>
                <w:rFonts w:eastAsia="Calibri" w:cs="Arial"/>
                <w:color w:val="000000"/>
                <w:sz w:val="18"/>
                <w:szCs w:val="18"/>
                <w:lang w:eastAsia="en-GB"/>
              </w:rPr>
            </w:pPr>
          </w:p>
        </w:tc>
      </w:tr>
      <w:tr w:rsidR="00567E0E" w14:paraId="7B5D4724" w14:textId="77777777" w:rsidTr="00261A29">
        <w:trPr>
          <w:trHeight w:val="75"/>
        </w:trPr>
        <w:tc>
          <w:tcPr>
            <w:tcW w:w="2410" w:type="dxa"/>
            <w:tcBorders>
              <w:top w:val="single" w:sz="4" w:space="0" w:color="000000"/>
              <w:left w:val="single" w:sz="4" w:space="0" w:color="000000"/>
              <w:bottom w:val="single" w:sz="4" w:space="0" w:color="000000"/>
            </w:tcBorders>
            <w:shd w:val="clear" w:color="auto" w:fill="FFFFFF"/>
          </w:tcPr>
          <w:p w14:paraId="4C2CEAF6"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Sludge</w:t>
            </w:r>
          </w:p>
        </w:tc>
        <w:tc>
          <w:tcPr>
            <w:tcW w:w="3828" w:type="dxa"/>
            <w:tcBorders>
              <w:top w:val="single" w:sz="4" w:space="0" w:color="000000"/>
              <w:left w:val="single" w:sz="4" w:space="0" w:color="000000"/>
              <w:bottom w:val="single" w:sz="4" w:space="0" w:color="000000"/>
            </w:tcBorders>
            <w:shd w:val="clear" w:color="auto" w:fill="FFFFFF"/>
            <w:vAlign w:val="center"/>
          </w:tcPr>
          <w:p w14:paraId="723EC531" w14:textId="77777777" w:rsidR="00567E0E" w:rsidRPr="005F445F" w:rsidRDefault="00567E0E" w:rsidP="00261A29">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0.20</w:t>
            </w:r>
          </w:p>
        </w:tc>
        <w:tc>
          <w:tcPr>
            <w:tcW w:w="3118" w:type="dxa"/>
            <w:vMerge/>
            <w:tcBorders>
              <w:left w:val="single" w:sz="4" w:space="0" w:color="000000"/>
              <w:right w:val="single" w:sz="4" w:space="0" w:color="000000"/>
            </w:tcBorders>
            <w:shd w:val="clear" w:color="auto" w:fill="FFFFFF"/>
          </w:tcPr>
          <w:p w14:paraId="6D1FE33B" w14:textId="77777777" w:rsidR="00567E0E" w:rsidRPr="005F445F" w:rsidRDefault="00567E0E" w:rsidP="00261A29">
            <w:pPr>
              <w:autoSpaceDE w:val="0"/>
              <w:snapToGrid w:val="0"/>
              <w:spacing w:line="260" w:lineRule="atLeast"/>
              <w:rPr>
                <w:rFonts w:eastAsia="Calibri" w:cs="Arial"/>
                <w:color w:val="000000"/>
                <w:sz w:val="18"/>
                <w:szCs w:val="18"/>
                <w:lang w:eastAsia="en-GB"/>
              </w:rPr>
            </w:pPr>
          </w:p>
        </w:tc>
      </w:tr>
      <w:tr w:rsidR="00567E0E" w14:paraId="2AC3AFF8" w14:textId="77777777" w:rsidTr="00261A29">
        <w:trPr>
          <w:trHeight w:val="75"/>
        </w:trPr>
        <w:tc>
          <w:tcPr>
            <w:tcW w:w="2410" w:type="dxa"/>
            <w:tcBorders>
              <w:top w:val="single" w:sz="4" w:space="0" w:color="000000"/>
              <w:left w:val="single" w:sz="4" w:space="0" w:color="000000"/>
              <w:bottom w:val="single" w:sz="4" w:space="0" w:color="000000"/>
            </w:tcBorders>
            <w:shd w:val="clear" w:color="auto" w:fill="FFFFFF"/>
          </w:tcPr>
          <w:p w14:paraId="447F21E5" w14:textId="77777777" w:rsidR="00567E0E" w:rsidRPr="005F445F" w:rsidRDefault="00567E0E" w:rsidP="00261A29">
            <w:pPr>
              <w:autoSpaceDE w:val="0"/>
              <w:spacing w:line="260" w:lineRule="atLeast"/>
              <w:rPr>
                <w:rFonts w:eastAsia="Calibri" w:cs="Arial"/>
                <w:color w:val="000000"/>
                <w:sz w:val="18"/>
                <w:szCs w:val="18"/>
                <w:lang w:eastAsia="en-GB"/>
              </w:rPr>
            </w:pPr>
            <w:r w:rsidRPr="005F445F">
              <w:rPr>
                <w:rFonts w:eastAsia="Calibri" w:cs="Arial"/>
                <w:color w:val="000000"/>
                <w:sz w:val="18"/>
                <w:szCs w:val="18"/>
                <w:lang w:eastAsia="en-GB"/>
              </w:rPr>
              <w:t>Degraded in STP</w:t>
            </w:r>
          </w:p>
        </w:tc>
        <w:tc>
          <w:tcPr>
            <w:tcW w:w="3828" w:type="dxa"/>
            <w:tcBorders>
              <w:top w:val="single" w:sz="4" w:space="0" w:color="000000"/>
              <w:left w:val="single" w:sz="4" w:space="0" w:color="000000"/>
              <w:bottom w:val="single" w:sz="4" w:space="0" w:color="000000"/>
            </w:tcBorders>
            <w:shd w:val="clear" w:color="auto" w:fill="FFFFFF"/>
            <w:vAlign w:val="center"/>
          </w:tcPr>
          <w:p w14:paraId="5C4424BB" w14:textId="77777777" w:rsidR="00567E0E" w:rsidRPr="005F445F" w:rsidRDefault="00567E0E" w:rsidP="00261A29">
            <w:pPr>
              <w:autoSpaceDE w:val="0"/>
              <w:snapToGrid w:val="0"/>
              <w:spacing w:line="260" w:lineRule="atLeast"/>
              <w:jc w:val="center"/>
              <w:rPr>
                <w:rFonts w:eastAsia="Calibri" w:cs="Arial"/>
                <w:color w:val="000000"/>
                <w:sz w:val="18"/>
                <w:szCs w:val="18"/>
                <w:lang w:eastAsia="en-GB"/>
              </w:rPr>
            </w:pPr>
            <w:r w:rsidRPr="005F445F">
              <w:rPr>
                <w:rFonts w:eastAsia="Calibri" w:cs="Arial"/>
                <w:color w:val="000000"/>
                <w:sz w:val="18"/>
                <w:szCs w:val="18"/>
                <w:lang w:eastAsia="en-GB"/>
              </w:rPr>
              <w:t>77.3</w:t>
            </w:r>
          </w:p>
        </w:tc>
        <w:tc>
          <w:tcPr>
            <w:tcW w:w="3118" w:type="dxa"/>
            <w:vMerge/>
            <w:tcBorders>
              <w:left w:val="single" w:sz="4" w:space="0" w:color="000000"/>
              <w:bottom w:val="single" w:sz="4" w:space="0" w:color="000000"/>
              <w:right w:val="single" w:sz="4" w:space="0" w:color="000000"/>
            </w:tcBorders>
            <w:shd w:val="clear" w:color="auto" w:fill="FFFFFF"/>
          </w:tcPr>
          <w:p w14:paraId="3D421245" w14:textId="77777777" w:rsidR="00567E0E" w:rsidRPr="005F445F" w:rsidRDefault="00567E0E" w:rsidP="00261A29">
            <w:pPr>
              <w:autoSpaceDE w:val="0"/>
              <w:snapToGrid w:val="0"/>
              <w:spacing w:line="260" w:lineRule="atLeast"/>
              <w:rPr>
                <w:rFonts w:eastAsia="Calibri" w:cs="Arial"/>
                <w:color w:val="000000"/>
                <w:sz w:val="18"/>
                <w:szCs w:val="18"/>
                <w:lang w:eastAsia="en-GB"/>
              </w:rPr>
            </w:pPr>
          </w:p>
        </w:tc>
      </w:tr>
    </w:tbl>
    <w:p w14:paraId="30427AD6" w14:textId="77777777" w:rsidR="00567E0E" w:rsidRDefault="00567E0E" w:rsidP="00567E0E">
      <w:pPr>
        <w:spacing w:line="260" w:lineRule="atLeast"/>
        <w:rPr>
          <w:rFonts w:ascii="Times New Roman" w:eastAsia="Calibri" w:hAnsi="Times New Roman" w:cs="Times New Roman"/>
          <w:i/>
          <w:iCs/>
          <w:lang w:eastAsia="en-US"/>
        </w:rPr>
      </w:pPr>
      <w:r w:rsidDel="00E07CEE">
        <w:rPr>
          <w:rFonts w:ascii="Times New Roman" w:eastAsia="Calibri" w:hAnsi="Times New Roman" w:cs="Times New Roman"/>
          <w:i/>
          <w:iCs/>
          <w:lang w:eastAsia="en-US"/>
        </w:rPr>
        <w:t xml:space="preserve"> </w:t>
      </w:r>
    </w:p>
    <w:p w14:paraId="5BD98185" w14:textId="77777777" w:rsidR="00A64B57" w:rsidRDefault="00A64B57" w:rsidP="00567E0E">
      <w:pPr>
        <w:rPr>
          <w:rFonts w:eastAsia="Calibri"/>
          <w:b/>
          <w:i/>
          <w:sz w:val="22"/>
          <w:szCs w:val="22"/>
          <w:lang w:eastAsia="en-US"/>
        </w:rPr>
      </w:pPr>
    </w:p>
    <w:p w14:paraId="016F30FF" w14:textId="1947356E" w:rsidR="00567E0E" w:rsidRDefault="00567E0E" w:rsidP="00567E0E">
      <w:pPr>
        <w:rPr>
          <w:rFonts w:eastAsia="Calibri"/>
          <w:b/>
          <w:i/>
          <w:sz w:val="22"/>
          <w:szCs w:val="22"/>
          <w:lang w:val="en-US" w:eastAsia="en-US"/>
        </w:rPr>
      </w:pPr>
      <w:r>
        <w:rPr>
          <w:rFonts w:eastAsia="Calibri"/>
          <w:b/>
          <w:i/>
          <w:sz w:val="22"/>
          <w:szCs w:val="22"/>
          <w:lang w:eastAsia="en-US"/>
        </w:rPr>
        <w:t>Calculated PEC values</w:t>
      </w:r>
    </w:p>
    <w:p w14:paraId="21B76488" w14:textId="77777777" w:rsidR="00567E0E" w:rsidRDefault="00567E0E" w:rsidP="00567E0E">
      <w:pPr>
        <w:spacing w:line="260" w:lineRule="atLeast"/>
        <w:rPr>
          <w:rFonts w:eastAsia="Calibri"/>
          <w:b/>
          <w:i/>
          <w:sz w:val="22"/>
          <w:szCs w:val="22"/>
          <w:lang w:val="en-US" w:eastAsia="en-US"/>
        </w:rPr>
      </w:pPr>
    </w:p>
    <w:p w14:paraId="14100AD6" w14:textId="77777777" w:rsidR="002D0BFB" w:rsidRPr="0011422A" w:rsidRDefault="002D0BFB" w:rsidP="002D0BFB">
      <w:pPr>
        <w:jc w:val="both"/>
      </w:pPr>
      <w:r>
        <w:t>PECs for sediments were not calculated neither for iodine and iodine compounds nor for L(+) Lactic acid. PNECs sediment being calculated using equilibrium partitioning, they are covered by PNECs water.</w:t>
      </w:r>
    </w:p>
    <w:p w14:paraId="2EF3F9EB" w14:textId="60639DC7" w:rsidR="00567E0E" w:rsidRDefault="00567E0E" w:rsidP="00567E0E"/>
    <w:p w14:paraId="38A14E25" w14:textId="77777777" w:rsidR="002D0BFB" w:rsidRDefault="002D0BFB" w:rsidP="002D0BF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1757"/>
        <w:gridCol w:w="1809"/>
        <w:gridCol w:w="2198"/>
        <w:gridCol w:w="2150"/>
      </w:tblGrid>
      <w:tr w:rsidR="002D0BFB" w:rsidRPr="00B27771" w14:paraId="6AA76ED6" w14:textId="77777777" w:rsidTr="00FC4AE4">
        <w:trPr>
          <w:trHeight w:val="20"/>
          <w:tblHeader/>
        </w:trPr>
        <w:tc>
          <w:tcPr>
            <w:tcW w:w="9995" w:type="dxa"/>
            <w:gridSpan w:val="5"/>
            <w:tcBorders>
              <w:top w:val="single" w:sz="4" w:space="0" w:color="auto"/>
              <w:left w:val="single" w:sz="4" w:space="0" w:color="auto"/>
              <w:bottom w:val="single" w:sz="4" w:space="0" w:color="auto"/>
            </w:tcBorders>
            <w:shd w:val="clear" w:color="auto" w:fill="FFFFCC"/>
            <w:vAlign w:val="center"/>
          </w:tcPr>
          <w:p w14:paraId="1F3FB8F6" w14:textId="45CAD40E" w:rsidR="002D0BFB" w:rsidRPr="00B27771" w:rsidRDefault="002D0BFB" w:rsidP="00D14200">
            <w:pPr>
              <w:keepNext/>
              <w:suppressAutoHyphens w:val="0"/>
              <w:autoSpaceDE w:val="0"/>
              <w:autoSpaceDN w:val="0"/>
              <w:adjustRightInd w:val="0"/>
              <w:spacing w:before="60" w:after="60" w:line="260" w:lineRule="atLeast"/>
              <w:jc w:val="center"/>
              <w:rPr>
                <w:rFonts w:eastAsia="Calibri" w:cs="Arial"/>
                <w:color w:val="000000"/>
                <w:sz w:val="18"/>
                <w:szCs w:val="18"/>
                <w:lang w:eastAsia="en-GB"/>
              </w:rPr>
            </w:pPr>
            <w:r w:rsidRPr="00B27771">
              <w:rPr>
                <w:rFonts w:eastAsia="Calibri" w:cs="Arial"/>
                <w:b/>
                <w:bCs/>
                <w:sz w:val="18"/>
                <w:szCs w:val="18"/>
                <w:lang w:eastAsia="en-GB"/>
              </w:rPr>
              <w:lastRenderedPageBreak/>
              <w:t>Summary table on calcu</w:t>
            </w:r>
            <w:r w:rsidR="00D14200">
              <w:rPr>
                <w:rFonts w:eastAsia="Calibri" w:cs="Arial"/>
                <w:b/>
                <w:bCs/>
                <w:sz w:val="18"/>
                <w:szCs w:val="18"/>
                <w:lang w:eastAsia="en-GB"/>
              </w:rPr>
              <w:t>lated PEC values for iodine</w:t>
            </w:r>
          </w:p>
        </w:tc>
      </w:tr>
      <w:tr w:rsidR="002D0BFB" w:rsidRPr="00B27771" w14:paraId="2A0FD1B3" w14:textId="77777777" w:rsidTr="009C176F">
        <w:trPr>
          <w:trHeight w:val="20"/>
          <w:tblHeader/>
        </w:trPr>
        <w:tc>
          <w:tcPr>
            <w:tcW w:w="2081" w:type="dxa"/>
            <w:vMerge w:val="restart"/>
            <w:shd w:val="clear" w:color="auto" w:fill="FFFFFF"/>
            <w:vAlign w:val="center"/>
          </w:tcPr>
          <w:p w14:paraId="3453EDCC"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p>
        </w:tc>
        <w:tc>
          <w:tcPr>
            <w:tcW w:w="1757" w:type="dxa"/>
            <w:shd w:val="clear" w:color="auto" w:fill="FFFFFF"/>
            <w:vAlign w:val="center"/>
          </w:tcPr>
          <w:p w14:paraId="12D66DB9" w14:textId="77777777" w:rsidR="002D0BFB" w:rsidRPr="00B27771" w:rsidRDefault="002D0BFB" w:rsidP="002D0BFB">
            <w:pPr>
              <w:keepNext/>
              <w:suppressAutoHyphens w:val="0"/>
              <w:autoSpaceDE w:val="0"/>
              <w:autoSpaceDN w:val="0"/>
              <w:adjustRightInd w:val="0"/>
              <w:spacing w:before="60" w:after="60" w:line="260" w:lineRule="atLeast"/>
              <w:jc w:val="center"/>
              <w:rPr>
                <w:rFonts w:eastAsia="Calibri" w:cs="Arial"/>
                <w:bCs/>
                <w:color w:val="000000"/>
                <w:sz w:val="18"/>
                <w:szCs w:val="18"/>
                <w:lang w:eastAsia="en-GB"/>
              </w:rPr>
            </w:pPr>
            <w:r w:rsidRPr="00B27771">
              <w:rPr>
                <w:rFonts w:eastAsia="Calibri" w:cs="Arial"/>
                <w:b/>
                <w:bCs/>
                <w:color w:val="000000"/>
                <w:sz w:val="18"/>
                <w:szCs w:val="18"/>
                <w:lang w:eastAsia="en-GB"/>
              </w:rPr>
              <w:t>PEC</w:t>
            </w:r>
            <w:r w:rsidRPr="00B27771">
              <w:rPr>
                <w:rFonts w:eastAsia="Calibri" w:cs="Arial"/>
                <w:b/>
                <w:bCs/>
                <w:color w:val="000000"/>
                <w:sz w:val="18"/>
                <w:szCs w:val="18"/>
                <w:vertAlign w:val="subscript"/>
                <w:lang w:eastAsia="en-GB"/>
              </w:rPr>
              <w:t>STP</w:t>
            </w:r>
          </w:p>
        </w:tc>
        <w:tc>
          <w:tcPr>
            <w:tcW w:w="1809" w:type="dxa"/>
            <w:shd w:val="clear" w:color="auto" w:fill="FFFFFF"/>
            <w:vAlign w:val="center"/>
          </w:tcPr>
          <w:p w14:paraId="473C180A"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water</w:t>
            </w:r>
          </w:p>
        </w:tc>
        <w:tc>
          <w:tcPr>
            <w:tcW w:w="2198" w:type="dxa"/>
            <w:shd w:val="clear" w:color="auto" w:fill="FFFFFF"/>
            <w:vAlign w:val="center"/>
          </w:tcPr>
          <w:p w14:paraId="67731C8F"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soil</w:t>
            </w:r>
          </w:p>
        </w:tc>
        <w:tc>
          <w:tcPr>
            <w:tcW w:w="2150" w:type="dxa"/>
            <w:vAlign w:val="center"/>
          </w:tcPr>
          <w:p w14:paraId="461B8D7D" w14:textId="77777777" w:rsidR="002D0BFB" w:rsidRPr="00B27771" w:rsidRDefault="002D0BFB" w:rsidP="002D0BFB">
            <w:pPr>
              <w:keepNext/>
              <w:suppressAutoHyphens w:val="0"/>
              <w:autoSpaceDE w:val="0"/>
              <w:autoSpaceDN w:val="0"/>
              <w:adjustRightInd w:val="0"/>
              <w:spacing w:before="60" w:after="60" w:line="260" w:lineRule="atLeast"/>
              <w:jc w:val="center"/>
              <w:rPr>
                <w:rFonts w:eastAsia="Calibri" w:cs="Arial"/>
                <w:color w:val="000000"/>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GW</w:t>
            </w:r>
          </w:p>
        </w:tc>
      </w:tr>
      <w:tr w:rsidR="002D0BFB" w:rsidRPr="00B27771" w14:paraId="40798788" w14:textId="77777777" w:rsidTr="009C176F">
        <w:trPr>
          <w:trHeight w:val="20"/>
          <w:tblHeader/>
        </w:trPr>
        <w:tc>
          <w:tcPr>
            <w:tcW w:w="2081" w:type="dxa"/>
            <w:vMerge/>
            <w:shd w:val="clear" w:color="auto" w:fill="FFFFFF"/>
            <w:vAlign w:val="center"/>
          </w:tcPr>
          <w:p w14:paraId="3BEC78F9" w14:textId="77777777" w:rsidR="002D0BFB" w:rsidRPr="00B27771" w:rsidRDefault="002D0BFB" w:rsidP="002D0BFB">
            <w:pPr>
              <w:keepNext/>
              <w:suppressAutoHyphens w:val="0"/>
              <w:spacing w:before="60" w:after="60" w:line="276" w:lineRule="auto"/>
              <w:jc w:val="center"/>
              <w:rPr>
                <w:rFonts w:eastAsia="Calibri" w:cs="Arial"/>
                <w:b/>
                <w:bCs/>
                <w:sz w:val="18"/>
                <w:szCs w:val="18"/>
                <w:lang w:eastAsia="en-GB"/>
              </w:rPr>
            </w:pPr>
          </w:p>
        </w:tc>
        <w:tc>
          <w:tcPr>
            <w:tcW w:w="1757" w:type="dxa"/>
            <w:shd w:val="clear" w:color="auto" w:fill="FFFFFF"/>
            <w:vAlign w:val="center"/>
          </w:tcPr>
          <w:p w14:paraId="79E9C417" w14:textId="77777777" w:rsidR="002D0BFB" w:rsidRPr="00B27771" w:rsidRDefault="002D0BFB" w:rsidP="002D0BFB">
            <w:pPr>
              <w:keepNext/>
              <w:suppressAutoHyphens w:val="0"/>
              <w:autoSpaceDE w:val="0"/>
              <w:autoSpaceDN w:val="0"/>
              <w:adjustRightInd w:val="0"/>
              <w:spacing w:before="60" w:after="60"/>
              <w:jc w:val="center"/>
              <w:rPr>
                <w:rFonts w:eastAsia="Calibri" w:cs="Arial"/>
                <w:color w:val="000000"/>
                <w:sz w:val="18"/>
                <w:szCs w:val="18"/>
                <w:lang w:eastAsia="en-GB"/>
              </w:rPr>
            </w:pPr>
            <w:r>
              <w:rPr>
                <w:rFonts w:eastAsia="Calibri" w:cs="Arial"/>
                <w:bCs/>
                <w:color w:val="000000"/>
                <w:sz w:val="18"/>
                <w:szCs w:val="18"/>
                <w:lang w:eastAsia="en-GB"/>
              </w:rPr>
              <w:t>[m</w:t>
            </w:r>
            <w:r w:rsidRPr="00B27771">
              <w:rPr>
                <w:rFonts w:eastAsia="Calibri" w:cs="Arial"/>
                <w:bCs/>
                <w:color w:val="000000"/>
                <w:sz w:val="18"/>
                <w:szCs w:val="18"/>
                <w:lang w:eastAsia="en-GB"/>
              </w:rPr>
              <w:t>g/l]</w:t>
            </w:r>
          </w:p>
        </w:tc>
        <w:tc>
          <w:tcPr>
            <w:tcW w:w="1809" w:type="dxa"/>
            <w:shd w:val="clear" w:color="auto" w:fill="FFFFFF"/>
            <w:vAlign w:val="center"/>
          </w:tcPr>
          <w:p w14:paraId="1814AC2E" w14:textId="77777777"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Pr>
                <w:rFonts w:eastAsia="Calibri" w:cs="Arial"/>
                <w:bCs/>
                <w:color w:val="000000"/>
                <w:sz w:val="18"/>
                <w:szCs w:val="18"/>
                <w:lang w:eastAsia="en-GB"/>
              </w:rPr>
              <w:t>[m</w:t>
            </w:r>
            <w:r w:rsidRPr="00B27771">
              <w:rPr>
                <w:rFonts w:eastAsia="Calibri" w:cs="Arial"/>
                <w:bCs/>
                <w:color w:val="000000"/>
                <w:sz w:val="18"/>
                <w:szCs w:val="18"/>
                <w:lang w:eastAsia="en-GB"/>
              </w:rPr>
              <w:t>g/l]</w:t>
            </w:r>
          </w:p>
        </w:tc>
        <w:tc>
          <w:tcPr>
            <w:tcW w:w="2198" w:type="dxa"/>
            <w:shd w:val="clear" w:color="auto" w:fill="FFFFFF"/>
            <w:vAlign w:val="center"/>
          </w:tcPr>
          <w:p w14:paraId="6C1E2412" w14:textId="113B9BD2"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sidRPr="00B27771">
              <w:rPr>
                <w:rFonts w:eastAsia="Calibri" w:cs="Arial"/>
                <w:bCs/>
                <w:color w:val="000000"/>
                <w:sz w:val="18"/>
                <w:szCs w:val="18"/>
                <w:lang w:eastAsia="en-GB"/>
              </w:rPr>
              <w:t>[mg/kg</w:t>
            </w:r>
            <w:r w:rsidRPr="00B27771">
              <w:rPr>
                <w:rFonts w:eastAsia="Calibri" w:cs="Arial"/>
                <w:bCs/>
                <w:color w:val="000000"/>
                <w:sz w:val="18"/>
                <w:szCs w:val="18"/>
                <w:vertAlign w:val="subscript"/>
                <w:lang w:eastAsia="en-GB"/>
              </w:rPr>
              <w:t>wwt</w:t>
            </w:r>
            <w:r w:rsidRPr="00B27771">
              <w:rPr>
                <w:rFonts w:eastAsia="Calibri" w:cs="Arial"/>
                <w:bCs/>
                <w:color w:val="000000"/>
                <w:sz w:val="18"/>
                <w:szCs w:val="18"/>
                <w:lang w:eastAsia="en-GB"/>
              </w:rPr>
              <w:t>]</w:t>
            </w:r>
          </w:p>
        </w:tc>
        <w:tc>
          <w:tcPr>
            <w:tcW w:w="2150" w:type="dxa"/>
            <w:vAlign w:val="center"/>
          </w:tcPr>
          <w:p w14:paraId="5B5AABB1" w14:textId="77777777"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sidRPr="00B27771">
              <w:rPr>
                <w:rFonts w:eastAsia="Calibri" w:cs="Arial"/>
                <w:bCs/>
                <w:color w:val="000000"/>
                <w:sz w:val="18"/>
                <w:szCs w:val="18"/>
                <w:lang w:eastAsia="en-GB"/>
              </w:rPr>
              <w:t>[μg/l]</w:t>
            </w:r>
          </w:p>
        </w:tc>
      </w:tr>
      <w:tr w:rsidR="002D0BFB" w:rsidRPr="00B27771" w14:paraId="45C8A3EE" w14:textId="77777777" w:rsidTr="00FC4AE4">
        <w:trPr>
          <w:trHeight w:val="20"/>
        </w:trPr>
        <w:tc>
          <w:tcPr>
            <w:tcW w:w="2081" w:type="dxa"/>
            <w:shd w:val="clear" w:color="auto" w:fill="FFFFFF"/>
            <w:vAlign w:val="center"/>
          </w:tcPr>
          <w:p w14:paraId="11514B45" w14:textId="77777777" w:rsidR="002D0BFB" w:rsidRPr="00B27771" w:rsidRDefault="002D0BFB" w:rsidP="002D0BFB">
            <w:pPr>
              <w:suppressAutoHyphens w:val="0"/>
              <w:spacing w:before="60" w:after="60" w:line="276" w:lineRule="auto"/>
              <w:rPr>
                <w:rFonts w:eastAsia="Calibri" w:cs="Arial"/>
                <w:sz w:val="18"/>
                <w:szCs w:val="18"/>
                <w:lang w:eastAsia="en-GB"/>
              </w:rPr>
            </w:pPr>
            <w:r w:rsidRPr="00B27771">
              <w:rPr>
                <w:rFonts w:eastAsia="Calibri" w:cs="Arial"/>
                <w:b/>
                <w:i/>
                <w:sz w:val="18"/>
                <w:szCs w:val="18"/>
                <w:lang w:eastAsia="en-GB"/>
              </w:rPr>
              <w:t>via STP</w:t>
            </w:r>
          </w:p>
        </w:tc>
        <w:tc>
          <w:tcPr>
            <w:tcW w:w="1757" w:type="dxa"/>
            <w:shd w:val="clear" w:color="auto" w:fill="FFFFFF"/>
            <w:vAlign w:val="center"/>
          </w:tcPr>
          <w:p w14:paraId="76C147E4" w14:textId="13910042" w:rsidR="002D0BFB" w:rsidRPr="00B27771" w:rsidRDefault="008E1CA1" w:rsidP="002D0BFB">
            <w:pPr>
              <w:suppressAutoHyphens w:val="0"/>
              <w:autoSpaceDE w:val="0"/>
              <w:autoSpaceDN w:val="0"/>
              <w:adjustRightInd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8.76</w:t>
            </w:r>
            <w:r w:rsidR="00FC4AE4">
              <w:rPr>
                <w:rFonts w:eastAsia="Calibri" w:cs="Arial"/>
                <w:color w:val="000000"/>
                <w:sz w:val="18"/>
                <w:szCs w:val="18"/>
                <w:lang w:eastAsia="en-GB"/>
              </w:rPr>
              <w:t>E</w:t>
            </w:r>
            <w:r w:rsidR="002D0BFB">
              <w:rPr>
                <w:rFonts w:eastAsia="Calibri" w:cs="Arial"/>
                <w:color w:val="000000"/>
                <w:sz w:val="18"/>
                <w:szCs w:val="18"/>
                <w:lang w:eastAsia="en-GB"/>
              </w:rPr>
              <w:t>-04</w:t>
            </w:r>
          </w:p>
        </w:tc>
        <w:tc>
          <w:tcPr>
            <w:tcW w:w="1809" w:type="dxa"/>
            <w:shd w:val="clear" w:color="auto" w:fill="FFFFFF"/>
            <w:vAlign w:val="center"/>
          </w:tcPr>
          <w:p w14:paraId="6FEFEE03" w14:textId="441BFD0D" w:rsidR="002D0BFB" w:rsidRPr="00B27771" w:rsidRDefault="008E1CA1"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8.73</w:t>
            </w:r>
            <w:r w:rsidR="00FC4AE4">
              <w:rPr>
                <w:rFonts w:eastAsia="Calibri" w:cs="Arial"/>
                <w:color w:val="000000"/>
                <w:sz w:val="18"/>
                <w:szCs w:val="18"/>
                <w:lang w:eastAsia="en-GB"/>
              </w:rPr>
              <w:t>E</w:t>
            </w:r>
            <w:r w:rsidR="002D0BFB">
              <w:rPr>
                <w:rFonts w:eastAsia="Calibri" w:cs="Arial"/>
                <w:color w:val="000000"/>
                <w:sz w:val="18"/>
                <w:szCs w:val="18"/>
                <w:lang w:eastAsia="en-GB"/>
              </w:rPr>
              <w:t>-05</w:t>
            </w:r>
          </w:p>
        </w:tc>
        <w:tc>
          <w:tcPr>
            <w:tcW w:w="2198" w:type="dxa"/>
            <w:shd w:val="clear" w:color="auto" w:fill="FFFFFF"/>
            <w:vAlign w:val="center"/>
          </w:tcPr>
          <w:p w14:paraId="628AD06A" w14:textId="5F1313E5" w:rsidR="002D0BFB" w:rsidRPr="00B27771" w:rsidRDefault="008E1CA1"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5.42</w:t>
            </w:r>
            <w:r w:rsidR="00FC4AE4">
              <w:rPr>
                <w:rFonts w:eastAsia="Calibri" w:cs="Arial"/>
                <w:color w:val="000000"/>
                <w:sz w:val="18"/>
                <w:szCs w:val="18"/>
                <w:lang w:eastAsia="en-GB"/>
              </w:rPr>
              <w:t>E-03</w:t>
            </w:r>
          </w:p>
        </w:tc>
        <w:tc>
          <w:tcPr>
            <w:tcW w:w="2150" w:type="dxa"/>
            <w:vAlign w:val="center"/>
          </w:tcPr>
          <w:p w14:paraId="026A5EEF" w14:textId="411BF403" w:rsidR="002D0BFB" w:rsidRPr="00CE6589" w:rsidRDefault="008E1CA1" w:rsidP="002D0BFB">
            <w:pPr>
              <w:suppressAutoHyphens w:val="0"/>
              <w:autoSpaceDE w:val="0"/>
              <w:autoSpaceDN w:val="0"/>
              <w:adjustRightInd w:val="0"/>
              <w:spacing w:before="100" w:beforeAutospacing="1" w:after="100" w:afterAutospacing="1"/>
              <w:jc w:val="center"/>
              <w:rPr>
                <w:rFonts w:eastAsia="Calibri" w:cs="Arial"/>
                <w:b/>
                <w:color w:val="000000"/>
                <w:sz w:val="18"/>
                <w:szCs w:val="18"/>
                <w:lang w:eastAsia="en-GB"/>
              </w:rPr>
            </w:pPr>
            <w:r>
              <w:rPr>
                <w:rFonts w:eastAsia="Calibri" w:cs="Arial"/>
                <w:b/>
                <w:color w:val="000000"/>
                <w:sz w:val="18"/>
                <w:szCs w:val="18"/>
                <w:lang w:eastAsia="en-GB"/>
              </w:rPr>
              <w:t>1.04</w:t>
            </w:r>
          </w:p>
        </w:tc>
      </w:tr>
      <w:tr w:rsidR="002D0BFB" w:rsidRPr="00B27771" w14:paraId="392F0AA1" w14:textId="77777777" w:rsidTr="00FC4AE4">
        <w:trPr>
          <w:trHeight w:val="20"/>
        </w:trPr>
        <w:tc>
          <w:tcPr>
            <w:tcW w:w="9995" w:type="dxa"/>
            <w:gridSpan w:val="5"/>
            <w:tcBorders>
              <w:top w:val="single" w:sz="4" w:space="0" w:color="auto"/>
              <w:left w:val="single" w:sz="4" w:space="0" w:color="auto"/>
              <w:bottom w:val="single" w:sz="4" w:space="0" w:color="auto"/>
            </w:tcBorders>
            <w:shd w:val="clear" w:color="auto" w:fill="auto"/>
            <w:vAlign w:val="center"/>
          </w:tcPr>
          <w:p w14:paraId="3D45C8A4" w14:textId="230112CA" w:rsidR="002D0BFB" w:rsidRPr="00B27771" w:rsidRDefault="002D0BFB" w:rsidP="00E96618">
            <w:pPr>
              <w:keepNext/>
              <w:suppressAutoHyphens w:val="0"/>
              <w:spacing w:before="60" w:after="60" w:line="276" w:lineRule="auto"/>
              <w:rPr>
                <w:rFonts w:eastAsia="Calibri" w:cs="Arial"/>
                <w:b/>
                <w:i/>
                <w:sz w:val="18"/>
                <w:szCs w:val="18"/>
                <w:lang w:val="en-US" w:eastAsia="en-GB"/>
              </w:rPr>
            </w:pPr>
            <w:r w:rsidRPr="00B27771">
              <w:rPr>
                <w:rFonts w:eastAsia="Calibri" w:cs="Arial"/>
                <w:b/>
                <w:i/>
                <w:sz w:val="18"/>
                <w:szCs w:val="18"/>
                <w:lang w:val="en-US" w:eastAsia="en-GB"/>
              </w:rPr>
              <w:t xml:space="preserve">via slurry/manure </w:t>
            </w:r>
            <w:r w:rsidRPr="00B27771">
              <w:rPr>
                <w:rFonts w:eastAsia="Calibri" w:cs="Arial"/>
                <w:b/>
                <w:i/>
                <w:sz w:val="18"/>
                <w:szCs w:val="18"/>
                <w:lang w:eastAsia="en-GB"/>
              </w:rPr>
              <w:t>– concentrations after ten years</w:t>
            </w:r>
          </w:p>
        </w:tc>
      </w:tr>
      <w:tr w:rsidR="002D0BFB" w:rsidRPr="00B27771" w14:paraId="2BBDF99B" w14:textId="77777777" w:rsidTr="00FC4AE4">
        <w:trPr>
          <w:trHeight w:val="20"/>
        </w:trPr>
        <w:tc>
          <w:tcPr>
            <w:tcW w:w="2081" w:type="dxa"/>
            <w:shd w:val="clear" w:color="auto" w:fill="FFFFFF"/>
            <w:vAlign w:val="center"/>
          </w:tcPr>
          <w:p w14:paraId="5CB78E2A" w14:textId="77777777" w:rsidR="002D0BFB" w:rsidRPr="00B27771" w:rsidRDefault="002D0BFB" w:rsidP="002D0BFB">
            <w:pPr>
              <w:keepNext/>
              <w:suppressAutoHyphens w:val="0"/>
              <w:spacing w:before="60" w:after="60" w:line="276" w:lineRule="auto"/>
              <w:rPr>
                <w:rFonts w:eastAsia="Calibri" w:cs="Arial"/>
                <w:sz w:val="18"/>
                <w:szCs w:val="18"/>
                <w:lang w:eastAsia="en-GB"/>
              </w:rPr>
            </w:pPr>
            <w:r w:rsidRPr="00B27771">
              <w:rPr>
                <w:rFonts w:eastAsia="Calibri" w:cs="Arial"/>
                <w:sz w:val="18"/>
                <w:szCs w:val="18"/>
                <w:lang w:eastAsia="en-GB"/>
              </w:rPr>
              <w:t>grassland</w:t>
            </w:r>
          </w:p>
        </w:tc>
        <w:tc>
          <w:tcPr>
            <w:tcW w:w="1757" w:type="dxa"/>
            <w:shd w:val="clear" w:color="auto" w:fill="FFFFFF"/>
            <w:vAlign w:val="center"/>
          </w:tcPr>
          <w:p w14:paraId="08D5CCA2" w14:textId="77777777" w:rsidR="002D0BFB" w:rsidRPr="00B27771" w:rsidRDefault="002D0BFB" w:rsidP="002D0BFB">
            <w:pPr>
              <w:keepNext/>
              <w:suppressAutoHyphens w:val="0"/>
              <w:spacing w:before="100" w:beforeAutospacing="1" w:after="100" w:afterAutospacing="1"/>
              <w:jc w:val="center"/>
              <w:rPr>
                <w:rFonts w:eastAsia="Calibri" w:cs="Arial"/>
                <w:color w:val="000000"/>
                <w:sz w:val="18"/>
                <w:szCs w:val="18"/>
                <w:lang w:eastAsia="en-GB"/>
              </w:rPr>
            </w:pPr>
            <w:r w:rsidRPr="00B27771">
              <w:rPr>
                <w:rFonts w:eastAsia="Calibri" w:cs="Arial"/>
                <w:color w:val="000000"/>
                <w:sz w:val="18"/>
                <w:szCs w:val="18"/>
                <w:lang w:eastAsia="en-GB"/>
              </w:rPr>
              <w:t>-</w:t>
            </w:r>
          </w:p>
        </w:tc>
        <w:tc>
          <w:tcPr>
            <w:tcW w:w="1809" w:type="dxa"/>
            <w:shd w:val="clear" w:color="auto" w:fill="FFFFFF"/>
            <w:vAlign w:val="center"/>
          </w:tcPr>
          <w:p w14:paraId="0D18217F" w14:textId="351F2820" w:rsidR="002D0BFB" w:rsidRPr="00B27771" w:rsidRDefault="002D0BFB" w:rsidP="009C176F">
            <w:pPr>
              <w:keepNext/>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6.</w:t>
            </w:r>
            <w:r w:rsidR="009C176F">
              <w:rPr>
                <w:rFonts w:eastAsia="Calibri" w:cs="Arial"/>
                <w:color w:val="000000"/>
                <w:sz w:val="18"/>
                <w:szCs w:val="18"/>
                <w:lang w:eastAsia="en-GB"/>
              </w:rPr>
              <w:t>82E-0</w:t>
            </w:r>
            <w:r w:rsidR="005037B9">
              <w:rPr>
                <w:rFonts w:eastAsia="Calibri" w:cs="Arial"/>
                <w:color w:val="000000"/>
                <w:sz w:val="18"/>
                <w:szCs w:val="18"/>
                <w:lang w:eastAsia="en-GB"/>
              </w:rPr>
              <w:t>4</w:t>
            </w:r>
          </w:p>
        </w:tc>
        <w:tc>
          <w:tcPr>
            <w:tcW w:w="2198" w:type="dxa"/>
            <w:shd w:val="clear" w:color="auto" w:fill="FFFFFF"/>
            <w:vAlign w:val="center"/>
          </w:tcPr>
          <w:p w14:paraId="71C9B2EA" w14:textId="77777777" w:rsidR="002D0BFB" w:rsidRPr="00B27771" w:rsidRDefault="002D0BFB" w:rsidP="002D0BFB">
            <w:pPr>
              <w:keepNext/>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3.57E-02</w:t>
            </w:r>
          </w:p>
        </w:tc>
        <w:tc>
          <w:tcPr>
            <w:tcW w:w="2150" w:type="dxa"/>
            <w:vAlign w:val="center"/>
          </w:tcPr>
          <w:p w14:paraId="61E1BA89" w14:textId="1E39645C" w:rsidR="002D0BFB" w:rsidRPr="00417835" w:rsidRDefault="002D0BFB" w:rsidP="002D0BFB">
            <w:pPr>
              <w:keepNext/>
              <w:suppressAutoHyphens w:val="0"/>
              <w:spacing w:before="100" w:beforeAutospacing="1" w:after="100" w:afterAutospacing="1"/>
              <w:jc w:val="center"/>
              <w:rPr>
                <w:rFonts w:eastAsia="Calibri" w:cs="Arial"/>
                <w:b/>
                <w:color w:val="000000"/>
                <w:sz w:val="18"/>
                <w:szCs w:val="18"/>
                <w:lang w:eastAsia="en-GB"/>
              </w:rPr>
            </w:pPr>
            <w:r w:rsidRPr="00417835">
              <w:rPr>
                <w:rFonts w:eastAsia="Calibri" w:cs="Arial"/>
                <w:b/>
                <w:color w:val="000000"/>
                <w:sz w:val="18"/>
                <w:szCs w:val="18"/>
                <w:lang w:eastAsia="en-GB"/>
              </w:rPr>
              <w:t>6.8</w:t>
            </w:r>
            <w:r w:rsidR="00FC4AE4">
              <w:rPr>
                <w:rFonts w:eastAsia="Calibri" w:cs="Arial"/>
                <w:b/>
                <w:color w:val="000000"/>
                <w:sz w:val="18"/>
                <w:szCs w:val="18"/>
                <w:lang w:eastAsia="en-GB"/>
              </w:rPr>
              <w:t>1</w:t>
            </w:r>
          </w:p>
        </w:tc>
      </w:tr>
      <w:tr w:rsidR="002D0BFB" w:rsidRPr="00B27771" w14:paraId="1DD69ED7" w14:textId="77777777" w:rsidTr="00FC4AE4">
        <w:trPr>
          <w:trHeight w:val="20"/>
        </w:trPr>
        <w:tc>
          <w:tcPr>
            <w:tcW w:w="2081" w:type="dxa"/>
            <w:shd w:val="clear" w:color="auto" w:fill="FFFFFF"/>
            <w:vAlign w:val="center"/>
          </w:tcPr>
          <w:p w14:paraId="321D6F00" w14:textId="77777777" w:rsidR="002D0BFB" w:rsidRPr="00B27771" w:rsidRDefault="002D0BFB" w:rsidP="002D0BFB">
            <w:pPr>
              <w:suppressAutoHyphens w:val="0"/>
              <w:spacing w:before="60" w:after="60" w:line="276" w:lineRule="auto"/>
              <w:rPr>
                <w:rFonts w:eastAsia="Calibri" w:cs="Arial"/>
                <w:sz w:val="18"/>
                <w:szCs w:val="18"/>
                <w:lang w:eastAsia="en-GB"/>
              </w:rPr>
            </w:pPr>
            <w:r w:rsidRPr="00B27771">
              <w:rPr>
                <w:rFonts w:eastAsia="Calibri" w:cs="Arial"/>
                <w:sz w:val="18"/>
                <w:szCs w:val="18"/>
                <w:lang w:eastAsia="en-GB"/>
              </w:rPr>
              <w:t>arable land</w:t>
            </w:r>
          </w:p>
        </w:tc>
        <w:tc>
          <w:tcPr>
            <w:tcW w:w="1757" w:type="dxa"/>
            <w:shd w:val="clear" w:color="auto" w:fill="FFFFFF"/>
            <w:vAlign w:val="center"/>
          </w:tcPr>
          <w:p w14:paraId="2E38159D" w14:textId="77777777" w:rsidR="002D0BFB" w:rsidRPr="00B27771" w:rsidRDefault="002D0BFB" w:rsidP="002D0BFB">
            <w:pPr>
              <w:suppressAutoHyphens w:val="0"/>
              <w:spacing w:before="100" w:beforeAutospacing="1" w:after="100" w:afterAutospacing="1"/>
              <w:jc w:val="center"/>
              <w:rPr>
                <w:rFonts w:eastAsia="Calibri" w:cs="Arial"/>
                <w:color w:val="000000"/>
                <w:sz w:val="18"/>
                <w:szCs w:val="18"/>
                <w:lang w:eastAsia="en-GB"/>
              </w:rPr>
            </w:pPr>
            <w:r w:rsidRPr="00B27771">
              <w:rPr>
                <w:rFonts w:eastAsia="Calibri" w:cs="Arial"/>
                <w:color w:val="000000"/>
                <w:sz w:val="18"/>
                <w:szCs w:val="18"/>
                <w:lang w:eastAsia="en-GB"/>
              </w:rPr>
              <w:t>-</w:t>
            </w:r>
          </w:p>
        </w:tc>
        <w:tc>
          <w:tcPr>
            <w:tcW w:w="1809" w:type="dxa"/>
            <w:shd w:val="clear" w:color="auto" w:fill="FFFFFF"/>
            <w:vAlign w:val="center"/>
          </w:tcPr>
          <w:p w14:paraId="38A1EDDE" w14:textId="515DD93E" w:rsidR="002D0BFB" w:rsidRPr="00B27771" w:rsidRDefault="005037B9"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4.11</w:t>
            </w:r>
            <w:r w:rsidR="002D0BFB">
              <w:rPr>
                <w:rFonts w:eastAsia="Calibri" w:cs="Arial"/>
                <w:color w:val="000000"/>
                <w:sz w:val="18"/>
                <w:szCs w:val="18"/>
                <w:lang w:eastAsia="en-GB"/>
              </w:rPr>
              <w:t>E-04</w:t>
            </w:r>
          </w:p>
        </w:tc>
        <w:tc>
          <w:tcPr>
            <w:tcW w:w="2198" w:type="dxa"/>
            <w:shd w:val="clear" w:color="auto" w:fill="FFFFFF"/>
            <w:vAlign w:val="center"/>
          </w:tcPr>
          <w:p w14:paraId="372F4294" w14:textId="77777777" w:rsidR="002D0BFB" w:rsidRPr="00B27771" w:rsidRDefault="002D0BFB"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2.15E-02</w:t>
            </w:r>
          </w:p>
        </w:tc>
        <w:tc>
          <w:tcPr>
            <w:tcW w:w="2150" w:type="dxa"/>
            <w:vAlign w:val="center"/>
          </w:tcPr>
          <w:p w14:paraId="2B19F4F2" w14:textId="77777777" w:rsidR="002D0BFB" w:rsidRPr="00417835" w:rsidRDefault="002D0BFB" w:rsidP="002D0BFB">
            <w:pPr>
              <w:suppressAutoHyphens w:val="0"/>
              <w:spacing w:before="100" w:beforeAutospacing="1" w:after="100" w:afterAutospacing="1"/>
              <w:jc w:val="center"/>
              <w:rPr>
                <w:rFonts w:eastAsia="Calibri" w:cs="Arial"/>
                <w:b/>
                <w:color w:val="000000"/>
                <w:sz w:val="18"/>
                <w:szCs w:val="18"/>
                <w:lang w:eastAsia="en-GB"/>
              </w:rPr>
            </w:pPr>
            <w:r w:rsidRPr="00417835">
              <w:rPr>
                <w:rFonts w:eastAsia="Calibri" w:cs="Arial"/>
                <w:b/>
                <w:color w:val="000000"/>
                <w:sz w:val="18"/>
                <w:szCs w:val="18"/>
                <w:lang w:eastAsia="en-GB"/>
              </w:rPr>
              <w:t>4.11</w:t>
            </w:r>
          </w:p>
        </w:tc>
      </w:tr>
    </w:tbl>
    <w:p w14:paraId="4D98570D" w14:textId="3E9D7E74" w:rsidR="002D0BFB" w:rsidRDefault="002D0BFB" w:rsidP="002D0BFB">
      <w:pPr>
        <w:rPr>
          <w:lang w:val="en-US"/>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1757"/>
        <w:gridCol w:w="1809"/>
        <w:gridCol w:w="2198"/>
        <w:gridCol w:w="2150"/>
      </w:tblGrid>
      <w:tr w:rsidR="00D14200" w:rsidRPr="00B27771" w14:paraId="7E44798C" w14:textId="77777777" w:rsidTr="008E1CA1">
        <w:trPr>
          <w:trHeight w:val="20"/>
          <w:tblHeader/>
        </w:trPr>
        <w:tc>
          <w:tcPr>
            <w:tcW w:w="9995" w:type="dxa"/>
            <w:gridSpan w:val="5"/>
            <w:tcBorders>
              <w:top w:val="single" w:sz="4" w:space="0" w:color="auto"/>
              <w:left w:val="single" w:sz="4" w:space="0" w:color="auto"/>
              <w:bottom w:val="single" w:sz="4" w:space="0" w:color="auto"/>
            </w:tcBorders>
            <w:shd w:val="clear" w:color="auto" w:fill="FFFFCC"/>
            <w:vAlign w:val="center"/>
          </w:tcPr>
          <w:p w14:paraId="704E133A" w14:textId="4F33188F" w:rsidR="00D14200" w:rsidRPr="00B27771" w:rsidRDefault="00D14200" w:rsidP="002039E1">
            <w:pPr>
              <w:keepNext/>
              <w:suppressAutoHyphens w:val="0"/>
              <w:autoSpaceDE w:val="0"/>
              <w:autoSpaceDN w:val="0"/>
              <w:adjustRightInd w:val="0"/>
              <w:spacing w:before="60" w:after="60" w:line="260" w:lineRule="atLeast"/>
              <w:jc w:val="center"/>
              <w:rPr>
                <w:rFonts w:eastAsia="Calibri" w:cs="Arial"/>
                <w:color w:val="000000"/>
                <w:sz w:val="18"/>
                <w:szCs w:val="18"/>
                <w:lang w:eastAsia="en-GB"/>
              </w:rPr>
            </w:pPr>
            <w:r w:rsidRPr="00B27771">
              <w:rPr>
                <w:rFonts w:eastAsia="Calibri" w:cs="Arial"/>
                <w:b/>
                <w:bCs/>
                <w:sz w:val="18"/>
                <w:szCs w:val="18"/>
                <w:lang w:eastAsia="en-GB"/>
              </w:rPr>
              <w:t>Summary table on calcu</w:t>
            </w:r>
            <w:r>
              <w:rPr>
                <w:rFonts w:eastAsia="Calibri" w:cs="Arial"/>
                <w:b/>
                <w:bCs/>
                <w:sz w:val="18"/>
                <w:szCs w:val="18"/>
                <w:lang w:eastAsia="en-GB"/>
              </w:rPr>
              <w:t>lated PEC values for iodide</w:t>
            </w:r>
          </w:p>
        </w:tc>
      </w:tr>
      <w:tr w:rsidR="00D14200" w:rsidRPr="00B27771" w14:paraId="50682207" w14:textId="77777777" w:rsidTr="008E1CA1">
        <w:trPr>
          <w:trHeight w:val="20"/>
          <w:tblHeader/>
        </w:trPr>
        <w:tc>
          <w:tcPr>
            <w:tcW w:w="2081" w:type="dxa"/>
            <w:vMerge w:val="restart"/>
            <w:shd w:val="clear" w:color="auto" w:fill="FFFFFF"/>
            <w:vAlign w:val="center"/>
          </w:tcPr>
          <w:p w14:paraId="23F7FC34" w14:textId="77777777" w:rsidR="00D14200" w:rsidRPr="00B27771" w:rsidRDefault="00D14200" w:rsidP="002039E1">
            <w:pPr>
              <w:keepNext/>
              <w:suppressAutoHyphens w:val="0"/>
              <w:spacing w:before="60" w:after="60" w:line="276" w:lineRule="auto"/>
              <w:jc w:val="center"/>
              <w:rPr>
                <w:rFonts w:eastAsia="Calibri" w:cs="Arial"/>
                <w:sz w:val="18"/>
                <w:szCs w:val="18"/>
                <w:lang w:eastAsia="en-GB"/>
              </w:rPr>
            </w:pPr>
          </w:p>
        </w:tc>
        <w:tc>
          <w:tcPr>
            <w:tcW w:w="1757" w:type="dxa"/>
            <w:shd w:val="clear" w:color="auto" w:fill="FFFFFF"/>
            <w:vAlign w:val="center"/>
          </w:tcPr>
          <w:p w14:paraId="7B93129B" w14:textId="77777777" w:rsidR="00D14200" w:rsidRPr="00B27771" w:rsidRDefault="00D14200" w:rsidP="002039E1">
            <w:pPr>
              <w:keepNext/>
              <w:suppressAutoHyphens w:val="0"/>
              <w:autoSpaceDE w:val="0"/>
              <w:autoSpaceDN w:val="0"/>
              <w:adjustRightInd w:val="0"/>
              <w:spacing w:before="60" w:after="60" w:line="260" w:lineRule="atLeast"/>
              <w:jc w:val="center"/>
              <w:rPr>
                <w:rFonts w:eastAsia="Calibri" w:cs="Arial"/>
                <w:bCs/>
                <w:color w:val="000000"/>
                <w:sz w:val="18"/>
                <w:szCs w:val="18"/>
                <w:lang w:eastAsia="en-GB"/>
              </w:rPr>
            </w:pPr>
            <w:r w:rsidRPr="00B27771">
              <w:rPr>
                <w:rFonts w:eastAsia="Calibri" w:cs="Arial"/>
                <w:b/>
                <w:bCs/>
                <w:color w:val="000000"/>
                <w:sz w:val="18"/>
                <w:szCs w:val="18"/>
                <w:lang w:eastAsia="en-GB"/>
              </w:rPr>
              <w:t>PEC</w:t>
            </w:r>
            <w:r w:rsidRPr="00B27771">
              <w:rPr>
                <w:rFonts w:eastAsia="Calibri" w:cs="Arial"/>
                <w:b/>
                <w:bCs/>
                <w:color w:val="000000"/>
                <w:sz w:val="18"/>
                <w:szCs w:val="18"/>
                <w:vertAlign w:val="subscript"/>
                <w:lang w:eastAsia="en-GB"/>
              </w:rPr>
              <w:t>STP</w:t>
            </w:r>
          </w:p>
        </w:tc>
        <w:tc>
          <w:tcPr>
            <w:tcW w:w="1809" w:type="dxa"/>
            <w:shd w:val="clear" w:color="auto" w:fill="FFFFFF"/>
            <w:vAlign w:val="center"/>
          </w:tcPr>
          <w:p w14:paraId="543DBB98" w14:textId="77777777" w:rsidR="00D14200" w:rsidRPr="00B27771" w:rsidRDefault="00D14200" w:rsidP="002039E1">
            <w:pPr>
              <w:keepNext/>
              <w:suppressAutoHyphens w:val="0"/>
              <w:spacing w:before="60" w:after="60" w:line="276" w:lineRule="auto"/>
              <w:jc w:val="center"/>
              <w:rPr>
                <w:rFonts w:eastAsia="Calibri" w:cs="Arial"/>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water</w:t>
            </w:r>
          </w:p>
        </w:tc>
        <w:tc>
          <w:tcPr>
            <w:tcW w:w="2198" w:type="dxa"/>
            <w:shd w:val="clear" w:color="auto" w:fill="FFFFFF"/>
            <w:vAlign w:val="center"/>
          </w:tcPr>
          <w:p w14:paraId="5F5296A6" w14:textId="77777777" w:rsidR="00D14200" w:rsidRPr="00B27771" w:rsidRDefault="00D14200" w:rsidP="002039E1">
            <w:pPr>
              <w:keepNext/>
              <w:suppressAutoHyphens w:val="0"/>
              <w:spacing w:before="60" w:after="60" w:line="276" w:lineRule="auto"/>
              <w:jc w:val="center"/>
              <w:rPr>
                <w:rFonts w:eastAsia="Calibri" w:cs="Arial"/>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soil</w:t>
            </w:r>
          </w:p>
        </w:tc>
        <w:tc>
          <w:tcPr>
            <w:tcW w:w="2150" w:type="dxa"/>
            <w:vAlign w:val="center"/>
          </w:tcPr>
          <w:p w14:paraId="7E6A55BD" w14:textId="77777777" w:rsidR="00D14200" w:rsidRPr="00B27771" w:rsidRDefault="00D14200" w:rsidP="002039E1">
            <w:pPr>
              <w:keepNext/>
              <w:suppressAutoHyphens w:val="0"/>
              <w:autoSpaceDE w:val="0"/>
              <w:autoSpaceDN w:val="0"/>
              <w:adjustRightInd w:val="0"/>
              <w:spacing w:before="60" w:after="60" w:line="260" w:lineRule="atLeast"/>
              <w:jc w:val="center"/>
              <w:rPr>
                <w:rFonts w:eastAsia="Calibri" w:cs="Arial"/>
                <w:color w:val="000000"/>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GW</w:t>
            </w:r>
          </w:p>
        </w:tc>
      </w:tr>
      <w:tr w:rsidR="00D14200" w:rsidRPr="00B27771" w14:paraId="191046FA" w14:textId="77777777" w:rsidTr="008E1CA1">
        <w:trPr>
          <w:trHeight w:val="20"/>
          <w:tblHeader/>
        </w:trPr>
        <w:tc>
          <w:tcPr>
            <w:tcW w:w="2081" w:type="dxa"/>
            <w:vMerge/>
            <w:shd w:val="clear" w:color="auto" w:fill="FFFFFF"/>
            <w:vAlign w:val="center"/>
          </w:tcPr>
          <w:p w14:paraId="45EE55D0" w14:textId="77777777" w:rsidR="00D14200" w:rsidRPr="00B27771" w:rsidRDefault="00D14200" w:rsidP="002039E1">
            <w:pPr>
              <w:keepNext/>
              <w:suppressAutoHyphens w:val="0"/>
              <w:spacing w:before="60" w:after="60" w:line="276" w:lineRule="auto"/>
              <w:jc w:val="center"/>
              <w:rPr>
                <w:rFonts w:eastAsia="Calibri" w:cs="Arial"/>
                <w:b/>
                <w:bCs/>
                <w:sz w:val="18"/>
                <w:szCs w:val="18"/>
                <w:lang w:eastAsia="en-GB"/>
              </w:rPr>
            </w:pPr>
          </w:p>
        </w:tc>
        <w:tc>
          <w:tcPr>
            <w:tcW w:w="1757" w:type="dxa"/>
            <w:shd w:val="clear" w:color="auto" w:fill="FFFFFF"/>
            <w:vAlign w:val="center"/>
          </w:tcPr>
          <w:p w14:paraId="635EDC49" w14:textId="77777777" w:rsidR="00D14200" w:rsidRPr="00B27771" w:rsidRDefault="00D14200" w:rsidP="002039E1">
            <w:pPr>
              <w:keepNext/>
              <w:suppressAutoHyphens w:val="0"/>
              <w:autoSpaceDE w:val="0"/>
              <w:autoSpaceDN w:val="0"/>
              <w:adjustRightInd w:val="0"/>
              <w:spacing w:before="60" w:after="60"/>
              <w:jc w:val="center"/>
              <w:rPr>
                <w:rFonts w:eastAsia="Calibri" w:cs="Arial"/>
                <w:color w:val="000000"/>
                <w:sz w:val="18"/>
                <w:szCs w:val="18"/>
                <w:lang w:eastAsia="en-GB"/>
              </w:rPr>
            </w:pPr>
            <w:r>
              <w:rPr>
                <w:rFonts w:eastAsia="Calibri" w:cs="Arial"/>
                <w:bCs/>
                <w:color w:val="000000"/>
                <w:sz w:val="18"/>
                <w:szCs w:val="18"/>
                <w:lang w:eastAsia="en-GB"/>
              </w:rPr>
              <w:t>[m</w:t>
            </w:r>
            <w:r w:rsidRPr="00B27771">
              <w:rPr>
                <w:rFonts w:eastAsia="Calibri" w:cs="Arial"/>
                <w:bCs/>
                <w:color w:val="000000"/>
                <w:sz w:val="18"/>
                <w:szCs w:val="18"/>
                <w:lang w:eastAsia="en-GB"/>
              </w:rPr>
              <w:t>g/l]</w:t>
            </w:r>
          </w:p>
        </w:tc>
        <w:tc>
          <w:tcPr>
            <w:tcW w:w="1809" w:type="dxa"/>
            <w:shd w:val="clear" w:color="auto" w:fill="FFFFFF"/>
            <w:vAlign w:val="center"/>
          </w:tcPr>
          <w:p w14:paraId="4935C08C" w14:textId="77777777" w:rsidR="00D14200" w:rsidRPr="00B27771" w:rsidRDefault="00D14200" w:rsidP="002039E1">
            <w:pPr>
              <w:keepNext/>
              <w:suppressAutoHyphens w:val="0"/>
              <w:autoSpaceDE w:val="0"/>
              <w:autoSpaceDN w:val="0"/>
              <w:adjustRightInd w:val="0"/>
              <w:spacing w:before="60" w:after="60"/>
              <w:jc w:val="center"/>
              <w:rPr>
                <w:rFonts w:eastAsia="Calibri" w:cs="Arial"/>
                <w:bCs/>
                <w:color w:val="000000"/>
                <w:sz w:val="18"/>
                <w:szCs w:val="18"/>
                <w:lang w:eastAsia="en-GB"/>
              </w:rPr>
            </w:pPr>
            <w:r>
              <w:rPr>
                <w:rFonts w:eastAsia="Calibri" w:cs="Arial"/>
                <w:bCs/>
                <w:color w:val="000000"/>
                <w:sz w:val="18"/>
                <w:szCs w:val="18"/>
                <w:lang w:eastAsia="en-GB"/>
              </w:rPr>
              <w:t>[m</w:t>
            </w:r>
            <w:r w:rsidRPr="00B27771">
              <w:rPr>
                <w:rFonts w:eastAsia="Calibri" w:cs="Arial"/>
                <w:bCs/>
                <w:color w:val="000000"/>
                <w:sz w:val="18"/>
                <w:szCs w:val="18"/>
                <w:lang w:eastAsia="en-GB"/>
              </w:rPr>
              <w:t>g/l]</w:t>
            </w:r>
          </w:p>
        </w:tc>
        <w:tc>
          <w:tcPr>
            <w:tcW w:w="2198" w:type="dxa"/>
            <w:shd w:val="clear" w:color="auto" w:fill="FFFFFF"/>
            <w:vAlign w:val="center"/>
          </w:tcPr>
          <w:p w14:paraId="2E28A782" w14:textId="77777777" w:rsidR="00D14200" w:rsidRPr="00B27771" w:rsidRDefault="00D14200" w:rsidP="002039E1">
            <w:pPr>
              <w:keepNext/>
              <w:suppressAutoHyphens w:val="0"/>
              <w:autoSpaceDE w:val="0"/>
              <w:autoSpaceDN w:val="0"/>
              <w:adjustRightInd w:val="0"/>
              <w:spacing w:before="60" w:after="60"/>
              <w:jc w:val="center"/>
              <w:rPr>
                <w:rFonts w:eastAsia="Calibri" w:cs="Arial"/>
                <w:bCs/>
                <w:color w:val="000000"/>
                <w:sz w:val="18"/>
                <w:szCs w:val="18"/>
                <w:lang w:eastAsia="en-GB"/>
              </w:rPr>
            </w:pPr>
            <w:r w:rsidRPr="00B27771">
              <w:rPr>
                <w:rFonts w:eastAsia="Calibri" w:cs="Arial"/>
                <w:bCs/>
                <w:color w:val="000000"/>
                <w:sz w:val="18"/>
                <w:szCs w:val="18"/>
                <w:lang w:eastAsia="en-GB"/>
              </w:rPr>
              <w:t>[mg/kg</w:t>
            </w:r>
            <w:r w:rsidRPr="00B27771">
              <w:rPr>
                <w:rFonts w:eastAsia="Calibri" w:cs="Arial"/>
                <w:bCs/>
                <w:color w:val="000000"/>
                <w:sz w:val="18"/>
                <w:szCs w:val="18"/>
                <w:vertAlign w:val="subscript"/>
                <w:lang w:eastAsia="en-GB"/>
              </w:rPr>
              <w:t>wwt</w:t>
            </w:r>
            <w:r w:rsidRPr="00B27771">
              <w:rPr>
                <w:rFonts w:eastAsia="Calibri" w:cs="Arial"/>
                <w:bCs/>
                <w:color w:val="000000"/>
                <w:sz w:val="18"/>
                <w:szCs w:val="18"/>
                <w:lang w:eastAsia="en-GB"/>
              </w:rPr>
              <w:t>]</w:t>
            </w:r>
          </w:p>
        </w:tc>
        <w:tc>
          <w:tcPr>
            <w:tcW w:w="2150" w:type="dxa"/>
            <w:vAlign w:val="center"/>
          </w:tcPr>
          <w:p w14:paraId="68AEE83C" w14:textId="77777777" w:rsidR="00D14200" w:rsidRPr="00B27771" w:rsidRDefault="00D14200" w:rsidP="002039E1">
            <w:pPr>
              <w:keepNext/>
              <w:suppressAutoHyphens w:val="0"/>
              <w:autoSpaceDE w:val="0"/>
              <w:autoSpaceDN w:val="0"/>
              <w:adjustRightInd w:val="0"/>
              <w:spacing w:before="60" w:after="60"/>
              <w:jc w:val="center"/>
              <w:rPr>
                <w:rFonts w:eastAsia="Calibri" w:cs="Arial"/>
                <w:bCs/>
                <w:color w:val="000000"/>
                <w:sz w:val="18"/>
                <w:szCs w:val="18"/>
                <w:lang w:eastAsia="en-GB"/>
              </w:rPr>
            </w:pPr>
            <w:r w:rsidRPr="00B27771">
              <w:rPr>
                <w:rFonts w:eastAsia="Calibri" w:cs="Arial"/>
                <w:bCs/>
                <w:color w:val="000000"/>
                <w:sz w:val="18"/>
                <w:szCs w:val="18"/>
                <w:lang w:eastAsia="en-GB"/>
              </w:rPr>
              <w:t>[μg/l]</w:t>
            </w:r>
          </w:p>
        </w:tc>
      </w:tr>
      <w:tr w:rsidR="008E1CA1" w:rsidRPr="00B27771" w14:paraId="7557A040" w14:textId="77777777" w:rsidTr="008E1CA1">
        <w:trPr>
          <w:trHeight w:val="20"/>
        </w:trPr>
        <w:tc>
          <w:tcPr>
            <w:tcW w:w="2081" w:type="dxa"/>
            <w:shd w:val="clear" w:color="auto" w:fill="FFFFFF"/>
            <w:vAlign w:val="center"/>
          </w:tcPr>
          <w:p w14:paraId="207F9DFE" w14:textId="77777777" w:rsidR="008E1CA1" w:rsidRPr="00B27771" w:rsidRDefault="008E1CA1" w:rsidP="008E1CA1">
            <w:pPr>
              <w:suppressAutoHyphens w:val="0"/>
              <w:spacing w:before="60" w:after="60" w:line="276" w:lineRule="auto"/>
              <w:rPr>
                <w:rFonts w:eastAsia="Calibri" w:cs="Arial"/>
                <w:sz w:val="18"/>
                <w:szCs w:val="18"/>
                <w:lang w:eastAsia="en-GB"/>
              </w:rPr>
            </w:pPr>
            <w:r w:rsidRPr="00B27771">
              <w:rPr>
                <w:rFonts w:eastAsia="Calibri" w:cs="Arial"/>
                <w:b/>
                <w:i/>
                <w:sz w:val="18"/>
                <w:szCs w:val="18"/>
                <w:lang w:eastAsia="en-GB"/>
              </w:rPr>
              <w:t>via STP</w:t>
            </w:r>
          </w:p>
        </w:tc>
        <w:tc>
          <w:tcPr>
            <w:tcW w:w="1757" w:type="dxa"/>
            <w:shd w:val="clear" w:color="auto" w:fill="FFFFFF"/>
            <w:vAlign w:val="center"/>
          </w:tcPr>
          <w:p w14:paraId="5ADCE373" w14:textId="279E5489" w:rsidR="008E1CA1" w:rsidRPr="00B27771" w:rsidRDefault="008E1CA1" w:rsidP="008E1CA1">
            <w:pPr>
              <w:suppressAutoHyphens w:val="0"/>
              <w:autoSpaceDE w:val="0"/>
              <w:autoSpaceDN w:val="0"/>
              <w:adjustRightInd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8.76E-04</w:t>
            </w:r>
          </w:p>
        </w:tc>
        <w:tc>
          <w:tcPr>
            <w:tcW w:w="1809" w:type="dxa"/>
            <w:shd w:val="clear" w:color="auto" w:fill="FFFFFF"/>
            <w:vAlign w:val="center"/>
          </w:tcPr>
          <w:p w14:paraId="670EAC3C" w14:textId="348A2519" w:rsidR="008E1CA1" w:rsidRPr="00B27771" w:rsidRDefault="008E1CA1" w:rsidP="008E1CA1">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8.73E-05</w:t>
            </w:r>
          </w:p>
        </w:tc>
        <w:tc>
          <w:tcPr>
            <w:tcW w:w="2198" w:type="dxa"/>
            <w:shd w:val="clear" w:color="auto" w:fill="FFFFFF"/>
            <w:vAlign w:val="center"/>
          </w:tcPr>
          <w:p w14:paraId="38F2647F" w14:textId="1FD3ED6F" w:rsidR="008E1CA1" w:rsidRPr="00B27771" w:rsidRDefault="008E1CA1" w:rsidP="008E1CA1">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7.59E-04</w:t>
            </w:r>
          </w:p>
        </w:tc>
        <w:tc>
          <w:tcPr>
            <w:tcW w:w="2150" w:type="dxa"/>
            <w:vAlign w:val="center"/>
          </w:tcPr>
          <w:p w14:paraId="460628CA" w14:textId="4DA36E5C" w:rsidR="008E1CA1" w:rsidRPr="00CE6589" w:rsidRDefault="008E1CA1" w:rsidP="008E1CA1">
            <w:pPr>
              <w:suppressAutoHyphens w:val="0"/>
              <w:autoSpaceDE w:val="0"/>
              <w:autoSpaceDN w:val="0"/>
              <w:adjustRightInd w:val="0"/>
              <w:spacing w:before="100" w:beforeAutospacing="1" w:after="100" w:afterAutospacing="1"/>
              <w:jc w:val="center"/>
              <w:rPr>
                <w:rFonts w:eastAsia="Calibri" w:cs="Arial"/>
                <w:b/>
                <w:color w:val="000000"/>
                <w:sz w:val="18"/>
                <w:szCs w:val="18"/>
                <w:lang w:eastAsia="en-GB"/>
              </w:rPr>
            </w:pPr>
            <w:r>
              <w:rPr>
                <w:rFonts w:eastAsia="Calibri" w:cs="Arial"/>
                <w:b/>
                <w:color w:val="000000"/>
                <w:sz w:val="18"/>
                <w:szCs w:val="18"/>
                <w:lang w:eastAsia="en-GB"/>
              </w:rPr>
              <w:t>0.142</w:t>
            </w:r>
          </w:p>
        </w:tc>
      </w:tr>
      <w:tr w:rsidR="00D14200" w:rsidRPr="00B27771" w14:paraId="7F0E75DE" w14:textId="77777777" w:rsidTr="008E1CA1">
        <w:trPr>
          <w:trHeight w:val="20"/>
        </w:trPr>
        <w:tc>
          <w:tcPr>
            <w:tcW w:w="9995" w:type="dxa"/>
            <w:gridSpan w:val="5"/>
            <w:tcBorders>
              <w:top w:val="single" w:sz="4" w:space="0" w:color="auto"/>
              <w:left w:val="single" w:sz="4" w:space="0" w:color="auto"/>
              <w:bottom w:val="single" w:sz="4" w:space="0" w:color="auto"/>
            </w:tcBorders>
            <w:shd w:val="clear" w:color="auto" w:fill="auto"/>
            <w:vAlign w:val="center"/>
          </w:tcPr>
          <w:p w14:paraId="3DABB368" w14:textId="228C6D03" w:rsidR="00D14200" w:rsidRPr="00B27771" w:rsidRDefault="00D14200" w:rsidP="00E96618">
            <w:pPr>
              <w:keepNext/>
              <w:suppressAutoHyphens w:val="0"/>
              <w:spacing w:before="60" w:after="60" w:line="276" w:lineRule="auto"/>
              <w:rPr>
                <w:rFonts w:eastAsia="Calibri" w:cs="Arial"/>
                <w:b/>
                <w:i/>
                <w:sz w:val="18"/>
                <w:szCs w:val="18"/>
                <w:lang w:val="en-US" w:eastAsia="en-GB"/>
              </w:rPr>
            </w:pPr>
            <w:r w:rsidRPr="00B27771">
              <w:rPr>
                <w:rFonts w:eastAsia="Calibri" w:cs="Arial"/>
                <w:b/>
                <w:i/>
                <w:sz w:val="18"/>
                <w:szCs w:val="18"/>
                <w:lang w:val="en-US" w:eastAsia="en-GB"/>
              </w:rPr>
              <w:t xml:space="preserve">via slurry/manure </w:t>
            </w:r>
            <w:r w:rsidRPr="00B27771">
              <w:rPr>
                <w:rFonts w:eastAsia="Calibri" w:cs="Arial"/>
                <w:b/>
                <w:i/>
                <w:sz w:val="18"/>
                <w:szCs w:val="18"/>
                <w:lang w:eastAsia="en-GB"/>
              </w:rPr>
              <w:t>– concentrations after ten years</w:t>
            </w:r>
          </w:p>
        </w:tc>
      </w:tr>
      <w:tr w:rsidR="00D14200" w:rsidRPr="00B27771" w14:paraId="5A694C3A" w14:textId="77777777" w:rsidTr="008E1CA1">
        <w:trPr>
          <w:trHeight w:val="20"/>
        </w:trPr>
        <w:tc>
          <w:tcPr>
            <w:tcW w:w="2081" w:type="dxa"/>
            <w:shd w:val="clear" w:color="auto" w:fill="FFFFFF"/>
            <w:vAlign w:val="center"/>
          </w:tcPr>
          <w:p w14:paraId="68CCC4BA" w14:textId="77777777" w:rsidR="00D14200" w:rsidRPr="00B27771" w:rsidRDefault="00D14200" w:rsidP="002039E1">
            <w:pPr>
              <w:keepNext/>
              <w:suppressAutoHyphens w:val="0"/>
              <w:spacing w:before="60" w:after="60" w:line="276" w:lineRule="auto"/>
              <w:rPr>
                <w:rFonts w:eastAsia="Calibri" w:cs="Arial"/>
                <w:sz w:val="18"/>
                <w:szCs w:val="18"/>
                <w:lang w:eastAsia="en-GB"/>
              </w:rPr>
            </w:pPr>
            <w:r w:rsidRPr="00B27771">
              <w:rPr>
                <w:rFonts w:eastAsia="Calibri" w:cs="Arial"/>
                <w:sz w:val="18"/>
                <w:szCs w:val="18"/>
                <w:lang w:eastAsia="en-GB"/>
              </w:rPr>
              <w:t>grassland</w:t>
            </w:r>
          </w:p>
        </w:tc>
        <w:tc>
          <w:tcPr>
            <w:tcW w:w="1757" w:type="dxa"/>
            <w:shd w:val="clear" w:color="auto" w:fill="FFFFFF"/>
            <w:vAlign w:val="center"/>
          </w:tcPr>
          <w:p w14:paraId="12A3EFCF" w14:textId="77777777" w:rsidR="00D14200" w:rsidRPr="00B27771" w:rsidRDefault="00D14200" w:rsidP="002039E1">
            <w:pPr>
              <w:keepNext/>
              <w:suppressAutoHyphens w:val="0"/>
              <w:spacing w:before="100" w:beforeAutospacing="1" w:after="100" w:afterAutospacing="1"/>
              <w:jc w:val="center"/>
              <w:rPr>
                <w:rFonts w:eastAsia="Calibri" w:cs="Arial"/>
                <w:color w:val="000000"/>
                <w:sz w:val="18"/>
                <w:szCs w:val="18"/>
                <w:lang w:eastAsia="en-GB"/>
              </w:rPr>
            </w:pPr>
            <w:r w:rsidRPr="00B27771">
              <w:rPr>
                <w:rFonts w:eastAsia="Calibri" w:cs="Arial"/>
                <w:color w:val="000000"/>
                <w:sz w:val="18"/>
                <w:szCs w:val="18"/>
                <w:lang w:eastAsia="en-GB"/>
              </w:rPr>
              <w:t>-</w:t>
            </w:r>
          </w:p>
        </w:tc>
        <w:tc>
          <w:tcPr>
            <w:tcW w:w="1809" w:type="dxa"/>
            <w:shd w:val="clear" w:color="auto" w:fill="FFFFFF"/>
            <w:vAlign w:val="center"/>
          </w:tcPr>
          <w:p w14:paraId="3633A2AE" w14:textId="77777777" w:rsidR="00D14200" w:rsidRPr="00B27771" w:rsidRDefault="00D14200" w:rsidP="002039E1">
            <w:pPr>
              <w:keepNext/>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6.82E-04</w:t>
            </w:r>
          </w:p>
        </w:tc>
        <w:tc>
          <w:tcPr>
            <w:tcW w:w="2198" w:type="dxa"/>
            <w:shd w:val="clear" w:color="auto" w:fill="FFFFFF"/>
            <w:vAlign w:val="center"/>
          </w:tcPr>
          <w:p w14:paraId="75F4B5D0" w14:textId="77777777" w:rsidR="00D14200" w:rsidRPr="00B27771" w:rsidRDefault="00D14200" w:rsidP="002039E1">
            <w:pPr>
              <w:keepNext/>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3.57E-02</w:t>
            </w:r>
          </w:p>
        </w:tc>
        <w:tc>
          <w:tcPr>
            <w:tcW w:w="2150" w:type="dxa"/>
            <w:vAlign w:val="center"/>
          </w:tcPr>
          <w:p w14:paraId="47EFED24" w14:textId="77777777" w:rsidR="00D14200" w:rsidRPr="00417835" w:rsidRDefault="00D14200" w:rsidP="002039E1">
            <w:pPr>
              <w:keepNext/>
              <w:suppressAutoHyphens w:val="0"/>
              <w:spacing w:before="100" w:beforeAutospacing="1" w:after="100" w:afterAutospacing="1"/>
              <w:jc w:val="center"/>
              <w:rPr>
                <w:rFonts w:eastAsia="Calibri" w:cs="Arial"/>
                <w:b/>
                <w:color w:val="000000"/>
                <w:sz w:val="18"/>
                <w:szCs w:val="18"/>
                <w:lang w:eastAsia="en-GB"/>
              </w:rPr>
            </w:pPr>
            <w:r w:rsidRPr="00417835">
              <w:rPr>
                <w:rFonts w:eastAsia="Calibri" w:cs="Arial"/>
                <w:b/>
                <w:color w:val="000000"/>
                <w:sz w:val="18"/>
                <w:szCs w:val="18"/>
                <w:lang w:eastAsia="en-GB"/>
              </w:rPr>
              <w:t>6.8</w:t>
            </w:r>
            <w:r>
              <w:rPr>
                <w:rFonts w:eastAsia="Calibri" w:cs="Arial"/>
                <w:b/>
                <w:color w:val="000000"/>
                <w:sz w:val="18"/>
                <w:szCs w:val="18"/>
                <w:lang w:eastAsia="en-GB"/>
              </w:rPr>
              <w:t>1</w:t>
            </w:r>
          </w:p>
        </w:tc>
      </w:tr>
      <w:tr w:rsidR="00D14200" w:rsidRPr="00B27771" w14:paraId="07FD761A" w14:textId="77777777" w:rsidTr="008E1CA1">
        <w:trPr>
          <w:trHeight w:val="20"/>
        </w:trPr>
        <w:tc>
          <w:tcPr>
            <w:tcW w:w="2081" w:type="dxa"/>
            <w:shd w:val="clear" w:color="auto" w:fill="FFFFFF"/>
            <w:vAlign w:val="center"/>
          </w:tcPr>
          <w:p w14:paraId="149E3839" w14:textId="77777777" w:rsidR="00D14200" w:rsidRPr="00B27771" w:rsidRDefault="00D14200" w:rsidP="002039E1">
            <w:pPr>
              <w:suppressAutoHyphens w:val="0"/>
              <w:spacing w:before="60" w:after="60" w:line="276" w:lineRule="auto"/>
              <w:rPr>
                <w:rFonts w:eastAsia="Calibri" w:cs="Arial"/>
                <w:sz w:val="18"/>
                <w:szCs w:val="18"/>
                <w:lang w:eastAsia="en-GB"/>
              </w:rPr>
            </w:pPr>
            <w:r w:rsidRPr="00B27771">
              <w:rPr>
                <w:rFonts w:eastAsia="Calibri" w:cs="Arial"/>
                <w:sz w:val="18"/>
                <w:szCs w:val="18"/>
                <w:lang w:eastAsia="en-GB"/>
              </w:rPr>
              <w:t>arable land</w:t>
            </w:r>
          </w:p>
        </w:tc>
        <w:tc>
          <w:tcPr>
            <w:tcW w:w="1757" w:type="dxa"/>
            <w:shd w:val="clear" w:color="auto" w:fill="FFFFFF"/>
            <w:vAlign w:val="center"/>
          </w:tcPr>
          <w:p w14:paraId="14DF8C72" w14:textId="77777777" w:rsidR="00D14200" w:rsidRPr="00B27771" w:rsidRDefault="00D14200" w:rsidP="002039E1">
            <w:pPr>
              <w:suppressAutoHyphens w:val="0"/>
              <w:spacing w:before="100" w:beforeAutospacing="1" w:after="100" w:afterAutospacing="1"/>
              <w:jc w:val="center"/>
              <w:rPr>
                <w:rFonts w:eastAsia="Calibri" w:cs="Arial"/>
                <w:color w:val="000000"/>
                <w:sz w:val="18"/>
                <w:szCs w:val="18"/>
                <w:lang w:eastAsia="en-GB"/>
              </w:rPr>
            </w:pPr>
            <w:r w:rsidRPr="00B27771">
              <w:rPr>
                <w:rFonts w:eastAsia="Calibri" w:cs="Arial"/>
                <w:color w:val="000000"/>
                <w:sz w:val="18"/>
                <w:szCs w:val="18"/>
                <w:lang w:eastAsia="en-GB"/>
              </w:rPr>
              <w:t>-</w:t>
            </w:r>
          </w:p>
        </w:tc>
        <w:tc>
          <w:tcPr>
            <w:tcW w:w="1809" w:type="dxa"/>
            <w:shd w:val="clear" w:color="auto" w:fill="FFFFFF"/>
            <w:vAlign w:val="center"/>
          </w:tcPr>
          <w:p w14:paraId="5F1BAB8F" w14:textId="77777777" w:rsidR="00D14200" w:rsidRPr="00B27771" w:rsidRDefault="00D14200" w:rsidP="002039E1">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4.11E-04</w:t>
            </w:r>
          </w:p>
        </w:tc>
        <w:tc>
          <w:tcPr>
            <w:tcW w:w="2198" w:type="dxa"/>
            <w:shd w:val="clear" w:color="auto" w:fill="FFFFFF"/>
            <w:vAlign w:val="center"/>
          </w:tcPr>
          <w:p w14:paraId="439164FD" w14:textId="77777777" w:rsidR="00D14200" w:rsidRPr="00B27771" w:rsidRDefault="00D14200" w:rsidP="002039E1">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2.15E-02</w:t>
            </w:r>
          </w:p>
        </w:tc>
        <w:tc>
          <w:tcPr>
            <w:tcW w:w="2150" w:type="dxa"/>
            <w:vAlign w:val="center"/>
          </w:tcPr>
          <w:p w14:paraId="3BDC2829" w14:textId="77777777" w:rsidR="00D14200" w:rsidRPr="00417835" w:rsidRDefault="00D14200" w:rsidP="002039E1">
            <w:pPr>
              <w:suppressAutoHyphens w:val="0"/>
              <w:spacing w:before="100" w:beforeAutospacing="1" w:after="100" w:afterAutospacing="1"/>
              <w:jc w:val="center"/>
              <w:rPr>
                <w:rFonts w:eastAsia="Calibri" w:cs="Arial"/>
                <w:b/>
                <w:color w:val="000000"/>
                <w:sz w:val="18"/>
                <w:szCs w:val="18"/>
                <w:lang w:eastAsia="en-GB"/>
              </w:rPr>
            </w:pPr>
            <w:r w:rsidRPr="00417835">
              <w:rPr>
                <w:rFonts w:eastAsia="Calibri" w:cs="Arial"/>
                <w:b/>
                <w:color w:val="000000"/>
                <w:sz w:val="18"/>
                <w:szCs w:val="18"/>
                <w:lang w:eastAsia="en-GB"/>
              </w:rPr>
              <w:t>4.11</w:t>
            </w:r>
          </w:p>
        </w:tc>
      </w:tr>
    </w:tbl>
    <w:p w14:paraId="3B0906DA" w14:textId="77777777" w:rsidR="00D14200" w:rsidRDefault="00D14200" w:rsidP="002D0BFB">
      <w:pPr>
        <w:rPr>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722"/>
        <w:gridCol w:w="1822"/>
        <w:gridCol w:w="2104"/>
        <w:gridCol w:w="2290"/>
      </w:tblGrid>
      <w:tr w:rsidR="002D0BFB" w:rsidRPr="00B27771" w14:paraId="6FE6CDE1" w14:textId="77777777" w:rsidTr="009C176F">
        <w:trPr>
          <w:trHeight w:val="20"/>
          <w:tblHeader/>
        </w:trPr>
        <w:tc>
          <w:tcPr>
            <w:tcW w:w="10065" w:type="dxa"/>
            <w:gridSpan w:val="5"/>
            <w:tcBorders>
              <w:top w:val="single" w:sz="4" w:space="0" w:color="auto"/>
              <w:left w:val="single" w:sz="4" w:space="0" w:color="auto"/>
              <w:bottom w:val="single" w:sz="4" w:space="0" w:color="auto"/>
            </w:tcBorders>
            <w:shd w:val="clear" w:color="auto" w:fill="FFFFCC"/>
            <w:vAlign w:val="center"/>
          </w:tcPr>
          <w:p w14:paraId="6850695C" w14:textId="77777777" w:rsidR="002D0BFB" w:rsidRPr="00B27771" w:rsidRDefault="002D0BFB" w:rsidP="002D0BFB">
            <w:pPr>
              <w:keepNext/>
              <w:suppressAutoHyphens w:val="0"/>
              <w:autoSpaceDE w:val="0"/>
              <w:autoSpaceDN w:val="0"/>
              <w:adjustRightInd w:val="0"/>
              <w:spacing w:before="60" w:after="60" w:line="260" w:lineRule="atLeast"/>
              <w:jc w:val="center"/>
              <w:rPr>
                <w:rFonts w:eastAsia="Calibri" w:cs="Arial"/>
                <w:color w:val="000000"/>
                <w:sz w:val="18"/>
                <w:szCs w:val="18"/>
                <w:lang w:eastAsia="en-GB"/>
              </w:rPr>
            </w:pPr>
            <w:r w:rsidRPr="00B27771">
              <w:rPr>
                <w:rFonts w:eastAsia="Calibri" w:cs="Arial"/>
                <w:b/>
                <w:bCs/>
                <w:sz w:val="18"/>
                <w:szCs w:val="18"/>
                <w:lang w:eastAsia="en-GB"/>
              </w:rPr>
              <w:t xml:space="preserve">Summary table on calculated PEC values for </w:t>
            </w:r>
            <w:r>
              <w:rPr>
                <w:rFonts w:eastAsia="Calibri" w:cs="Arial"/>
                <w:b/>
                <w:bCs/>
                <w:sz w:val="18"/>
                <w:szCs w:val="18"/>
                <w:lang w:eastAsia="en-GB"/>
              </w:rPr>
              <w:t>iodate*</w:t>
            </w:r>
          </w:p>
        </w:tc>
      </w:tr>
      <w:tr w:rsidR="002D0BFB" w:rsidRPr="00B27771" w14:paraId="209A099D" w14:textId="77777777" w:rsidTr="00022762">
        <w:trPr>
          <w:trHeight w:val="20"/>
          <w:tblHeader/>
        </w:trPr>
        <w:tc>
          <w:tcPr>
            <w:tcW w:w="2127" w:type="dxa"/>
            <w:vMerge w:val="restart"/>
            <w:shd w:val="clear" w:color="auto" w:fill="FFFFFF"/>
            <w:vAlign w:val="center"/>
          </w:tcPr>
          <w:p w14:paraId="04751A51"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p>
        </w:tc>
        <w:tc>
          <w:tcPr>
            <w:tcW w:w="1722" w:type="dxa"/>
            <w:shd w:val="clear" w:color="auto" w:fill="FFFFFF"/>
            <w:vAlign w:val="center"/>
          </w:tcPr>
          <w:p w14:paraId="1B7F465B" w14:textId="77777777" w:rsidR="002D0BFB" w:rsidRPr="00B27771" w:rsidRDefault="002D0BFB" w:rsidP="002D0BFB">
            <w:pPr>
              <w:keepNext/>
              <w:suppressAutoHyphens w:val="0"/>
              <w:autoSpaceDE w:val="0"/>
              <w:autoSpaceDN w:val="0"/>
              <w:adjustRightInd w:val="0"/>
              <w:spacing w:before="60" w:after="60" w:line="260" w:lineRule="atLeast"/>
              <w:jc w:val="center"/>
              <w:rPr>
                <w:rFonts w:eastAsia="Calibri" w:cs="Arial"/>
                <w:bCs/>
                <w:color w:val="000000"/>
                <w:sz w:val="18"/>
                <w:szCs w:val="18"/>
                <w:lang w:eastAsia="en-GB"/>
              </w:rPr>
            </w:pPr>
            <w:r w:rsidRPr="00B27771">
              <w:rPr>
                <w:rFonts w:eastAsia="Calibri" w:cs="Arial"/>
                <w:b/>
                <w:bCs/>
                <w:color w:val="000000"/>
                <w:sz w:val="18"/>
                <w:szCs w:val="18"/>
                <w:lang w:eastAsia="en-GB"/>
              </w:rPr>
              <w:t>PEC</w:t>
            </w:r>
            <w:r w:rsidRPr="00B27771">
              <w:rPr>
                <w:rFonts w:eastAsia="Calibri" w:cs="Arial"/>
                <w:b/>
                <w:bCs/>
                <w:color w:val="000000"/>
                <w:sz w:val="18"/>
                <w:szCs w:val="18"/>
                <w:vertAlign w:val="subscript"/>
                <w:lang w:eastAsia="en-GB"/>
              </w:rPr>
              <w:t>STP</w:t>
            </w:r>
          </w:p>
        </w:tc>
        <w:tc>
          <w:tcPr>
            <w:tcW w:w="1822" w:type="dxa"/>
            <w:shd w:val="clear" w:color="auto" w:fill="FFFFFF"/>
            <w:vAlign w:val="center"/>
          </w:tcPr>
          <w:p w14:paraId="7CBADBFC"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water</w:t>
            </w:r>
          </w:p>
        </w:tc>
        <w:tc>
          <w:tcPr>
            <w:tcW w:w="2104" w:type="dxa"/>
            <w:shd w:val="clear" w:color="auto" w:fill="FFFFFF"/>
            <w:vAlign w:val="center"/>
          </w:tcPr>
          <w:p w14:paraId="279644F7"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soil</w:t>
            </w:r>
          </w:p>
        </w:tc>
        <w:tc>
          <w:tcPr>
            <w:tcW w:w="2290" w:type="dxa"/>
            <w:vAlign w:val="center"/>
          </w:tcPr>
          <w:p w14:paraId="4AE0794B" w14:textId="77777777" w:rsidR="002D0BFB" w:rsidRPr="00B27771" w:rsidRDefault="002D0BFB" w:rsidP="002D0BFB">
            <w:pPr>
              <w:keepNext/>
              <w:suppressAutoHyphens w:val="0"/>
              <w:autoSpaceDE w:val="0"/>
              <w:autoSpaceDN w:val="0"/>
              <w:adjustRightInd w:val="0"/>
              <w:spacing w:before="60" w:after="60" w:line="260" w:lineRule="atLeast"/>
              <w:jc w:val="center"/>
              <w:rPr>
                <w:rFonts w:eastAsia="Calibri" w:cs="Arial"/>
                <w:color w:val="000000"/>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GW</w:t>
            </w:r>
          </w:p>
        </w:tc>
      </w:tr>
      <w:tr w:rsidR="002D0BFB" w:rsidRPr="00B27771" w14:paraId="7671515E" w14:textId="77777777" w:rsidTr="00022762">
        <w:trPr>
          <w:trHeight w:val="20"/>
          <w:tblHeader/>
        </w:trPr>
        <w:tc>
          <w:tcPr>
            <w:tcW w:w="2127" w:type="dxa"/>
            <w:vMerge/>
            <w:shd w:val="clear" w:color="auto" w:fill="FFFFFF"/>
            <w:vAlign w:val="center"/>
          </w:tcPr>
          <w:p w14:paraId="506F9DEE" w14:textId="77777777" w:rsidR="002D0BFB" w:rsidRPr="00B27771" w:rsidRDefault="002D0BFB" w:rsidP="002D0BFB">
            <w:pPr>
              <w:keepNext/>
              <w:suppressAutoHyphens w:val="0"/>
              <w:spacing w:before="60" w:after="60" w:line="276" w:lineRule="auto"/>
              <w:jc w:val="center"/>
              <w:rPr>
                <w:rFonts w:eastAsia="Calibri" w:cs="Arial"/>
                <w:b/>
                <w:bCs/>
                <w:sz w:val="18"/>
                <w:szCs w:val="18"/>
                <w:lang w:eastAsia="en-GB"/>
              </w:rPr>
            </w:pPr>
          </w:p>
        </w:tc>
        <w:tc>
          <w:tcPr>
            <w:tcW w:w="1722" w:type="dxa"/>
            <w:shd w:val="clear" w:color="auto" w:fill="FFFFFF"/>
            <w:vAlign w:val="center"/>
          </w:tcPr>
          <w:p w14:paraId="650AA1C1" w14:textId="77777777" w:rsidR="002D0BFB" w:rsidRPr="00B27771" w:rsidRDefault="002D0BFB" w:rsidP="002D0BFB">
            <w:pPr>
              <w:keepNext/>
              <w:suppressAutoHyphens w:val="0"/>
              <w:autoSpaceDE w:val="0"/>
              <w:autoSpaceDN w:val="0"/>
              <w:adjustRightInd w:val="0"/>
              <w:spacing w:before="60" w:after="60"/>
              <w:jc w:val="center"/>
              <w:rPr>
                <w:rFonts w:eastAsia="Calibri" w:cs="Arial"/>
                <w:color w:val="000000"/>
                <w:sz w:val="18"/>
                <w:szCs w:val="18"/>
                <w:lang w:eastAsia="en-GB"/>
              </w:rPr>
            </w:pPr>
            <w:r>
              <w:rPr>
                <w:rFonts w:eastAsia="Calibri" w:cs="Arial"/>
                <w:bCs/>
                <w:color w:val="000000"/>
                <w:sz w:val="18"/>
                <w:szCs w:val="18"/>
                <w:lang w:eastAsia="en-GB"/>
              </w:rPr>
              <w:t>[m</w:t>
            </w:r>
            <w:r w:rsidRPr="00B27771">
              <w:rPr>
                <w:rFonts w:eastAsia="Calibri" w:cs="Arial"/>
                <w:bCs/>
                <w:color w:val="000000"/>
                <w:sz w:val="18"/>
                <w:szCs w:val="18"/>
                <w:lang w:eastAsia="en-GB"/>
              </w:rPr>
              <w:t>g/l]</w:t>
            </w:r>
          </w:p>
        </w:tc>
        <w:tc>
          <w:tcPr>
            <w:tcW w:w="1822" w:type="dxa"/>
            <w:shd w:val="clear" w:color="auto" w:fill="FFFFFF"/>
            <w:vAlign w:val="center"/>
          </w:tcPr>
          <w:p w14:paraId="63EC5156" w14:textId="77777777"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Pr>
                <w:rFonts w:eastAsia="Calibri" w:cs="Arial"/>
                <w:bCs/>
                <w:color w:val="000000"/>
                <w:sz w:val="18"/>
                <w:szCs w:val="18"/>
                <w:lang w:eastAsia="en-GB"/>
              </w:rPr>
              <w:t>[m</w:t>
            </w:r>
            <w:r w:rsidRPr="00B27771">
              <w:rPr>
                <w:rFonts w:eastAsia="Calibri" w:cs="Arial"/>
                <w:bCs/>
                <w:color w:val="000000"/>
                <w:sz w:val="18"/>
                <w:szCs w:val="18"/>
                <w:lang w:eastAsia="en-GB"/>
              </w:rPr>
              <w:t>g/l]</w:t>
            </w:r>
          </w:p>
        </w:tc>
        <w:tc>
          <w:tcPr>
            <w:tcW w:w="2104" w:type="dxa"/>
            <w:shd w:val="clear" w:color="auto" w:fill="FFFFFF"/>
            <w:vAlign w:val="center"/>
          </w:tcPr>
          <w:p w14:paraId="7BF9437B" w14:textId="3159CCF4"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sidRPr="00B27771">
              <w:rPr>
                <w:rFonts w:eastAsia="Calibri" w:cs="Arial"/>
                <w:bCs/>
                <w:color w:val="000000"/>
                <w:sz w:val="18"/>
                <w:szCs w:val="18"/>
                <w:lang w:eastAsia="en-GB"/>
              </w:rPr>
              <w:t>[mg/kg</w:t>
            </w:r>
            <w:r w:rsidRPr="00B27771">
              <w:rPr>
                <w:rFonts w:eastAsia="Calibri" w:cs="Arial"/>
                <w:bCs/>
                <w:color w:val="000000"/>
                <w:sz w:val="18"/>
                <w:szCs w:val="18"/>
                <w:vertAlign w:val="subscript"/>
                <w:lang w:eastAsia="en-GB"/>
              </w:rPr>
              <w:t>wwt</w:t>
            </w:r>
            <w:r w:rsidRPr="00B27771">
              <w:rPr>
                <w:rFonts w:eastAsia="Calibri" w:cs="Arial"/>
                <w:bCs/>
                <w:color w:val="000000"/>
                <w:sz w:val="18"/>
                <w:szCs w:val="18"/>
                <w:lang w:eastAsia="en-GB"/>
              </w:rPr>
              <w:t>]</w:t>
            </w:r>
          </w:p>
        </w:tc>
        <w:tc>
          <w:tcPr>
            <w:tcW w:w="2290" w:type="dxa"/>
            <w:vAlign w:val="center"/>
          </w:tcPr>
          <w:p w14:paraId="249EAD76" w14:textId="77777777"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sidRPr="00B27771">
              <w:rPr>
                <w:rFonts w:eastAsia="Calibri" w:cs="Arial"/>
                <w:bCs/>
                <w:color w:val="000000"/>
                <w:sz w:val="18"/>
                <w:szCs w:val="18"/>
                <w:lang w:eastAsia="en-GB"/>
              </w:rPr>
              <w:t>[μg/l]</w:t>
            </w:r>
          </w:p>
        </w:tc>
      </w:tr>
      <w:tr w:rsidR="002D0BFB" w:rsidRPr="00B27771" w14:paraId="0EF81132" w14:textId="77777777" w:rsidTr="00022762">
        <w:trPr>
          <w:trHeight w:val="20"/>
        </w:trPr>
        <w:tc>
          <w:tcPr>
            <w:tcW w:w="2127" w:type="dxa"/>
            <w:shd w:val="clear" w:color="auto" w:fill="FFFFFF"/>
            <w:vAlign w:val="center"/>
          </w:tcPr>
          <w:p w14:paraId="744B8A9E" w14:textId="77777777" w:rsidR="002D0BFB" w:rsidRPr="00B27771" w:rsidRDefault="002D0BFB" w:rsidP="002D0BFB">
            <w:pPr>
              <w:suppressAutoHyphens w:val="0"/>
              <w:spacing w:before="60" w:after="60" w:line="276" w:lineRule="auto"/>
              <w:rPr>
                <w:rFonts w:eastAsia="Calibri" w:cs="Arial"/>
                <w:sz w:val="18"/>
                <w:szCs w:val="18"/>
                <w:lang w:eastAsia="en-GB"/>
              </w:rPr>
            </w:pPr>
            <w:r w:rsidRPr="00B27771">
              <w:rPr>
                <w:rFonts w:eastAsia="Calibri" w:cs="Arial"/>
                <w:b/>
                <w:i/>
                <w:sz w:val="18"/>
                <w:szCs w:val="18"/>
                <w:lang w:eastAsia="en-GB"/>
              </w:rPr>
              <w:t>via STP</w:t>
            </w:r>
          </w:p>
        </w:tc>
        <w:tc>
          <w:tcPr>
            <w:tcW w:w="1722" w:type="dxa"/>
            <w:shd w:val="clear" w:color="auto" w:fill="FFFFFF"/>
            <w:vAlign w:val="center"/>
          </w:tcPr>
          <w:p w14:paraId="1111B8D3" w14:textId="25A397ED" w:rsidR="002D0BFB" w:rsidRPr="00B27771" w:rsidRDefault="008E1CA1" w:rsidP="002D0BFB">
            <w:pPr>
              <w:suppressAutoHyphens w:val="0"/>
              <w:autoSpaceDE w:val="0"/>
              <w:autoSpaceDN w:val="0"/>
              <w:adjustRightInd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1.21E-03</w:t>
            </w:r>
          </w:p>
        </w:tc>
        <w:tc>
          <w:tcPr>
            <w:tcW w:w="1822" w:type="dxa"/>
            <w:shd w:val="clear" w:color="auto" w:fill="FFFFFF"/>
            <w:vAlign w:val="center"/>
          </w:tcPr>
          <w:p w14:paraId="6FEC4001" w14:textId="05F95FDA" w:rsidR="002D0BFB" w:rsidRPr="00B27771" w:rsidRDefault="008E1CA1"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1.21E-04</w:t>
            </w:r>
          </w:p>
        </w:tc>
        <w:tc>
          <w:tcPr>
            <w:tcW w:w="2104" w:type="dxa"/>
            <w:shd w:val="clear" w:color="auto" w:fill="FFFFFF"/>
            <w:vAlign w:val="center"/>
          </w:tcPr>
          <w:p w14:paraId="55605FE5" w14:textId="1EE9D181" w:rsidR="002D0BFB" w:rsidRPr="00B27771" w:rsidRDefault="008E1CA1"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7.50</w:t>
            </w:r>
            <w:r w:rsidR="005830A5">
              <w:rPr>
                <w:rFonts w:eastAsia="Calibri" w:cs="Arial"/>
                <w:color w:val="000000"/>
                <w:sz w:val="18"/>
                <w:szCs w:val="18"/>
                <w:lang w:eastAsia="en-GB"/>
              </w:rPr>
              <w:t>E-03</w:t>
            </w:r>
          </w:p>
        </w:tc>
        <w:tc>
          <w:tcPr>
            <w:tcW w:w="2290" w:type="dxa"/>
            <w:vAlign w:val="center"/>
          </w:tcPr>
          <w:p w14:paraId="6D4BC601" w14:textId="559E4035" w:rsidR="002D0BFB" w:rsidRPr="00CE6589" w:rsidRDefault="002D0BFB" w:rsidP="008E1CA1">
            <w:pPr>
              <w:suppressAutoHyphens w:val="0"/>
              <w:autoSpaceDE w:val="0"/>
              <w:autoSpaceDN w:val="0"/>
              <w:adjustRightInd w:val="0"/>
              <w:spacing w:before="100" w:beforeAutospacing="1" w:after="100" w:afterAutospacing="1"/>
              <w:jc w:val="center"/>
              <w:rPr>
                <w:rFonts w:eastAsia="Calibri" w:cs="Arial"/>
                <w:b/>
                <w:color w:val="000000"/>
                <w:sz w:val="18"/>
                <w:szCs w:val="18"/>
                <w:lang w:eastAsia="en-GB"/>
              </w:rPr>
            </w:pPr>
            <w:r w:rsidRPr="00CE6589">
              <w:rPr>
                <w:rFonts w:eastAsia="Calibri" w:cs="Arial"/>
                <w:b/>
                <w:color w:val="000000"/>
                <w:sz w:val="18"/>
                <w:szCs w:val="18"/>
                <w:lang w:eastAsia="en-GB"/>
              </w:rPr>
              <w:t>1.</w:t>
            </w:r>
            <w:r w:rsidR="008E1CA1">
              <w:rPr>
                <w:rFonts w:eastAsia="Calibri" w:cs="Arial"/>
                <w:b/>
                <w:color w:val="000000"/>
                <w:sz w:val="18"/>
                <w:szCs w:val="18"/>
                <w:lang w:eastAsia="en-GB"/>
              </w:rPr>
              <w:t>40</w:t>
            </w:r>
          </w:p>
        </w:tc>
      </w:tr>
      <w:tr w:rsidR="002D0BFB" w:rsidRPr="00B27771" w14:paraId="089FE263" w14:textId="77777777" w:rsidTr="009C176F">
        <w:trPr>
          <w:trHeight w:val="20"/>
        </w:trPr>
        <w:tc>
          <w:tcPr>
            <w:tcW w:w="10065" w:type="dxa"/>
            <w:gridSpan w:val="5"/>
            <w:tcBorders>
              <w:top w:val="single" w:sz="4" w:space="0" w:color="auto"/>
              <w:left w:val="single" w:sz="4" w:space="0" w:color="auto"/>
              <w:bottom w:val="single" w:sz="4" w:space="0" w:color="auto"/>
            </w:tcBorders>
            <w:shd w:val="clear" w:color="auto" w:fill="auto"/>
            <w:vAlign w:val="center"/>
          </w:tcPr>
          <w:p w14:paraId="5DB87651" w14:textId="4B2EC3D6" w:rsidR="002D0BFB" w:rsidRPr="00B27771" w:rsidRDefault="002D0BFB" w:rsidP="00E96618">
            <w:pPr>
              <w:keepNext/>
              <w:suppressAutoHyphens w:val="0"/>
              <w:spacing w:before="60" w:after="60" w:line="276" w:lineRule="auto"/>
              <w:rPr>
                <w:rFonts w:eastAsia="Calibri" w:cs="Arial"/>
                <w:b/>
                <w:i/>
                <w:sz w:val="18"/>
                <w:szCs w:val="18"/>
                <w:lang w:val="en-US" w:eastAsia="en-GB"/>
              </w:rPr>
            </w:pPr>
            <w:r w:rsidRPr="00B27771">
              <w:rPr>
                <w:rFonts w:eastAsia="Calibri" w:cs="Arial"/>
                <w:b/>
                <w:i/>
                <w:sz w:val="18"/>
                <w:szCs w:val="18"/>
                <w:lang w:val="en-US" w:eastAsia="en-GB"/>
              </w:rPr>
              <w:t xml:space="preserve">via slurry/manure </w:t>
            </w:r>
            <w:r w:rsidRPr="00B27771">
              <w:rPr>
                <w:rFonts w:eastAsia="Calibri" w:cs="Arial"/>
                <w:b/>
                <w:i/>
                <w:sz w:val="18"/>
                <w:szCs w:val="18"/>
                <w:lang w:eastAsia="en-GB"/>
              </w:rPr>
              <w:t xml:space="preserve">– </w:t>
            </w:r>
            <w:r w:rsidR="00E96618">
              <w:rPr>
                <w:rFonts w:eastAsia="Calibri" w:cs="Arial"/>
                <w:b/>
                <w:i/>
                <w:sz w:val="18"/>
                <w:szCs w:val="18"/>
                <w:lang w:eastAsia="en-GB"/>
              </w:rPr>
              <w:t>concentrations after ten years</w:t>
            </w:r>
          </w:p>
        </w:tc>
      </w:tr>
      <w:tr w:rsidR="002D0BFB" w:rsidRPr="00B27771" w14:paraId="1AE46A74" w14:textId="77777777" w:rsidTr="00022762">
        <w:trPr>
          <w:trHeight w:val="20"/>
        </w:trPr>
        <w:tc>
          <w:tcPr>
            <w:tcW w:w="2127" w:type="dxa"/>
            <w:shd w:val="clear" w:color="auto" w:fill="FFFFFF"/>
            <w:vAlign w:val="center"/>
          </w:tcPr>
          <w:p w14:paraId="78BCA516" w14:textId="77777777" w:rsidR="002D0BFB" w:rsidRPr="00B27771" w:rsidRDefault="002D0BFB" w:rsidP="002D0BFB">
            <w:pPr>
              <w:keepNext/>
              <w:suppressAutoHyphens w:val="0"/>
              <w:spacing w:before="60" w:after="60" w:line="276" w:lineRule="auto"/>
              <w:rPr>
                <w:rFonts w:eastAsia="Calibri" w:cs="Arial"/>
                <w:sz w:val="18"/>
                <w:szCs w:val="18"/>
                <w:lang w:eastAsia="en-GB"/>
              </w:rPr>
            </w:pPr>
            <w:r w:rsidRPr="00B27771">
              <w:rPr>
                <w:rFonts w:eastAsia="Calibri" w:cs="Arial"/>
                <w:sz w:val="18"/>
                <w:szCs w:val="18"/>
                <w:lang w:eastAsia="en-GB"/>
              </w:rPr>
              <w:t>grassland</w:t>
            </w:r>
          </w:p>
        </w:tc>
        <w:tc>
          <w:tcPr>
            <w:tcW w:w="1722" w:type="dxa"/>
            <w:shd w:val="clear" w:color="auto" w:fill="FFFFFF"/>
            <w:vAlign w:val="center"/>
          </w:tcPr>
          <w:p w14:paraId="781634E0" w14:textId="77777777" w:rsidR="002D0BFB" w:rsidRPr="00B27771" w:rsidRDefault="002D0BFB" w:rsidP="002D0BFB">
            <w:pPr>
              <w:keepNext/>
              <w:suppressAutoHyphens w:val="0"/>
              <w:spacing w:before="100" w:beforeAutospacing="1" w:after="100" w:afterAutospacing="1"/>
              <w:jc w:val="center"/>
              <w:rPr>
                <w:rFonts w:eastAsia="Calibri" w:cs="Arial"/>
                <w:color w:val="000000"/>
                <w:sz w:val="18"/>
                <w:szCs w:val="18"/>
                <w:lang w:eastAsia="en-GB"/>
              </w:rPr>
            </w:pPr>
            <w:r w:rsidRPr="00B27771">
              <w:rPr>
                <w:rFonts w:eastAsia="Calibri" w:cs="Arial"/>
                <w:color w:val="000000"/>
                <w:sz w:val="18"/>
                <w:szCs w:val="18"/>
                <w:lang w:eastAsia="en-GB"/>
              </w:rPr>
              <w:t>-</w:t>
            </w:r>
          </w:p>
        </w:tc>
        <w:tc>
          <w:tcPr>
            <w:tcW w:w="1822" w:type="dxa"/>
            <w:shd w:val="clear" w:color="auto" w:fill="FFFFFF"/>
            <w:vAlign w:val="center"/>
          </w:tcPr>
          <w:p w14:paraId="06F76732" w14:textId="5DB30DD9" w:rsidR="002D0BFB" w:rsidRPr="00B27771" w:rsidRDefault="002D0BFB" w:rsidP="005037B9">
            <w:pPr>
              <w:keepNext/>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9.</w:t>
            </w:r>
            <w:r w:rsidR="005037B9">
              <w:rPr>
                <w:rFonts w:eastAsia="Calibri" w:cs="Arial"/>
                <w:color w:val="000000"/>
                <w:sz w:val="18"/>
                <w:szCs w:val="18"/>
                <w:lang w:eastAsia="en-GB"/>
              </w:rPr>
              <w:t>43</w:t>
            </w:r>
            <w:r>
              <w:rPr>
                <w:rFonts w:eastAsia="Calibri" w:cs="Arial"/>
                <w:color w:val="000000"/>
                <w:sz w:val="18"/>
                <w:szCs w:val="18"/>
                <w:lang w:eastAsia="en-GB"/>
              </w:rPr>
              <w:t>E-04</w:t>
            </w:r>
          </w:p>
        </w:tc>
        <w:tc>
          <w:tcPr>
            <w:tcW w:w="2104" w:type="dxa"/>
            <w:shd w:val="clear" w:color="auto" w:fill="FFFFFF"/>
            <w:vAlign w:val="center"/>
          </w:tcPr>
          <w:p w14:paraId="5C3E9957" w14:textId="77777777" w:rsidR="002D0BFB" w:rsidRPr="00B27771" w:rsidRDefault="002D0BFB" w:rsidP="002D0BFB">
            <w:pPr>
              <w:keepNext/>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4.93E-02</w:t>
            </w:r>
          </w:p>
        </w:tc>
        <w:tc>
          <w:tcPr>
            <w:tcW w:w="2290" w:type="dxa"/>
            <w:vAlign w:val="center"/>
          </w:tcPr>
          <w:p w14:paraId="688D96F0" w14:textId="77777777" w:rsidR="002D0BFB" w:rsidRPr="00417835" w:rsidRDefault="002D0BFB" w:rsidP="002D0BFB">
            <w:pPr>
              <w:keepNext/>
              <w:suppressAutoHyphens w:val="0"/>
              <w:spacing w:before="100" w:beforeAutospacing="1" w:after="100" w:afterAutospacing="1"/>
              <w:jc w:val="center"/>
              <w:rPr>
                <w:rFonts w:eastAsia="Calibri" w:cs="Arial"/>
                <w:b/>
                <w:color w:val="000000"/>
                <w:sz w:val="18"/>
                <w:szCs w:val="18"/>
                <w:lang w:eastAsia="en-GB"/>
              </w:rPr>
            </w:pPr>
            <w:r w:rsidRPr="00417835">
              <w:rPr>
                <w:rFonts w:eastAsia="Calibri" w:cs="Arial"/>
                <w:b/>
                <w:color w:val="000000"/>
                <w:sz w:val="18"/>
                <w:szCs w:val="18"/>
                <w:lang w:eastAsia="en-GB"/>
              </w:rPr>
              <w:t>9.42</w:t>
            </w:r>
          </w:p>
        </w:tc>
      </w:tr>
      <w:tr w:rsidR="002D0BFB" w:rsidRPr="00B27771" w14:paraId="66A22875" w14:textId="77777777" w:rsidTr="00022762">
        <w:trPr>
          <w:trHeight w:val="20"/>
        </w:trPr>
        <w:tc>
          <w:tcPr>
            <w:tcW w:w="2127" w:type="dxa"/>
            <w:shd w:val="clear" w:color="auto" w:fill="FFFFFF"/>
            <w:vAlign w:val="center"/>
          </w:tcPr>
          <w:p w14:paraId="47D4A1E2" w14:textId="77777777" w:rsidR="002D0BFB" w:rsidRPr="00B27771" w:rsidRDefault="002D0BFB" w:rsidP="002D0BFB">
            <w:pPr>
              <w:suppressAutoHyphens w:val="0"/>
              <w:spacing w:before="60" w:after="60" w:line="276" w:lineRule="auto"/>
              <w:rPr>
                <w:rFonts w:eastAsia="Calibri" w:cs="Arial"/>
                <w:sz w:val="18"/>
                <w:szCs w:val="18"/>
                <w:lang w:eastAsia="en-GB"/>
              </w:rPr>
            </w:pPr>
            <w:r w:rsidRPr="00B27771">
              <w:rPr>
                <w:rFonts w:eastAsia="Calibri" w:cs="Arial"/>
                <w:sz w:val="18"/>
                <w:szCs w:val="18"/>
                <w:lang w:eastAsia="en-GB"/>
              </w:rPr>
              <w:t>arable land</w:t>
            </w:r>
          </w:p>
        </w:tc>
        <w:tc>
          <w:tcPr>
            <w:tcW w:w="1722" w:type="dxa"/>
            <w:shd w:val="clear" w:color="auto" w:fill="FFFFFF"/>
            <w:vAlign w:val="center"/>
          </w:tcPr>
          <w:p w14:paraId="4353285A" w14:textId="77777777" w:rsidR="002D0BFB" w:rsidRPr="00B27771" w:rsidRDefault="002D0BFB" w:rsidP="002D0BFB">
            <w:pPr>
              <w:suppressAutoHyphens w:val="0"/>
              <w:spacing w:before="100" w:beforeAutospacing="1" w:after="100" w:afterAutospacing="1"/>
              <w:jc w:val="center"/>
              <w:rPr>
                <w:rFonts w:eastAsia="Calibri" w:cs="Arial"/>
                <w:color w:val="000000"/>
                <w:sz w:val="18"/>
                <w:szCs w:val="18"/>
                <w:lang w:eastAsia="en-GB"/>
              </w:rPr>
            </w:pPr>
            <w:r w:rsidRPr="00B27771">
              <w:rPr>
                <w:rFonts w:eastAsia="Calibri" w:cs="Arial"/>
                <w:color w:val="000000"/>
                <w:sz w:val="18"/>
                <w:szCs w:val="18"/>
                <w:lang w:eastAsia="en-GB"/>
              </w:rPr>
              <w:t>-</w:t>
            </w:r>
          </w:p>
        </w:tc>
        <w:tc>
          <w:tcPr>
            <w:tcW w:w="1822" w:type="dxa"/>
            <w:shd w:val="clear" w:color="auto" w:fill="FFFFFF"/>
            <w:vAlign w:val="center"/>
          </w:tcPr>
          <w:p w14:paraId="683FE8F2" w14:textId="14BEA3DF" w:rsidR="002D0BFB" w:rsidRPr="00B27771" w:rsidRDefault="005037B9"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5.68</w:t>
            </w:r>
            <w:r w:rsidR="002D0BFB">
              <w:rPr>
                <w:rFonts w:eastAsia="Calibri" w:cs="Arial"/>
                <w:color w:val="000000"/>
                <w:sz w:val="18"/>
                <w:szCs w:val="18"/>
                <w:lang w:eastAsia="en-GB"/>
              </w:rPr>
              <w:t>E-04</w:t>
            </w:r>
          </w:p>
        </w:tc>
        <w:tc>
          <w:tcPr>
            <w:tcW w:w="2104" w:type="dxa"/>
            <w:shd w:val="clear" w:color="auto" w:fill="FFFFFF"/>
            <w:vAlign w:val="center"/>
          </w:tcPr>
          <w:p w14:paraId="76D88D76" w14:textId="77777777" w:rsidR="002D0BFB" w:rsidRPr="00B27771" w:rsidRDefault="002D0BFB"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2.97E-02</w:t>
            </w:r>
          </w:p>
        </w:tc>
        <w:tc>
          <w:tcPr>
            <w:tcW w:w="2290" w:type="dxa"/>
            <w:vAlign w:val="center"/>
          </w:tcPr>
          <w:p w14:paraId="6CB7EA3D" w14:textId="77777777" w:rsidR="002D0BFB" w:rsidRPr="00417835" w:rsidRDefault="002D0BFB" w:rsidP="002D0BFB">
            <w:pPr>
              <w:suppressAutoHyphens w:val="0"/>
              <w:spacing w:before="100" w:beforeAutospacing="1" w:after="100" w:afterAutospacing="1"/>
              <w:jc w:val="center"/>
              <w:rPr>
                <w:rFonts w:eastAsia="Calibri" w:cs="Arial"/>
                <w:b/>
                <w:color w:val="000000"/>
                <w:sz w:val="18"/>
                <w:szCs w:val="18"/>
                <w:lang w:eastAsia="en-GB"/>
              </w:rPr>
            </w:pPr>
            <w:r w:rsidRPr="00417835">
              <w:rPr>
                <w:rFonts w:eastAsia="Calibri" w:cs="Arial"/>
                <w:b/>
                <w:color w:val="000000"/>
                <w:sz w:val="18"/>
                <w:szCs w:val="18"/>
                <w:lang w:eastAsia="en-GB"/>
              </w:rPr>
              <w:t>5.68</w:t>
            </w:r>
          </w:p>
        </w:tc>
      </w:tr>
    </w:tbl>
    <w:p w14:paraId="2190C9B4" w14:textId="3C5DAAF0" w:rsidR="002D0BFB" w:rsidRPr="009C176F" w:rsidRDefault="002D0BFB" w:rsidP="002D0BFB">
      <w:pPr>
        <w:rPr>
          <w:sz w:val="18"/>
          <w:szCs w:val="18"/>
          <w:lang w:val="en-US"/>
        </w:rPr>
      </w:pPr>
      <w:r w:rsidRPr="009C176F">
        <w:rPr>
          <w:rFonts w:eastAsia="Calibri"/>
          <w:bCs/>
          <w:sz w:val="18"/>
          <w:szCs w:val="18"/>
          <w:lang w:eastAsia="en-US"/>
        </w:rPr>
        <w:t>*PECs for iodate were derived by multiplying those for iodine with 1.382 (differences in molar weight).</w:t>
      </w:r>
    </w:p>
    <w:p w14:paraId="4A96D322" w14:textId="77777777" w:rsidR="002D0BFB" w:rsidRDefault="002D0BFB" w:rsidP="002D0BFB">
      <w:pPr>
        <w:rPr>
          <w:lang w:val="en-US"/>
        </w:rPr>
      </w:pPr>
    </w:p>
    <w:tbl>
      <w:tblPr>
        <w:tblW w:w="10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489"/>
        <w:gridCol w:w="2417"/>
        <w:gridCol w:w="2013"/>
        <w:gridCol w:w="2186"/>
      </w:tblGrid>
      <w:tr w:rsidR="002D0BFB" w:rsidRPr="00B27771" w14:paraId="7438C1A1" w14:textId="77777777" w:rsidTr="00454D17">
        <w:trPr>
          <w:trHeight w:val="20"/>
          <w:tblHeader/>
        </w:trPr>
        <w:tc>
          <w:tcPr>
            <w:tcW w:w="10029" w:type="dxa"/>
            <w:gridSpan w:val="5"/>
            <w:tcBorders>
              <w:top w:val="single" w:sz="4" w:space="0" w:color="auto"/>
              <w:left w:val="single" w:sz="4" w:space="0" w:color="auto"/>
              <w:bottom w:val="single" w:sz="4" w:space="0" w:color="auto"/>
            </w:tcBorders>
            <w:shd w:val="clear" w:color="auto" w:fill="FFFFCC"/>
            <w:vAlign w:val="center"/>
          </w:tcPr>
          <w:p w14:paraId="172EA9E7" w14:textId="77777777" w:rsidR="002D0BFB" w:rsidRPr="00B27771" w:rsidRDefault="002D0BFB" w:rsidP="002D0BFB">
            <w:pPr>
              <w:keepNext/>
              <w:suppressAutoHyphens w:val="0"/>
              <w:autoSpaceDE w:val="0"/>
              <w:autoSpaceDN w:val="0"/>
              <w:adjustRightInd w:val="0"/>
              <w:spacing w:before="60" w:after="60" w:line="260" w:lineRule="atLeast"/>
              <w:jc w:val="center"/>
              <w:rPr>
                <w:rFonts w:eastAsia="Calibri" w:cs="Arial"/>
                <w:color w:val="000000"/>
                <w:sz w:val="18"/>
                <w:szCs w:val="18"/>
                <w:lang w:eastAsia="en-GB"/>
              </w:rPr>
            </w:pPr>
            <w:r w:rsidRPr="00B27771">
              <w:rPr>
                <w:rFonts w:eastAsia="Calibri" w:cs="Arial"/>
                <w:b/>
                <w:bCs/>
                <w:sz w:val="18"/>
                <w:szCs w:val="18"/>
                <w:lang w:eastAsia="en-GB"/>
              </w:rPr>
              <w:t xml:space="preserve">Summary table on calculated PEC values for </w:t>
            </w:r>
            <w:r w:rsidRPr="0092383F">
              <w:rPr>
                <w:rFonts w:eastAsia="Calibri" w:cs="Arial"/>
                <w:b/>
                <w:bCs/>
                <w:sz w:val="18"/>
                <w:szCs w:val="18"/>
                <w:lang w:eastAsia="en-GB"/>
              </w:rPr>
              <w:t>L(+)lactic acid</w:t>
            </w:r>
          </w:p>
        </w:tc>
      </w:tr>
      <w:tr w:rsidR="002D0BFB" w:rsidRPr="00B27771" w14:paraId="76307F46" w14:textId="77777777" w:rsidTr="00454D17">
        <w:trPr>
          <w:trHeight w:val="20"/>
          <w:tblHeader/>
        </w:trPr>
        <w:tc>
          <w:tcPr>
            <w:tcW w:w="1924" w:type="dxa"/>
            <w:vMerge w:val="restart"/>
            <w:shd w:val="clear" w:color="auto" w:fill="FFFFFF"/>
            <w:vAlign w:val="center"/>
          </w:tcPr>
          <w:p w14:paraId="40693EF7"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p>
        </w:tc>
        <w:tc>
          <w:tcPr>
            <w:tcW w:w="1489" w:type="dxa"/>
            <w:shd w:val="clear" w:color="auto" w:fill="FFFFFF"/>
            <w:vAlign w:val="center"/>
          </w:tcPr>
          <w:p w14:paraId="20A15EC7" w14:textId="77777777" w:rsidR="002D0BFB" w:rsidRPr="00B27771" w:rsidRDefault="002D0BFB" w:rsidP="002D0BFB">
            <w:pPr>
              <w:keepNext/>
              <w:suppressAutoHyphens w:val="0"/>
              <w:autoSpaceDE w:val="0"/>
              <w:autoSpaceDN w:val="0"/>
              <w:adjustRightInd w:val="0"/>
              <w:spacing w:before="60" w:after="60" w:line="260" w:lineRule="atLeast"/>
              <w:jc w:val="center"/>
              <w:rPr>
                <w:rFonts w:eastAsia="Calibri" w:cs="Arial"/>
                <w:bCs/>
                <w:color w:val="000000"/>
                <w:sz w:val="18"/>
                <w:szCs w:val="18"/>
                <w:lang w:eastAsia="en-GB"/>
              </w:rPr>
            </w:pPr>
            <w:r w:rsidRPr="00B27771">
              <w:rPr>
                <w:rFonts w:eastAsia="Calibri" w:cs="Arial"/>
                <w:b/>
                <w:bCs/>
                <w:color w:val="000000"/>
                <w:sz w:val="18"/>
                <w:szCs w:val="18"/>
                <w:lang w:eastAsia="en-GB"/>
              </w:rPr>
              <w:t>PEC</w:t>
            </w:r>
            <w:r w:rsidRPr="00B27771">
              <w:rPr>
                <w:rFonts w:eastAsia="Calibri" w:cs="Arial"/>
                <w:b/>
                <w:bCs/>
                <w:color w:val="000000"/>
                <w:sz w:val="18"/>
                <w:szCs w:val="18"/>
                <w:vertAlign w:val="subscript"/>
                <w:lang w:eastAsia="en-GB"/>
              </w:rPr>
              <w:t>STP</w:t>
            </w:r>
          </w:p>
        </w:tc>
        <w:tc>
          <w:tcPr>
            <w:tcW w:w="2417" w:type="dxa"/>
            <w:shd w:val="clear" w:color="auto" w:fill="FFFFFF"/>
            <w:vAlign w:val="center"/>
          </w:tcPr>
          <w:p w14:paraId="69BDB1FC"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water</w:t>
            </w:r>
          </w:p>
        </w:tc>
        <w:tc>
          <w:tcPr>
            <w:tcW w:w="2013" w:type="dxa"/>
            <w:shd w:val="clear" w:color="auto" w:fill="FFFFFF"/>
            <w:vAlign w:val="center"/>
          </w:tcPr>
          <w:p w14:paraId="2D620B81" w14:textId="77777777" w:rsidR="002D0BFB" w:rsidRPr="00B27771" w:rsidRDefault="002D0BFB" w:rsidP="002D0BFB">
            <w:pPr>
              <w:keepNext/>
              <w:suppressAutoHyphens w:val="0"/>
              <w:spacing w:before="60" w:after="60" w:line="276" w:lineRule="auto"/>
              <w:jc w:val="center"/>
              <w:rPr>
                <w:rFonts w:eastAsia="Calibri" w:cs="Arial"/>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soil</w:t>
            </w:r>
          </w:p>
        </w:tc>
        <w:tc>
          <w:tcPr>
            <w:tcW w:w="2186" w:type="dxa"/>
            <w:vAlign w:val="center"/>
          </w:tcPr>
          <w:p w14:paraId="2560307A" w14:textId="77777777" w:rsidR="002D0BFB" w:rsidRPr="00B27771" w:rsidRDefault="002D0BFB" w:rsidP="002D0BFB">
            <w:pPr>
              <w:keepNext/>
              <w:suppressAutoHyphens w:val="0"/>
              <w:autoSpaceDE w:val="0"/>
              <w:autoSpaceDN w:val="0"/>
              <w:adjustRightInd w:val="0"/>
              <w:spacing w:before="60" w:after="60" w:line="260" w:lineRule="atLeast"/>
              <w:jc w:val="center"/>
              <w:rPr>
                <w:rFonts w:eastAsia="Calibri" w:cs="Arial"/>
                <w:color w:val="000000"/>
                <w:sz w:val="18"/>
                <w:szCs w:val="18"/>
                <w:lang w:eastAsia="en-GB"/>
              </w:rPr>
            </w:pPr>
            <w:r w:rsidRPr="00B27771">
              <w:rPr>
                <w:rFonts w:eastAsia="Calibri" w:cs="Arial"/>
                <w:b/>
                <w:bCs/>
                <w:sz w:val="18"/>
                <w:szCs w:val="18"/>
                <w:lang w:eastAsia="en-GB"/>
              </w:rPr>
              <w:t>PEC</w:t>
            </w:r>
            <w:r w:rsidRPr="00B27771">
              <w:rPr>
                <w:rFonts w:eastAsia="Calibri" w:cs="Arial"/>
                <w:b/>
                <w:bCs/>
                <w:sz w:val="18"/>
                <w:szCs w:val="18"/>
                <w:vertAlign w:val="subscript"/>
                <w:lang w:eastAsia="en-GB"/>
              </w:rPr>
              <w:t>GW</w:t>
            </w:r>
          </w:p>
        </w:tc>
      </w:tr>
      <w:tr w:rsidR="002D0BFB" w:rsidRPr="00B27771" w14:paraId="2D742611" w14:textId="77777777" w:rsidTr="00454D17">
        <w:trPr>
          <w:trHeight w:val="20"/>
          <w:tblHeader/>
        </w:trPr>
        <w:tc>
          <w:tcPr>
            <w:tcW w:w="1924" w:type="dxa"/>
            <w:vMerge/>
            <w:shd w:val="clear" w:color="auto" w:fill="FFFFFF"/>
            <w:vAlign w:val="center"/>
          </w:tcPr>
          <w:p w14:paraId="3D8FA128" w14:textId="77777777" w:rsidR="002D0BFB" w:rsidRPr="00B27771" w:rsidRDefault="002D0BFB" w:rsidP="002D0BFB">
            <w:pPr>
              <w:keepNext/>
              <w:suppressAutoHyphens w:val="0"/>
              <w:spacing w:before="60" w:after="60" w:line="276" w:lineRule="auto"/>
              <w:jc w:val="center"/>
              <w:rPr>
                <w:rFonts w:eastAsia="Calibri" w:cs="Arial"/>
                <w:b/>
                <w:bCs/>
                <w:sz w:val="18"/>
                <w:szCs w:val="18"/>
                <w:lang w:eastAsia="en-GB"/>
              </w:rPr>
            </w:pPr>
          </w:p>
        </w:tc>
        <w:tc>
          <w:tcPr>
            <w:tcW w:w="1489" w:type="dxa"/>
            <w:shd w:val="clear" w:color="auto" w:fill="FFFFFF"/>
            <w:vAlign w:val="center"/>
          </w:tcPr>
          <w:p w14:paraId="4A2657C5" w14:textId="77777777" w:rsidR="002D0BFB" w:rsidRPr="00B27771" w:rsidRDefault="002D0BFB" w:rsidP="002D0BFB">
            <w:pPr>
              <w:keepNext/>
              <w:suppressAutoHyphens w:val="0"/>
              <w:autoSpaceDE w:val="0"/>
              <w:autoSpaceDN w:val="0"/>
              <w:adjustRightInd w:val="0"/>
              <w:spacing w:before="60" w:after="60"/>
              <w:jc w:val="center"/>
              <w:rPr>
                <w:rFonts w:eastAsia="Calibri" w:cs="Arial"/>
                <w:color w:val="000000"/>
                <w:sz w:val="18"/>
                <w:szCs w:val="18"/>
                <w:lang w:eastAsia="en-GB"/>
              </w:rPr>
            </w:pPr>
            <w:r>
              <w:rPr>
                <w:rFonts w:eastAsia="Calibri" w:cs="Arial"/>
                <w:bCs/>
                <w:color w:val="000000"/>
                <w:sz w:val="18"/>
                <w:szCs w:val="18"/>
                <w:lang w:eastAsia="en-GB"/>
              </w:rPr>
              <w:t>[m</w:t>
            </w:r>
            <w:r w:rsidRPr="00B27771">
              <w:rPr>
                <w:rFonts w:eastAsia="Calibri" w:cs="Arial"/>
                <w:bCs/>
                <w:color w:val="000000"/>
                <w:sz w:val="18"/>
                <w:szCs w:val="18"/>
                <w:lang w:eastAsia="en-GB"/>
              </w:rPr>
              <w:t>g/l]</w:t>
            </w:r>
          </w:p>
        </w:tc>
        <w:tc>
          <w:tcPr>
            <w:tcW w:w="2417" w:type="dxa"/>
            <w:shd w:val="clear" w:color="auto" w:fill="FFFFFF"/>
            <w:vAlign w:val="center"/>
          </w:tcPr>
          <w:p w14:paraId="3C01EB0C" w14:textId="77777777"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Pr>
                <w:rFonts w:eastAsia="Calibri" w:cs="Arial"/>
                <w:bCs/>
                <w:color w:val="000000"/>
                <w:sz w:val="18"/>
                <w:szCs w:val="18"/>
                <w:lang w:eastAsia="en-GB"/>
              </w:rPr>
              <w:t>[m</w:t>
            </w:r>
            <w:r w:rsidRPr="00B27771">
              <w:rPr>
                <w:rFonts w:eastAsia="Calibri" w:cs="Arial"/>
                <w:bCs/>
                <w:color w:val="000000"/>
                <w:sz w:val="18"/>
                <w:szCs w:val="18"/>
                <w:lang w:eastAsia="en-GB"/>
              </w:rPr>
              <w:t>g/l]</w:t>
            </w:r>
          </w:p>
        </w:tc>
        <w:tc>
          <w:tcPr>
            <w:tcW w:w="2013" w:type="dxa"/>
            <w:shd w:val="clear" w:color="auto" w:fill="FFFFFF"/>
            <w:vAlign w:val="center"/>
          </w:tcPr>
          <w:p w14:paraId="30A2F3F7" w14:textId="31690A8B"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sidRPr="00B27771">
              <w:rPr>
                <w:rFonts w:eastAsia="Calibri" w:cs="Arial"/>
                <w:bCs/>
                <w:color w:val="000000"/>
                <w:sz w:val="18"/>
                <w:szCs w:val="18"/>
                <w:lang w:eastAsia="en-GB"/>
              </w:rPr>
              <w:t>[mg/kg</w:t>
            </w:r>
            <w:r w:rsidRPr="00B27771">
              <w:rPr>
                <w:rFonts w:eastAsia="Calibri" w:cs="Arial"/>
                <w:bCs/>
                <w:color w:val="000000"/>
                <w:sz w:val="18"/>
                <w:szCs w:val="18"/>
                <w:vertAlign w:val="subscript"/>
                <w:lang w:eastAsia="en-GB"/>
              </w:rPr>
              <w:t>wwt</w:t>
            </w:r>
            <w:r w:rsidRPr="00B27771">
              <w:rPr>
                <w:rFonts w:eastAsia="Calibri" w:cs="Arial"/>
                <w:bCs/>
                <w:color w:val="000000"/>
                <w:sz w:val="18"/>
                <w:szCs w:val="18"/>
                <w:lang w:eastAsia="en-GB"/>
              </w:rPr>
              <w:t>]</w:t>
            </w:r>
          </w:p>
        </w:tc>
        <w:tc>
          <w:tcPr>
            <w:tcW w:w="2186" w:type="dxa"/>
            <w:vAlign w:val="center"/>
          </w:tcPr>
          <w:p w14:paraId="767624F1" w14:textId="77777777" w:rsidR="002D0BFB" w:rsidRPr="00B27771" w:rsidRDefault="002D0BFB" w:rsidP="002D0BFB">
            <w:pPr>
              <w:keepNext/>
              <w:suppressAutoHyphens w:val="0"/>
              <w:autoSpaceDE w:val="0"/>
              <w:autoSpaceDN w:val="0"/>
              <w:adjustRightInd w:val="0"/>
              <w:spacing w:before="60" w:after="60"/>
              <w:jc w:val="center"/>
              <w:rPr>
                <w:rFonts w:eastAsia="Calibri" w:cs="Arial"/>
                <w:bCs/>
                <w:color w:val="000000"/>
                <w:sz w:val="18"/>
                <w:szCs w:val="18"/>
                <w:lang w:eastAsia="en-GB"/>
              </w:rPr>
            </w:pPr>
            <w:r w:rsidRPr="00B27771">
              <w:rPr>
                <w:rFonts w:eastAsia="Calibri" w:cs="Arial"/>
                <w:bCs/>
                <w:color w:val="000000"/>
                <w:sz w:val="18"/>
                <w:szCs w:val="18"/>
                <w:lang w:eastAsia="en-GB"/>
              </w:rPr>
              <w:t>[μg/l]</w:t>
            </w:r>
          </w:p>
        </w:tc>
      </w:tr>
      <w:tr w:rsidR="002D0BFB" w:rsidRPr="00B27771" w14:paraId="5FE828AA" w14:textId="77777777" w:rsidTr="00454D17">
        <w:trPr>
          <w:trHeight w:val="20"/>
        </w:trPr>
        <w:tc>
          <w:tcPr>
            <w:tcW w:w="1924" w:type="dxa"/>
            <w:shd w:val="clear" w:color="auto" w:fill="FFFFFF"/>
            <w:vAlign w:val="center"/>
          </w:tcPr>
          <w:p w14:paraId="5BE51F09" w14:textId="77777777" w:rsidR="002D0BFB" w:rsidRPr="00B27771" w:rsidRDefault="002D0BFB" w:rsidP="002D0BFB">
            <w:pPr>
              <w:suppressAutoHyphens w:val="0"/>
              <w:spacing w:before="60" w:after="60" w:line="276" w:lineRule="auto"/>
              <w:rPr>
                <w:rFonts w:eastAsia="Calibri" w:cs="Arial"/>
                <w:sz w:val="18"/>
                <w:szCs w:val="18"/>
                <w:lang w:eastAsia="en-GB"/>
              </w:rPr>
            </w:pPr>
            <w:r w:rsidRPr="00B27771">
              <w:rPr>
                <w:rFonts w:eastAsia="Calibri" w:cs="Arial"/>
                <w:b/>
                <w:i/>
                <w:sz w:val="18"/>
                <w:szCs w:val="18"/>
                <w:lang w:eastAsia="en-GB"/>
              </w:rPr>
              <w:t>via STP</w:t>
            </w:r>
          </w:p>
        </w:tc>
        <w:tc>
          <w:tcPr>
            <w:tcW w:w="1489" w:type="dxa"/>
            <w:shd w:val="clear" w:color="auto" w:fill="FFFFFF"/>
            <w:vAlign w:val="center"/>
          </w:tcPr>
          <w:p w14:paraId="7FE47355" w14:textId="708E1BB1" w:rsidR="002D0BFB" w:rsidRPr="00B27771" w:rsidRDefault="008E1CA1" w:rsidP="002D0BFB">
            <w:pPr>
              <w:suppressAutoHyphens w:val="0"/>
              <w:autoSpaceDE w:val="0"/>
              <w:autoSpaceDN w:val="0"/>
              <w:adjustRightInd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8.88</w:t>
            </w:r>
            <w:r w:rsidR="005830A5">
              <w:rPr>
                <w:rFonts w:eastAsia="Calibri" w:cs="Arial"/>
                <w:color w:val="000000"/>
                <w:sz w:val="18"/>
                <w:szCs w:val="18"/>
                <w:lang w:eastAsia="en-GB"/>
              </w:rPr>
              <w:t>E</w:t>
            </w:r>
            <w:r w:rsidR="002D0BFB">
              <w:rPr>
                <w:rFonts w:eastAsia="Calibri" w:cs="Arial"/>
                <w:color w:val="000000"/>
                <w:sz w:val="18"/>
                <w:szCs w:val="18"/>
                <w:lang w:eastAsia="en-GB"/>
              </w:rPr>
              <w:t>-05</w:t>
            </w:r>
          </w:p>
        </w:tc>
        <w:tc>
          <w:tcPr>
            <w:tcW w:w="2417" w:type="dxa"/>
            <w:shd w:val="clear" w:color="auto" w:fill="FFFFFF"/>
            <w:vAlign w:val="center"/>
          </w:tcPr>
          <w:p w14:paraId="7A2986A0" w14:textId="11DCD542" w:rsidR="002D0BFB" w:rsidRPr="00B27771" w:rsidRDefault="008E1CA1"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8.88</w:t>
            </w:r>
            <w:r w:rsidR="005830A5">
              <w:rPr>
                <w:rFonts w:eastAsia="Calibri" w:cs="Arial"/>
                <w:color w:val="000000"/>
                <w:sz w:val="18"/>
                <w:szCs w:val="18"/>
                <w:lang w:eastAsia="en-GB"/>
              </w:rPr>
              <w:t>E</w:t>
            </w:r>
            <w:r w:rsidR="002D0BFB">
              <w:rPr>
                <w:rFonts w:eastAsia="Calibri" w:cs="Arial"/>
                <w:color w:val="000000"/>
                <w:sz w:val="18"/>
                <w:szCs w:val="18"/>
                <w:lang w:eastAsia="en-GB"/>
              </w:rPr>
              <w:t>-06</w:t>
            </w:r>
          </w:p>
        </w:tc>
        <w:tc>
          <w:tcPr>
            <w:tcW w:w="2013" w:type="dxa"/>
            <w:shd w:val="clear" w:color="auto" w:fill="FFFFFF"/>
            <w:vAlign w:val="center"/>
          </w:tcPr>
          <w:p w14:paraId="261EA6FB" w14:textId="4A279EF4" w:rsidR="002D0BFB" w:rsidRPr="00B27771" w:rsidRDefault="008E1CA1" w:rsidP="002D0BFB">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2.04</w:t>
            </w:r>
            <w:r w:rsidR="005830A5">
              <w:rPr>
                <w:rFonts w:eastAsia="Calibri" w:cs="Arial"/>
                <w:color w:val="000000"/>
                <w:sz w:val="18"/>
                <w:szCs w:val="18"/>
                <w:lang w:eastAsia="en-GB"/>
              </w:rPr>
              <w:t>E</w:t>
            </w:r>
            <w:r w:rsidR="002D0BFB">
              <w:rPr>
                <w:rFonts w:eastAsia="Calibri" w:cs="Arial"/>
                <w:color w:val="000000"/>
                <w:sz w:val="18"/>
                <w:szCs w:val="18"/>
                <w:lang w:eastAsia="en-GB"/>
              </w:rPr>
              <w:t>-06</w:t>
            </w:r>
          </w:p>
        </w:tc>
        <w:tc>
          <w:tcPr>
            <w:tcW w:w="2186" w:type="dxa"/>
            <w:vAlign w:val="center"/>
          </w:tcPr>
          <w:p w14:paraId="00F8B298" w14:textId="08F50C83" w:rsidR="002D0BFB" w:rsidRPr="00B27771" w:rsidRDefault="002D0BFB" w:rsidP="008E1CA1">
            <w:pPr>
              <w:suppressAutoHyphens w:val="0"/>
              <w:autoSpaceDE w:val="0"/>
              <w:autoSpaceDN w:val="0"/>
              <w:adjustRightInd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1.</w:t>
            </w:r>
            <w:r w:rsidR="008E1CA1">
              <w:rPr>
                <w:rFonts w:eastAsia="Calibri" w:cs="Arial"/>
                <w:color w:val="000000"/>
                <w:sz w:val="18"/>
                <w:szCs w:val="18"/>
                <w:lang w:eastAsia="en-GB"/>
              </w:rPr>
              <w:t>32E</w:t>
            </w:r>
            <w:r>
              <w:rPr>
                <w:rFonts w:eastAsia="Calibri" w:cs="Arial"/>
                <w:color w:val="000000"/>
                <w:sz w:val="18"/>
                <w:szCs w:val="18"/>
                <w:lang w:eastAsia="en-GB"/>
              </w:rPr>
              <w:t>-03</w:t>
            </w:r>
          </w:p>
        </w:tc>
      </w:tr>
      <w:tr w:rsidR="002D0BFB" w:rsidRPr="00B27771" w14:paraId="3592BE4D" w14:textId="77777777" w:rsidTr="00454D17">
        <w:trPr>
          <w:trHeight w:val="20"/>
        </w:trPr>
        <w:tc>
          <w:tcPr>
            <w:tcW w:w="10029" w:type="dxa"/>
            <w:gridSpan w:val="5"/>
            <w:tcBorders>
              <w:top w:val="single" w:sz="4" w:space="0" w:color="auto"/>
              <w:left w:val="single" w:sz="4" w:space="0" w:color="auto"/>
              <w:bottom w:val="single" w:sz="4" w:space="0" w:color="auto"/>
            </w:tcBorders>
            <w:shd w:val="clear" w:color="auto" w:fill="auto"/>
            <w:vAlign w:val="center"/>
          </w:tcPr>
          <w:p w14:paraId="686CEB7B" w14:textId="120EC053" w:rsidR="002D0BFB" w:rsidRPr="00B27771" w:rsidRDefault="002D0BFB" w:rsidP="00E96618">
            <w:pPr>
              <w:keepNext/>
              <w:suppressAutoHyphens w:val="0"/>
              <w:spacing w:before="60" w:after="60" w:line="276" w:lineRule="auto"/>
              <w:rPr>
                <w:rFonts w:eastAsia="Calibri" w:cs="Arial"/>
                <w:b/>
                <w:i/>
                <w:sz w:val="18"/>
                <w:szCs w:val="18"/>
                <w:lang w:val="en-US" w:eastAsia="en-GB"/>
              </w:rPr>
            </w:pPr>
            <w:r w:rsidRPr="00B27771">
              <w:rPr>
                <w:rFonts w:eastAsia="Calibri" w:cs="Arial"/>
                <w:b/>
                <w:i/>
                <w:sz w:val="18"/>
                <w:szCs w:val="18"/>
                <w:lang w:val="en-US" w:eastAsia="en-GB"/>
              </w:rPr>
              <w:t xml:space="preserve">via slurry/manure </w:t>
            </w:r>
            <w:r w:rsidRPr="00B27771">
              <w:rPr>
                <w:rFonts w:eastAsia="Calibri" w:cs="Arial"/>
                <w:b/>
                <w:i/>
                <w:sz w:val="18"/>
                <w:szCs w:val="18"/>
                <w:lang w:eastAsia="en-GB"/>
              </w:rPr>
              <w:t>– concentrations after ten years</w:t>
            </w:r>
          </w:p>
        </w:tc>
      </w:tr>
      <w:tr w:rsidR="002D0BFB" w:rsidRPr="00B27771" w14:paraId="0884734B" w14:textId="77777777" w:rsidTr="00454D17">
        <w:trPr>
          <w:trHeight w:val="20"/>
        </w:trPr>
        <w:tc>
          <w:tcPr>
            <w:tcW w:w="1924" w:type="dxa"/>
            <w:shd w:val="clear" w:color="auto" w:fill="FFFFFF"/>
            <w:vAlign w:val="center"/>
          </w:tcPr>
          <w:p w14:paraId="599B6A09" w14:textId="77777777" w:rsidR="002D0BFB" w:rsidRPr="00B27771" w:rsidRDefault="002D0BFB" w:rsidP="002D0BFB">
            <w:pPr>
              <w:keepNext/>
              <w:suppressAutoHyphens w:val="0"/>
              <w:spacing w:before="60" w:after="60" w:line="276" w:lineRule="auto"/>
              <w:rPr>
                <w:rFonts w:eastAsia="Calibri" w:cs="Arial"/>
                <w:sz w:val="18"/>
                <w:szCs w:val="18"/>
                <w:lang w:eastAsia="en-GB"/>
              </w:rPr>
            </w:pPr>
            <w:r w:rsidRPr="00B27771">
              <w:rPr>
                <w:rFonts w:eastAsia="Calibri" w:cs="Arial"/>
                <w:sz w:val="18"/>
                <w:szCs w:val="18"/>
                <w:lang w:eastAsia="en-GB"/>
              </w:rPr>
              <w:t>grassland</w:t>
            </w:r>
          </w:p>
        </w:tc>
        <w:tc>
          <w:tcPr>
            <w:tcW w:w="1489" w:type="dxa"/>
            <w:shd w:val="clear" w:color="auto" w:fill="FFFFFF"/>
            <w:vAlign w:val="center"/>
          </w:tcPr>
          <w:p w14:paraId="3A3FC1D9" w14:textId="77777777" w:rsidR="002D0BFB" w:rsidRPr="00B27771" w:rsidRDefault="002D0BFB" w:rsidP="002D0BFB">
            <w:pPr>
              <w:keepNext/>
              <w:suppressAutoHyphens w:val="0"/>
              <w:spacing w:before="100" w:beforeAutospacing="1" w:after="100" w:afterAutospacing="1"/>
              <w:jc w:val="center"/>
              <w:rPr>
                <w:rFonts w:eastAsia="Calibri" w:cs="Arial"/>
                <w:color w:val="000000"/>
                <w:sz w:val="18"/>
                <w:szCs w:val="18"/>
                <w:lang w:eastAsia="en-GB"/>
              </w:rPr>
            </w:pPr>
            <w:r w:rsidRPr="00B27771">
              <w:rPr>
                <w:rFonts w:eastAsia="Calibri" w:cs="Arial"/>
                <w:color w:val="000000"/>
                <w:sz w:val="18"/>
                <w:szCs w:val="18"/>
                <w:lang w:eastAsia="en-GB"/>
              </w:rPr>
              <w:t>-</w:t>
            </w:r>
          </w:p>
        </w:tc>
        <w:tc>
          <w:tcPr>
            <w:tcW w:w="2417" w:type="dxa"/>
            <w:shd w:val="clear" w:color="auto" w:fill="FFFFFF"/>
            <w:vAlign w:val="center"/>
          </w:tcPr>
          <w:p w14:paraId="3AFC6EDC" w14:textId="1D937231" w:rsidR="002D0BFB" w:rsidRPr="00B27771" w:rsidRDefault="002D0BFB" w:rsidP="002D0BFB">
            <w:pPr>
              <w:keepNext/>
              <w:suppressAutoHyphens w:val="0"/>
              <w:spacing w:before="100" w:beforeAutospacing="1" w:after="100" w:afterAutospacing="1"/>
              <w:jc w:val="center"/>
              <w:rPr>
                <w:rFonts w:eastAsia="Calibri" w:cs="Arial"/>
                <w:color w:val="000000"/>
                <w:sz w:val="18"/>
                <w:szCs w:val="18"/>
                <w:lang w:eastAsia="en-GB"/>
              </w:rPr>
            </w:pPr>
            <w:r w:rsidDel="006552D7">
              <w:rPr>
                <w:rFonts w:eastAsia="Calibri" w:cs="Arial"/>
                <w:color w:val="000000"/>
                <w:sz w:val="18"/>
                <w:szCs w:val="18"/>
                <w:lang w:eastAsia="en-GB"/>
              </w:rPr>
              <w:t>2.92E-04</w:t>
            </w:r>
          </w:p>
        </w:tc>
        <w:tc>
          <w:tcPr>
            <w:tcW w:w="2013" w:type="dxa"/>
            <w:shd w:val="clear" w:color="auto" w:fill="FFFFFF"/>
            <w:vAlign w:val="center"/>
          </w:tcPr>
          <w:p w14:paraId="0135BD46" w14:textId="5F942265" w:rsidR="002D0BFB" w:rsidRPr="00B27771" w:rsidRDefault="002D0BFB" w:rsidP="006552D7">
            <w:pPr>
              <w:keepNext/>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1.</w:t>
            </w:r>
            <w:r w:rsidDel="006552D7">
              <w:rPr>
                <w:rFonts w:eastAsia="Calibri" w:cs="Arial"/>
                <w:color w:val="000000"/>
                <w:sz w:val="18"/>
                <w:szCs w:val="18"/>
                <w:lang w:eastAsia="en-GB"/>
              </w:rPr>
              <w:t>37E</w:t>
            </w:r>
            <w:r>
              <w:rPr>
                <w:rFonts w:eastAsia="Calibri" w:cs="Arial"/>
                <w:color w:val="000000"/>
                <w:sz w:val="18"/>
                <w:szCs w:val="18"/>
                <w:lang w:eastAsia="en-GB"/>
              </w:rPr>
              <w:t>-03</w:t>
            </w:r>
          </w:p>
        </w:tc>
        <w:tc>
          <w:tcPr>
            <w:tcW w:w="2186" w:type="dxa"/>
            <w:vAlign w:val="center"/>
          </w:tcPr>
          <w:p w14:paraId="05AAE79F" w14:textId="388A177A" w:rsidR="002D0BFB" w:rsidRPr="00417835" w:rsidRDefault="002D0BFB" w:rsidP="002D0BFB">
            <w:pPr>
              <w:keepNext/>
              <w:suppressAutoHyphens w:val="0"/>
              <w:spacing w:before="100" w:beforeAutospacing="1" w:after="100" w:afterAutospacing="1"/>
              <w:jc w:val="center"/>
              <w:rPr>
                <w:rFonts w:eastAsia="Calibri" w:cs="Arial"/>
                <w:b/>
                <w:color w:val="000000"/>
                <w:sz w:val="18"/>
                <w:szCs w:val="18"/>
                <w:lang w:eastAsia="en-GB"/>
              </w:rPr>
            </w:pPr>
            <w:r w:rsidRPr="00417835" w:rsidDel="006552D7">
              <w:rPr>
                <w:rFonts w:eastAsia="Calibri" w:cs="Arial"/>
                <w:b/>
                <w:color w:val="000000"/>
                <w:sz w:val="18"/>
                <w:szCs w:val="18"/>
                <w:lang w:eastAsia="en-GB"/>
              </w:rPr>
              <w:t>2.92</w:t>
            </w:r>
          </w:p>
        </w:tc>
      </w:tr>
      <w:tr w:rsidR="002D0BFB" w:rsidRPr="00B27771" w14:paraId="346F1DD6" w14:textId="77777777" w:rsidTr="00454D17">
        <w:trPr>
          <w:trHeight w:val="20"/>
        </w:trPr>
        <w:tc>
          <w:tcPr>
            <w:tcW w:w="1924" w:type="dxa"/>
            <w:shd w:val="clear" w:color="auto" w:fill="FFFFFF"/>
            <w:vAlign w:val="center"/>
          </w:tcPr>
          <w:p w14:paraId="5C47A984" w14:textId="77777777" w:rsidR="002D0BFB" w:rsidRPr="00B27771" w:rsidRDefault="002D0BFB" w:rsidP="002D0BFB">
            <w:pPr>
              <w:suppressAutoHyphens w:val="0"/>
              <w:spacing w:before="60" w:after="60" w:line="276" w:lineRule="auto"/>
              <w:rPr>
                <w:rFonts w:eastAsia="Calibri" w:cs="Arial"/>
                <w:sz w:val="18"/>
                <w:szCs w:val="18"/>
                <w:lang w:eastAsia="en-GB"/>
              </w:rPr>
            </w:pPr>
            <w:r w:rsidRPr="00B27771">
              <w:rPr>
                <w:rFonts w:eastAsia="Calibri" w:cs="Arial"/>
                <w:sz w:val="18"/>
                <w:szCs w:val="18"/>
                <w:lang w:eastAsia="en-GB"/>
              </w:rPr>
              <w:t>arable land</w:t>
            </w:r>
          </w:p>
        </w:tc>
        <w:tc>
          <w:tcPr>
            <w:tcW w:w="1489" w:type="dxa"/>
            <w:shd w:val="clear" w:color="auto" w:fill="FFFFFF"/>
            <w:vAlign w:val="center"/>
          </w:tcPr>
          <w:p w14:paraId="443F2066" w14:textId="77777777" w:rsidR="002D0BFB" w:rsidRPr="00B27771" w:rsidRDefault="002D0BFB" w:rsidP="002D0BFB">
            <w:pPr>
              <w:suppressAutoHyphens w:val="0"/>
              <w:spacing w:before="100" w:beforeAutospacing="1" w:after="100" w:afterAutospacing="1"/>
              <w:jc w:val="center"/>
              <w:rPr>
                <w:rFonts w:eastAsia="Calibri" w:cs="Arial"/>
                <w:color w:val="000000"/>
                <w:sz w:val="18"/>
                <w:szCs w:val="18"/>
                <w:lang w:eastAsia="en-GB"/>
              </w:rPr>
            </w:pPr>
            <w:r w:rsidRPr="00B27771">
              <w:rPr>
                <w:rFonts w:eastAsia="Calibri" w:cs="Arial"/>
                <w:color w:val="000000"/>
                <w:sz w:val="18"/>
                <w:szCs w:val="18"/>
                <w:lang w:eastAsia="en-GB"/>
              </w:rPr>
              <w:t>-</w:t>
            </w:r>
          </w:p>
        </w:tc>
        <w:tc>
          <w:tcPr>
            <w:tcW w:w="2417" w:type="dxa"/>
            <w:shd w:val="clear" w:color="auto" w:fill="FFFFFF"/>
            <w:vAlign w:val="center"/>
          </w:tcPr>
          <w:p w14:paraId="44CAC73D" w14:textId="53DA0812" w:rsidR="002D0BFB" w:rsidRPr="00B27771" w:rsidRDefault="002D0BFB" w:rsidP="006552D7">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2.</w:t>
            </w:r>
            <w:r w:rsidDel="006552D7">
              <w:rPr>
                <w:rFonts w:eastAsia="Calibri" w:cs="Arial"/>
                <w:color w:val="000000"/>
                <w:sz w:val="18"/>
                <w:szCs w:val="18"/>
                <w:lang w:eastAsia="en-GB"/>
              </w:rPr>
              <w:t>47E</w:t>
            </w:r>
            <w:r>
              <w:rPr>
                <w:rFonts w:eastAsia="Calibri" w:cs="Arial"/>
                <w:color w:val="000000"/>
                <w:sz w:val="18"/>
                <w:szCs w:val="18"/>
                <w:lang w:eastAsia="en-GB"/>
              </w:rPr>
              <w:t>-04</w:t>
            </w:r>
          </w:p>
        </w:tc>
        <w:tc>
          <w:tcPr>
            <w:tcW w:w="2013" w:type="dxa"/>
            <w:shd w:val="clear" w:color="auto" w:fill="FFFFFF"/>
            <w:vAlign w:val="center"/>
          </w:tcPr>
          <w:p w14:paraId="324A555D" w14:textId="077867BA" w:rsidR="002D0BFB" w:rsidRPr="00B27771" w:rsidRDefault="002D0BFB" w:rsidP="006552D7">
            <w:pPr>
              <w:suppressAutoHyphens w:val="0"/>
              <w:spacing w:before="100" w:beforeAutospacing="1" w:after="100" w:afterAutospacing="1"/>
              <w:jc w:val="center"/>
              <w:rPr>
                <w:rFonts w:eastAsia="Calibri" w:cs="Arial"/>
                <w:color w:val="000000"/>
                <w:sz w:val="18"/>
                <w:szCs w:val="18"/>
                <w:lang w:eastAsia="en-GB"/>
              </w:rPr>
            </w:pPr>
            <w:r>
              <w:rPr>
                <w:rFonts w:eastAsia="Calibri" w:cs="Arial"/>
                <w:color w:val="000000"/>
                <w:sz w:val="18"/>
                <w:szCs w:val="18"/>
                <w:lang w:eastAsia="en-GB"/>
              </w:rPr>
              <w:t>1.</w:t>
            </w:r>
            <w:r w:rsidDel="006552D7">
              <w:rPr>
                <w:rFonts w:eastAsia="Calibri" w:cs="Arial"/>
                <w:color w:val="000000"/>
                <w:sz w:val="18"/>
                <w:szCs w:val="18"/>
                <w:lang w:eastAsia="en-GB"/>
              </w:rPr>
              <w:t>16E</w:t>
            </w:r>
            <w:r>
              <w:rPr>
                <w:rFonts w:eastAsia="Calibri" w:cs="Arial"/>
                <w:color w:val="000000"/>
                <w:sz w:val="18"/>
                <w:szCs w:val="18"/>
                <w:lang w:eastAsia="en-GB"/>
              </w:rPr>
              <w:t>-03</w:t>
            </w:r>
          </w:p>
        </w:tc>
        <w:tc>
          <w:tcPr>
            <w:tcW w:w="2186" w:type="dxa"/>
            <w:vAlign w:val="center"/>
          </w:tcPr>
          <w:p w14:paraId="68B9A155" w14:textId="444076FE" w:rsidR="002D0BFB" w:rsidRPr="00417835" w:rsidRDefault="002D0BFB" w:rsidP="006552D7">
            <w:pPr>
              <w:suppressAutoHyphens w:val="0"/>
              <w:spacing w:before="100" w:beforeAutospacing="1" w:after="100" w:afterAutospacing="1"/>
              <w:jc w:val="center"/>
              <w:rPr>
                <w:rFonts w:eastAsia="Calibri" w:cs="Arial"/>
                <w:b/>
                <w:color w:val="000000"/>
                <w:sz w:val="18"/>
                <w:szCs w:val="18"/>
                <w:lang w:eastAsia="en-GB"/>
              </w:rPr>
            </w:pPr>
            <w:r w:rsidRPr="00417835">
              <w:rPr>
                <w:rFonts w:eastAsia="Calibri" w:cs="Arial"/>
                <w:b/>
                <w:color w:val="000000"/>
                <w:sz w:val="18"/>
                <w:szCs w:val="18"/>
                <w:lang w:eastAsia="en-GB"/>
              </w:rPr>
              <w:t>2.</w:t>
            </w:r>
            <w:r w:rsidRPr="00417835" w:rsidDel="006552D7">
              <w:rPr>
                <w:rFonts w:eastAsia="Calibri" w:cs="Arial"/>
                <w:b/>
                <w:color w:val="000000"/>
                <w:sz w:val="18"/>
                <w:szCs w:val="18"/>
                <w:lang w:eastAsia="en-GB"/>
              </w:rPr>
              <w:t>47</w:t>
            </w:r>
          </w:p>
        </w:tc>
      </w:tr>
    </w:tbl>
    <w:p w14:paraId="25D85A0F" w14:textId="77777777" w:rsidR="002D0BFB" w:rsidRDefault="002D0BFB" w:rsidP="002D0BFB">
      <w:pPr>
        <w:rPr>
          <w:lang w:val="en-US"/>
        </w:rPr>
      </w:pPr>
    </w:p>
    <w:p w14:paraId="5E6CCD3F" w14:textId="77777777" w:rsidR="00567E0E" w:rsidRDefault="00567E0E" w:rsidP="00567E0E">
      <w:pPr>
        <w:rPr>
          <w:lang w:val="en-US"/>
        </w:rPr>
      </w:pPr>
    </w:p>
    <w:p w14:paraId="4D553B9E" w14:textId="77777777" w:rsidR="00567E0E" w:rsidRDefault="00567E0E" w:rsidP="00567E0E">
      <w:pPr>
        <w:rPr>
          <w:rFonts w:eastAsia="Calibri"/>
          <w:b/>
          <w:i/>
          <w:sz w:val="22"/>
          <w:szCs w:val="22"/>
          <w:lang w:eastAsia="en-US"/>
        </w:rPr>
      </w:pPr>
      <w:r>
        <w:rPr>
          <w:rFonts w:eastAsia="Calibri"/>
          <w:b/>
          <w:i/>
          <w:sz w:val="22"/>
          <w:szCs w:val="22"/>
          <w:lang w:eastAsia="en-US"/>
        </w:rPr>
        <w:t>Primary and secondary poisoning</w:t>
      </w:r>
    </w:p>
    <w:p w14:paraId="59DCF27D" w14:textId="77777777" w:rsidR="00567E0E" w:rsidRDefault="00567E0E" w:rsidP="00567E0E">
      <w:pPr>
        <w:spacing w:line="260" w:lineRule="atLeast"/>
        <w:rPr>
          <w:rFonts w:eastAsia="Calibri"/>
          <w:b/>
          <w:i/>
          <w:sz w:val="22"/>
          <w:szCs w:val="22"/>
          <w:lang w:eastAsia="en-US"/>
        </w:rPr>
      </w:pPr>
    </w:p>
    <w:p w14:paraId="0C4F9A4D" w14:textId="77777777" w:rsidR="00567E0E" w:rsidRDefault="00567E0E" w:rsidP="00567E0E">
      <w:pPr>
        <w:rPr>
          <w:rFonts w:ascii="Times New Roman" w:eastAsia="Calibri" w:hAnsi="Times New Roman" w:cs="Times New Roman"/>
          <w:i/>
          <w:lang w:eastAsia="en-US"/>
        </w:rPr>
      </w:pPr>
      <w:r>
        <w:rPr>
          <w:rFonts w:eastAsia="Calibri"/>
          <w:u w:val="single"/>
          <w:lang w:eastAsia="en-US"/>
        </w:rPr>
        <w:t xml:space="preserve">Primary poisoning </w:t>
      </w:r>
    </w:p>
    <w:p w14:paraId="64DF3D3C" w14:textId="77777777" w:rsidR="00567E0E" w:rsidRDefault="00567E0E" w:rsidP="00567E0E">
      <w:pPr>
        <w:spacing w:before="60" w:line="276" w:lineRule="auto"/>
        <w:rPr>
          <w:rFonts w:eastAsia="Arial" w:cs="Arial"/>
          <w:color w:val="000000"/>
          <w:lang w:eastAsia="en-GB" w:bidi="en-GB"/>
        </w:rPr>
      </w:pPr>
    </w:p>
    <w:p w14:paraId="633D08A7" w14:textId="77777777" w:rsidR="00567E0E" w:rsidRDefault="00567E0E" w:rsidP="00567E0E">
      <w:pPr>
        <w:spacing w:before="60" w:line="276" w:lineRule="auto"/>
        <w:rPr>
          <w:rFonts w:ascii="Times New Roman" w:eastAsia="Calibri" w:hAnsi="Times New Roman" w:cs="Times New Roman"/>
          <w:i/>
          <w:lang w:eastAsia="en-US"/>
        </w:rPr>
      </w:pPr>
      <w:r w:rsidRPr="000C2510">
        <w:rPr>
          <w:rFonts w:eastAsia="Arial" w:cs="Arial"/>
          <w:color w:val="000000"/>
          <w:lang w:eastAsia="en-GB" w:bidi="en-GB"/>
        </w:rPr>
        <w:t>Primary poisoning via the direct consumption of the products by wild birds and mammals is unlikely. Therefore, primary poisoning is not considered relevant for this evaluation.</w:t>
      </w:r>
    </w:p>
    <w:p w14:paraId="3781D10D" w14:textId="77777777" w:rsidR="00567E0E" w:rsidRDefault="00567E0E" w:rsidP="00567E0E">
      <w:pPr>
        <w:rPr>
          <w:rFonts w:ascii="Times New Roman" w:eastAsia="Calibri" w:hAnsi="Times New Roman" w:cs="Times New Roman"/>
          <w:i/>
          <w:lang w:eastAsia="en-US"/>
        </w:rPr>
      </w:pPr>
    </w:p>
    <w:p w14:paraId="0A3DA629" w14:textId="77777777" w:rsidR="00567E0E" w:rsidRDefault="00567E0E" w:rsidP="00567E0E">
      <w:pPr>
        <w:rPr>
          <w:rFonts w:eastAsia="Calibri"/>
          <w:u w:val="single"/>
          <w:lang w:eastAsia="en-US"/>
        </w:rPr>
      </w:pPr>
      <w:r>
        <w:rPr>
          <w:rFonts w:eastAsia="Calibri"/>
          <w:u w:val="single"/>
          <w:lang w:eastAsia="en-US"/>
        </w:rPr>
        <w:t>Secondary poisoning</w:t>
      </w:r>
    </w:p>
    <w:p w14:paraId="7A1C1C7A" w14:textId="77777777" w:rsidR="00567E0E" w:rsidRDefault="00567E0E" w:rsidP="00567E0E">
      <w:pPr>
        <w:spacing w:line="260" w:lineRule="atLeast"/>
        <w:rPr>
          <w:rFonts w:eastAsia="Calibri"/>
          <w:u w:val="single"/>
          <w:lang w:eastAsia="en-US"/>
        </w:rPr>
      </w:pPr>
    </w:p>
    <w:p w14:paraId="237D6D42" w14:textId="3E60762F" w:rsidR="00567E0E" w:rsidRDefault="00567E0E" w:rsidP="00567E0E">
      <w:pPr>
        <w:spacing w:line="260" w:lineRule="atLeast"/>
        <w:jc w:val="both"/>
      </w:pPr>
      <w:r w:rsidRPr="00295FCA">
        <w:t>The secondary poisoning assessment is not relevant for th</w:t>
      </w:r>
      <w:r>
        <w:t>e active</w:t>
      </w:r>
      <w:r w:rsidRPr="00295FCA">
        <w:t xml:space="preserve"> substance</w:t>
      </w:r>
      <w:r>
        <w:t>s</w:t>
      </w:r>
      <w:r w:rsidRPr="00295FCA">
        <w:t xml:space="preserve"> </w:t>
      </w:r>
      <w:r>
        <w:t xml:space="preserve">iodine and </w:t>
      </w:r>
      <w:r>
        <w:rPr>
          <w:rFonts w:eastAsia="Calibri" w:cs="Times New Roman"/>
          <w:lang w:eastAsia="en-US"/>
        </w:rPr>
        <w:t>L(+) l</w:t>
      </w:r>
      <w:r w:rsidRPr="005B7FC6">
        <w:rPr>
          <w:rFonts w:eastAsia="Calibri" w:cs="Times New Roman"/>
          <w:lang w:eastAsia="en-US"/>
        </w:rPr>
        <w:t>actic acid</w:t>
      </w:r>
      <w:r>
        <w:rPr>
          <w:rFonts w:eastAsia="Calibri" w:cs="Times New Roman"/>
          <w:lang w:eastAsia="en-US"/>
        </w:rPr>
        <w:t xml:space="preserve">. </w:t>
      </w:r>
      <w:r>
        <w:rPr>
          <w:rFonts w:eastAsia="Calibri" w:cs="Times New Roman"/>
          <w:iCs/>
          <w:lang w:eastAsia="en-US"/>
        </w:rPr>
        <w:t>I</w:t>
      </w:r>
      <w:r w:rsidRPr="00B70C55">
        <w:rPr>
          <w:rFonts w:eastAsia="Calibri" w:cs="Times New Roman"/>
          <w:iCs/>
          <w:lang w:eastAsia="en-US"/>
        </w:rPr>
        <w:t>odine is an essential element</w:t>
      </w:r>
      <w:r>
        <w:rPr>
          <w:rFonts w:eastAsia="Calibri" w:cs="Times New Roman"/>
          <w:iCs/>
          <w:lang w:eastAsia="en-US"/>
        </w:rPr>
        <w:t xml:space="preserve"> and</w:t>
      </w:r>
      <w:r w:rsidRPr="00B70C55">
        <w:rPr>
          <w:rFonts w:eastAsia="Calibri" w:cs="Times New Roman"/>
          <w:iCs/>
          <w:lang w:eastAsia="en-US"/>
        </w:rPr>
        <w:t xml:space="preserve"> internal concentrations are expected to be regulated within small boundaries</w:t>
      </w:r>
      <w:r>
        <w:rPr>
          <w:rFonts w:eastAsia="Calibri" w:cs="Times New Roman"/>
          <w:iCs/>
          <w:lang w:eastAsia="en-US"/>
        </w:rPr>
        <w:t>.</w:t>
      </w:r>
      <w:r>
        <w:rPr>
          <w:rFonts w:eastAsia="Calibri" w:cs="Times New Roman"/>
          <w:lang w:eastAsia="en-US"/>
        </w:rPr>
        <w:t xml:space="preserve"> These substances are</w:t>
      </w:r>
      <w:r w:rsidRPr="00295FCA">
        <w:t xml:space="preserve"> unlike</w:t>
      </w:r>
      <w:r>
        <w:t>ly</w:t>
      </w:r>
      <w:r w:rsidRPr="00295FCA">
        <w:t xml:space="preserve"> to bioaccumulate in aquatic or terrestrial environment according to the </w:t>
      </w:r>
      <w:r>
        <w:t>ECHA Guidance Vol IV Part B+C</w:t>
      </w:r>
      <w:r w:rsidRPr="00295FCA">
        <w:t xml:space="preserve">. </w:t>
      </w:r>
      <w:r>
        <w:t>They</w:t>
      </w:r>
      <w:r w:rsidRPr="00295FCA">
        <w:t xml:space="preserve"> ha</w:t>
      </w:r>
      <w:r>
        <w:t>ve</w:t>
      </w:r>
      <w:r w:rsidRPr="00295FCA">
        <w:t xml:space="preserve"> a low Log Kow </w:t>
      </w:r>
      <w:r>
        <w:t>(</w:t>
      </w:r>
      <w:r w:rsidR="002D0BFB">
        <w:t>2.49 for Iodine and -0.74 for L(+)Lactic acid</w:t>
      </w:r>
      <w:r>
        <w:t>)</w:t>
      </w:r>
      <w:r w:rsidRPr="00295FCA">
        <w:t xml:space="preserve"> and</w:t>
      </w:r>
      <w:r w:rsidR="002D0BFB">
        <w:t xml:space="preserve"> t</w:t>
      </w:r>
      <w:r w:rsidRPr="00295FCA">
        <w:t xml:space="preserve">hese values indicate a negligible potential for bioconcentration in biota and no accumulation of </w:t>
      </w:r>
      <w:r>
        <w:t xml:space="preserve">this </w:t>
      </w:r>
      <w:r w:rsidRPr="00295FCA">
        <w:t>substance in the food chain is expected.</w:t>
      </w:r>
    </w:p>
    <w:p w14:paraId="1DD5370C" w14:textId="77777777" w:rsidR="00567E0E" w:rsidRDefault="00567E0E" w:rsidP="00567E0E">
      <w:pPr>
        <w:spacing w:line="260" w:lineRule="atLeast"/>
        <w:jc w:val="both"/>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457"/>
        <w:gridCol w:w="1457"/>
        <w:gridCol w:w="1754"/>
      </w:tblGrid>
      <w:tr w:rsidR="00567E0E" w:rsidRPr="005B7FC6" w14:paraId="79BDA254" w14:textId="77777777" w:rsidTr="00261A29">
        <w:trPr>
          <w:trHeight w:val="46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17AD986F" w14:textId="77777777" w:rsidR="00567E0E" w:rsidRPr="0088180A" w:rsidRDefault="00567E0E" w:rsidP="00261A29">
            <w:pPr>
              <w:rPr>
                <w:rFonts w:eastAsia="Calibri" w:cs="Times New Roman"/>
                <w:b/>
                <w:sz w:val="18"/>
                <w:szCs w:val="18"/>
                <w:lang w:eastAsia="en-GB"/>
              </w:rPr>
            </w:pPr>
            <w:r w:rsidRPr="0088180A">
              <w:rPr>
                <w:rFonts w:eastAsia="Calibri" w:cs="Times New Roman"/>
                <w:b/>
                <w:sz w:val="18"/>
                <w:szCs w:val="18"/>
                <w:lang w:eastAsia="en-GB"/>
              </w:rPr>
              <w:t>Summary table on Log K</w:t>
            </w:r>
            <w:r w:rsidRPr="0088180A">
              <w:rPr>
                <w:rFonts w:eastAsia="Calibri" w:cs="Times New Roman"/>
                <w:b/>
                <w:sz w:val="18"/>
                <w:szCs w:val="18"/>
                <w:vertAlign w:val="subscript"/>
                <w:lang w:eastAsia="en-GB"/>
              </w:rPr>
              <w:t>ow</w:t>
            </w:r>
            <w:r w:rsidRPr="0088180A">
              <w:rPr>
                <w:rFonts w:eastAsia="Calibri" w:cs="Times New Roman"/>
                <w:b/>
                <w:sz w:val="18"/>
                <w:szCs w:val="18"/>
                <w:lang w:eastAsia="en-GB"/>
              </w:rPr>
              <w:t xml:space="preserve"> and BCF values</w:t>
            </w:r>
          </w:p>
        </w:tc>
      </w:tr>
      <w:tr w:rsidR="00567E0E" w:rsidRPr="005B7FC6" w14:paraId="200ACE0C" w14:textId="77777777" w:rsidTr="00261A29">
        <w:trPr>
          <w:trHeight w:val="417"/>
          <w:jc w:val="center"/>
        </w:trPr>
        <w:tc>
          <w:tcPr>
            <w:tcW w:w="2354" w:type="pct"/>
            <w:tcBorders>
              <w:top w:val="single" w:sz="4" w:space="0" w:color="auto"/>
              <w:left w:val="single" w:sz="4" w:space="0" w:color="auto"/>
              <w:bottom w:val="single" w:sz="4" w:space="0" w:color="auto"/>
              <w:right w:val="single" w:sz="4" w:space="0" w:color="auto"/>
            </w:tcBorders>
            <w:shd w:val="clear" w:color="auto" w:fill="FFFFFF"/>
            <w:vAlign w:val="center"/>
          </w:tcPr>
          <w:p w14:paraId="7B095FB5" w14:textId="77777777" w:rsidR="00567E0E" w:rsidRPr="0088180A" w:rsidRDefault="00567E0E" w:rsidP="00261A29">
            <w:pPr>
              <w:suppressAutoHyphens w:val="0"/>
              <w:spacing w:line="260" w:lineRule="atLeast"/>
              <w:jc w:val="both"/>
              <w:rPr>
                <w:rFonts w:eastAsia="Calibri" w:cs="Times New Roman"/>
                <w:sz w:val="18"/>
                <w:szCs w:val="18"/>
                <w:lang w:eastAsia="en-GB"/>
              </w:rPr>
            </w:pP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A991E0" w14:textId="77777777" w:rsidR="00567E0E" w:rsidRPr="0088180A" w:rsidRDefault="00567E0E" w:rsidP="00261A29">
            <w:pPr>
              <w:suppressAutoHyphens w:val="0"/>
              <w:spacing w:line="260" w:lineRule="atLeast"/>
              <w:jc w:val="both"/>
              <w:rPr>
                <w:rFonts w:eastAsia="Calibri" w:cs="Times New Roman"/>
                <w:b/>
                <w:sz w:val="18"/>
                <w:szCs w:val="18"/>
                <w:lang w:eastAsia="en-GB"/>
              </w:rPr>
            </w:pPr>
            <w:r w:rsidRPr="0088180A">
              <w:rPr>
                <w:rFonts w:eastAsia="Calibri" w:cs="Times New Roman"/>
                <w:b/>
                <w:sz w:val="18"/>
                <w:szCs w:val="18"/>
                <w:lang w:eastAsia="en-GB"/>
              </w:rPr>
              <w:t>Log K</w:t>
            </w:r>
            <w:r w:rsidRPr="0088180A">
              <w:rPr>
                <w:rFonts w:eastAsia="Calibri" w:cs="Times New Roman"/>
                <w:b/>
                <w:sz w:val="18"/>
                <w:szCs w:val="18"/>
                <w:vertAlign w:val="subscript"/>
                <w:lang w:eastAsia="en-GB"/>
              </w:rPr>
              <w:t>ow</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4E003C" w14:textId="77777777" w:rsidR="00567E0E" w:rsidRPr="0088180A" w:rsidRDefault="00567E0E" w:rsidP="00261A29">
            <w:pPr>
              <w:suppressAutoHyphens w:val="0"/>
              <w:spacing w:line="260" w:lineRule="atLeast"/>
              <w:jc w:val="both"/>
              <w:rPr>
                <w:rFonts w:eastAsia="Calibri" w:cs="Times New Roman"/>
                <w:b/>
                <w:sz w:val="18"/>
                <w:szCs w:val="18"/>
                <w:lang w:eastAsia="en-GB"/>
              </w:rPr>
            </w:pPr>
            <w:r w:rsidRPr="0088180A">
              <w:rPr>
                <w:rFonts w:eastAsia="Calibri" w:cs="Times New Roman"/>
                <w:b/>
                <w:sz w:val="18"/>
                <w:szCs w:val="18"/>
                <w:lang w:eastAsia="en-GB"/>
              </w:rPr>
              <w:t xml:space="preserve">BCF </w:t>
            </w:r>
            <w:r w:rsidRPr="0088180A">
              <w:rPr>
                <w:rFonts w:eastAsia="Calibri" w:cs="Times New Roman"/>
                <w:b/>
                <w:sz w:val="18"/>
                <w:szCs w:val="18"/>
                <w:vertAlign w:val="subscript"/>
                <w:lang w:eastAsia="en-GB"/>
              </w:rPr>
              <w:t>fish</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6BF10A" w14:textId="77777777" w:rsidR="00567E0E" w:rsidRPr="0088180A" w:rsidRDefault="00567E0E" w:rsidP="00261A29">
            <w:pPr>
              <w:suppressAutoHyphens w:val="0"/>
              <w:spacing w:line="260" w:lineRule="atLeast"/>
              <w:jc w:val="both"/>
              <w:rPr>
                <w:rFonts w:eastAsia="Calibri" w:cs="Times New Roman"/>
                <w:b/>
                <w:sz w:val="18"/>
                <w:szCs w:val="18"/>
                <w:lang w:eastAsia="en-GB"/>
              </w:rPr>
            </w:pPr>
            <w:r w:rsidRPr="0088180A">
              <w:rPr>
                <w:rFonts w:eastAsia="Calibri" w:cs="Times New Roman"/>
                <w:b/>
                <w:sz w:val="18"/>
                <w:szCs w:val="18"/>
                <w:lang w:eastAsia="en-GB"/>
              </w:rPr>
              <w:t xml:space="preserve">BCF </w:t>
            </w:r>
            <w:r w:rsidRPr="0088180A">
              <w:rPr>
                <w:rFonts w:eastAsia="Calibri" w:cs="Times New Roman"/>
                <w:b/>
                <w:sz w:val="18"/>
                <w:szCs w:val="18"/>
                <w:vertAlign w:val="subscript"/>
                <w:lang w:eastAsia="en-GB"/>
              </w:rPr>
              <w:t>earthworm</w:t>
            </w:r>
          </w:p>
        </w:tc>
      </w:tr>
      <w:tr w:rsidR="00567E0E" w:rsidRPr="005B7FC6" w14:paraId="35BEBB44" w14:textId="77777777" w:rsidTr="00261A29">
        <w:trPr>
          <w:trHeight w:val="417"/>
          <w:jc w:val="center"/>
        </w:trPr>
        <w:tc>
          <w:tcPr>
            <w:tcW w:w="2354" w:type="pct"/>
            <w:tcBorders>
              <w:top w:val="single" w:sz="4" w:space="0" w:color="auto"/>
              <w:left w:val="single" w:sz="4" w:space="0" w:color="auto"/>
              <w:bottom w:val="single" w:sz="4" w:space="0" w:color="auto"/>
              <w:right w:val="single" w:sz="4" w:space="0" w:color="auto"/>
            </w:tcBorders>
            <w:shd w:val="clear" w:color="auto" w:fill="FFFFFF"/>
            <w:vAlign w:val="center"/>
          </w:tcPr>
          <w:p w14:paraId="598F6BCA" w14:textId="77777777" w:rsidR="00567E0E" w:rsidRPr="0088180A" w:rsidRDefault="00567E0E" w:rsidP="00261A29">
            <w:pPr>
              <w:suppressAutoHyphens w:val="0"/>
              <w:spacing w:line="260" w:lineRule="atLeast"/>
              <w:jc w:val="both"/>
              <w:rPr>
                <w:rFonts w:eastAsia="Calibri" w:cs="Times New Roman"/>
                <w:sz w:val="18"/>
                <w:szCs w:val="18"/>
                <w:lang w:eastAsia="en-GB"/>
              </w:rPr>
            </w:pPr>
            <w:r>
              <w:rPr>
                <w:rFonts w:eastAsia="Calibri" w:cs="Times New Roman"/>
                <w:sz w:val="18"/>
                <w:szCs w:val="18"/>
                <w:lang w:eastAsia="en-GB"/>
              </w:rPr>
              <w:t>Iodine</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6E26FE85" w14:textId="77777777" w:rsidR="00567E0E" w:rsidRPr="003155BD" w:rsidRDefault="00567E0E" w:rsidP="00261A29">
            <w:pPr>
              <w:suppressAutoHyphens w:val="0"/>
              <w:spacing w:line="260" w:lineRule="atLeast"/>
              <w:jc w:val="center"/>
              <w:rPr>
                <w:rFonts w:eastAsia="Calibri" w:cs="Times New Roman"/>
                <w:sz w:val="18"/>
                <w:szCs w:val="18"/>
                <w:lang w:eastAsia="en-GB"/>
              </w:rPr>
            </w:pPr>
            <w:r w:rsidRPr="003155BD">
              <w:rPr>
                <w:rFonts w:eastAsia="Calibri" w:cs="Times New Roman"/>
                <w:sz w:val="18"/>
                <w:szCs w:val="18"/>
                <w:lang w:eastAsia="en-GB"/>
              </w:rPr>
              <w:t>2.49</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68FF21DC" w14:textId="77777777" w:rsidR="00567E0E" w:rsidRPr="003155BD" w:rsidRDefault="00567E0E" w:rsidP="00261A29">
            <w:pPr>
              <w:suppressAutoHyphens w:val="0"/>
              <w:spacing w:line="260" w:lineRule="atLeast"/>
              <w:jc w:val="center"/>
              <w:rPr>
                <w:rFonts w:eastAsia="Calibri" w:cs="Times New Roman"/>
                <w:sz w:val="18"/>
                <w:szCs w:val="18"/>
                <w:lang w:eastAsia="en-GB"/>
              </w:rPr>
            </w:pPr>
            <w:r w:rsidRPr="003155BD">
              <w:rPr>
                <w:rFonts w:eastAsia="Calibri" w:cs="Times New Roman"/>
                <w:sz w:val="18"/>
                <w:szCs w:val="18"/>
                <w:lang w:eastAsia="en-GB"/>
              </w:rPr>
              <w:t>-</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1EC2E458" w14:textId="77777777" w:rsidR="00567E0E" w:rsidRPr="003155BD" w:rsidRDefault="00567E0E" w:rsidP="00261A29">
            <w:pPr>
              <w:suppressAutoHyphens w:val="0"/>
              <w:spacing w:line="260" w:lineRule="atLeast"/>
              <w:jc w:val="center"/>
              <w:rPr>
                <w:rFonts w:eastAsia="Calibri" w:cs="Times New Roman"/>
                <w:sz w:val="18"/>
                <w:szCs w:val="18"/>
                <w:lang w:eastAsia="en-GB"/>
              </w:rPr>
            </w:pPr>
            <w:r w:rsidRPr="003155BD">
              <w:rPr>
                <w:rFonts w:eastAsia="Calibri" w:cs="Times New Roman"/>
                <w:sz w:val="18"/>
                <w:szCs w:val="18"/>
                <w:lang w:eastAsia="en-GB"/>
              </w:rPr>
              <w:t>-</w:t>
            </w:r>
          </w:p>
        </w:tc>
      </w:tr>
      <w:tr w:rsidR="00567E0E" w:rsidRPr="005B7FC6" w14:paraId="3B7ED5C6" w14:textId="77777777" w:rsidTr="00261A29">
        <w:trPr>
          <w:trHeight w:val="417"/>
          <w:jc w:val="center"/>
        </w:trPr>
        <w:tc>
          <w:tcPr>
            <w:tcW w:w="2354" w:type="pct"/>
            <w:tcBorders>
              <w:top w:val="single" w:sz="4" w:space="0" w:color="auto"/>
              <w:left w:val="single" w:sz="4" w:space="0" w:color="auto"/>
              <w:bottom w:val="single" w:sz="4" w:space="0" w:color="auto"/>
              <w:right w:val="single" w:sz="4" w:space="0" w:color="auto"/>
            </w:tcBorders>
            <w:shd w:val="clear" w:color="auto" w:fill="FFFFFF"/>
            <w:vAlign w:val="center"/>
          </w:tcPr>
          <w:p w14:paraId="7122FB7D" w14:textId="77777777" w:rsidR="00567E0E" w:rsidRDefault="00567E0E" w:rsidP="00261A29">
            <w:pPr>
              <w:suppressAutoHyphens w:val="0"/>
              <w:spacing w:line="260" w:lineRule="atLeast"/>
              <w:jc w:val="both"/>
              <w:rPr>
                <w:rFonts w:eastAsia="Calibri" w:cs="Times New Roman"/>
                <w:sz w:val="18"/>
                <w:szCs w:val="18"/>
                <w:lang w:eastAsia="en-GB"/>
              </w:rPr>
            </w:pPr>
            <w:r w:rsidRPr="0088180A">
              <w:rPr>
                <w:rFonts w:eastAsia="Calibri" w:cs="Times New Roman"/>
                <w:sz w:val="18"/>
                <w:szCs w:val="18"/>
                <w:lang w:eastAsia="de-DE"/>
              </w:rPr>
              <w:t>L</w:t>
            </w:r>
            <w:r w:rsidRPr="0088180A">
              <w:rPr>
                <w:rFonts w:eastAsia="Calibri" w:cs="Times New Roman"/>
                <w:sz w:val="18"/>
                <w:szCs w:val="18"/>
                <w:lang w:eastAsia="en-GB" w:bidi="en-GB"/>
              </w:rPr>
              <w:t>(+) L</w:t>
            </w:r>
            <w:r w:rsidRPr="0088180A">
              <w:rPr>
                <w:rFonts w:eastAsia="Calibri" w:cs="Times New Roman"/>
                <w:sz w:val="18"/>
                <w:szCs w:val="18"/>
                <w:lang w:eastAsia="de-DE"/>
              </w:rPr>
              <w:t>actic acid</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6616D7CE" w14:textId="77777777" w:rsidR="00567E0E" w:rsidRPr="0088180A" w:rsidRDefault="00567E0E" w:rsidP="00261A29">
            <w:pPr>
              <w:suppressAutoHyphens w:val="0"/>
              <w:spacing w:line="260" w:lineRule="atLeast"/>
              <w:jc w:val="center"/>
              <w:rPr>
                <w:rFonts w:eastAsia="Calibri" w:cs="Times New Roman"/>
                <w:b/>
                <w:sz w:val="18"/>
                <w:szCs w:val="18"/>
                <w:lang w:eastAsia="en-GB"/>
              </w:rPr>
            </w:pPr>
            <w:r w:rsidRPr="0088180A">
              <w:rPr>
                <w:rFonts w:eastAsia="Calibri" w:cs="Times New Roman"/>
                <w:sz w:val="18"/>
                <w:szCs w:val="18"/>
                <w:lang w:eastAsia="en-GB"/>
              </w:rPr>
              <w:t>-0.74</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1561DB2C" w14:textId="77777777" w:rsidR="00567E0E" w:rsidRPr="0088180A" w:rsidRDefault="00567E0E" w:rsidP="00261A29">
            <w:pPr>
              <w:suppressAutoHyphens w:val="0"/>
              <w:spacing w:line="260" w:lineRule="atLeast"/>
              <w:jc w:val="center"/>
              <w:rPr>
                <w:rFonts w:eastAsia="Calibri" w:cs="Times New Roman"/>
                <w:b/>
                <w:sz w:val="18"/>
                <w:szCs w:val="18"/>
                <w:lang w:eastAsia="en-GB"/>
              </w:rPr>
            </w:pPr>
            <w:r w:rsidRPr="0088180A">
              <w:rPr>
                <w:rFonts w:eastAsia="Calibri" w:cs="Times New Roman"/>
                <w:sz w:val="18"/>
                <w:szCs w:val="18"/>
                <w:lang w:eastAsia="en-GB"/>
              </w:rPr>
              <w:t>4.80E-02</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6621D896" w14:textId="77777777" w:rsidR="00567E0E" w:rsidRPr="0088180A" w:rsidRDefault="00567E0E" w:rsidP="00261A29">
            <w:pPr>
              <w:suppressAutoHyphens w:val="0"/>
              <w:spacing w:line="260" w:lineRule="atLeast"/>
              <w:jc w:val="center"/>
              <w:rPr>
                <w:rFonts w:eastAsia="Calibri" w:cs="Times New Roman"/>
                <w:b/>
                <w:sz w:val="18"/>
                <w:szCs w:val="18"/>
                <w:lang w:eastAsia="en-GB"/>
              </w:rPr>
            </w:pPr>
            <w:r w:rsidRPr="0088180A">
              <w:rPr>
                <w:rFonts w:eastAsia="Calibri" w:cs="Times New Roman"/>
                <w:sz w:val="18"/>
                <w:szCs w:val="18"/>
                <w:lang w:eastAsia="en-GB"/>
              </w:rPr>
              <w:t>6.78</w:t>
            </w:r>
          </w:p>
        </w:tc>
      </w:tr>
    </w:tbl>
    <w:p w14:paraId="0BDBDA42" w14:textId="77777777" w:rsidR="00567E0E" w:rsidRDefault="00567E0E" w:rsidP="00567E0E">
      <w:pPr>
        <w:jc w:val="both"/>
        <w:rPr>
          <w:rFonts w:eastAsia="Calibri" w:cs="Times New Roman"/>
          <w:iCs/>
          <w:lang w:eastAsia="en-US"/>
        </w:rPr>
      </w:pPr>
    </w:p>
    <w:p w14:paraId="14E81AD0" w14:textId="77777777" w:rsidR="00567E0E" w:rsidRDefault="00567E0E" w:rsidP="00567E0E">
      <w:pPr>
        <w:spacing w:line="260" w:lineRule="atLeast"/>
        <w:rPr>
          <w:rFonts w:ascii="Times New Roman" w:eastAsia="Calibri" w:hAnsi="Times New Roman" w:cs="Times New Roman"/>
          <w:i/>
          <w:iCs/>
          <w:lang w:eastAsia="en-US"/>
        </w:rPr>
      </w:pPr>
    </w:p>
    <w:p w14:paraId="5B3A4487" w14:textId="6604E9FB" w:rsidR="009D0C0B" w:rsidRDefault="00567E0E">
      <w:pPr>
        <w:pStyle w:val="Titre4"/>
        <w:rPr>
          <w:b/>
          <w:i/>
          <w:szCs w:val="22"/>
          <w:lang w:eastAsia="en-US"/>
        </w:rPr>
      </w:pPr>
      <w:r>
        <w:rPr>
          <w:rFonts w:ascii="Times New Roman" w:hAnsi="Times New Roman" w:cs="Times New Roman"/>
          <w:i/>
          <w:iCs/>
          <w:lang w:eastAsia="en-US"/>
        </w:rPr>
        <w:t xml:space="preserve"> </w:t>
      </w:r>
      <w:bookmarkStart w:id="77" w:name="_Toc74732497"/>
      <w:r w:rsidR="00FA480B">
        <w:t>Risk characterisation</w:t>
      </w:r>
      <w:bookmarkEnd w:id="77"/>
    </w:p>
    <w:p w14:paraId="044877A0" w14:textId="7821CA36" w:rsidR="00567E0E" w:rsidRDefault="00567E0E" w:rsidP="00567E0E">
      <w:pPr>
        <w:jc w:val="both"/>
        <w:rPr>
          <w:rFonts w:eastAsia="Calibri"/>
          <w:lang w:eastAsia="en-US"/>
        </w:rPr>
      </w:pPr>
      <w:r w:rsidRPr="002B2AD5">
        <w:rPr>
          <w:rFonts w:eastAsia="Calibri"/>
          <w:lang w:eastAsia="en-US"/>
        </w:rPr>
        <w:t>In addition to the classical risk assessment approach (PEC/PNEC ratios), the PEC values for iodine were compared to natural background levels to assess the environmental risk.</w:t>
      </w:r>
    </w:p>
    <w:p w14:paraId="43576045" w14:textId="77777777" w:rsidR="00454D17" w:rsidRDefault="00454D17" w:rsidP="00567E0E">
      <w:pPr>
        <w:jc w:val="both"/>
        <w:rPr>
          <w:rFonts w:eastAsia="Calibri"/>
          <w:lang w:eastAsia="en-US"/>
        </w:rPr>
      </w:pPr>
    </w:p>
    <w:tbl>
      <w:tblPr>
        <w:tblW w:w="5000" w:type="pct"/>
        <w:jc w:val="center"/>
        <w:tblCellMar>
          <w:left w:w="10" w:type="dxa"/>
          <w:right w:w="10" w:type="dxa"/>
        </w:tblCellMar>
        <w:tblLook w:val="0000" w:firstRow="0" w:lastRow="0" w:firstColumn="0" w:lastColumn="0" w:noHBand="0" w:noVBand="0"/>
      </w:tblPr>
      <w:tblGrid>
        <w:gridCol w:w="2406"/>
        <w:gridCol w:w="6797"/>
      </w:tblGrid>
      <w:tr w:rsidR="00454D17" w:rsidRPr="00A97AE4" w14:paraId="4477D52D" w14:textId="77777777" w:rsidTr="002039E1">
        <w:trPr>
          <w:trHeight w:hRule="exact" w:val="333"/>
          <w:jc w:val="center"/>
        </w:trPr>
        <w:tc>
          <w:tcPr>
            <w:tcW w:w="5000" w:type="pct"/>
            <w:gridSpan w:val="2"/>
            <w:tcBorders>
              <w:top w:val="single" w:sz="4" w:space="0" w:color="auto"/>
              <w:left w:val="single" w:sz="4" w:space="0" w:color="auto"/>
              <w:right w:val="single" w:sz="4" w:space="0" w:color="auto"/>
            </w:tcBorders>
            <w:shd w:val="clear" w:color="auto" w:fill="FFFFCB"/>
            <w:vAlign w:val="center"/>
          </w:tcPr>
          <w:p w14:paraId="02279B27" w14:textId="77777777" w:rsidR="00454D17" w:rsidRPr="00A97AE4" w:rsidRDefault="00454D17" w:rsidP="002039E1">
            <w:pPr>
              <w:spacing w:line="260" w:lineRule="atLeast"/>
              <w:ind w:left="57"/>
              <w:jc w:val="center"/>
              <w:rPr>
                <w:rFonts w:eastAsia="Calibri"/>
                <w:lang w:eastAsia="en-US" w:bidi="en-GB"/>
              </w:rPr>
            </w:pPr>
            <w:r w:rsidRPr="00A97AE4">
              <w:rPr>
                <w:rFonts w:eastAsia="Calibri"/>
                <w:b/>
                <w:bCs/>
                <w:lang w:eastAsia="en-US" w:bidi="en-GB"/>
              </w:rPr>
              <w:t>Summary table of background levels</w:t>
            </w:r>
          </w:p>
        </w:tc>
      </w:tr>
      <w:tr w:rsidR="00454D17" w:rsidRPr="00A97AE4" w14:paraId="54040251" w14:textId="77777777" w:rsidTr="002039E1">
        <w:trPr>
          <w:trHeight w:val="340"/>
          <w:jc w:val="center"/>
        </w:trPr>
        <w:tc>
          <w:tcPr>
            <w:tcW w:w="1307" w:type="pct"/>
            <w:tcBorders>
              <w:top w:val="single" w:sz="4" w:space="0" w:color="auto"/>
              <w:left w:val="single" w:sz="4" w:space="0" w:color="auto"/>
            </w:tcBorders>
            <w:shd w:val="clear" w:color="auto" w:fill="FFFFFF"/>
            <w:vAlign w:val="center"/>
          </w:tcPr>
          <w:p w14:paraId="4439E70E" w14:textId="77777777" w:rsidR="00454D17" w:rsidRPr="00A97AE4" w:rsidRDefault="00454D17" w:rsidP="002039E1">
            <w:pPr>
              <w:spacing w:line="260" w:lineRule="atLeast"/>
              <w:ind w:left="57"/>
              <w:rPr>
                <w:rFonts w:eastAsia="Calibri"/>
                <w:lang w:eastAsia="en-US" w:bidi="en-GB"/>
              </w:rPr>
            </w:pPr>
            <w:r w:rsidRPr="00A97AE4">
              <w:rPr>
                <w:rFonts w:eastAsia="Calibri"/>
                <w:b/>
                <w:bCs/>
                <w:lang w:eastAsia="en-US" w:bidi="en-GB"/>
              </w:rPr>
              <w:t>Compartment</w:t>
            </w:r>
          </w:p>
        </w:tc>
        <w:tc>
          <w:tcPr>
            <w:tcW w:w="3693" w:type="pct"/>
            <w:tcBorders>
              <w:top w:val="single" w:sz="4" w:space="0" w:color="auto"/>
              <w:left w:val="single" w:sz="4" w:space="0" w:color="auto"/>
              <w:right w:val="single" w:sz="4" w:space="0" w:color="auto"/>
            </w:tcBorders>
            <w:shd w:val="clear" w:color="auto" w:fill="FFFFFF"/>
            <w:vAlign w:val="center"/>
          </w:tcPr>
          <w:p w14:paraId="7C61EE68" w14:textId="77777777" w:rsidR="00454D17" w:rsidRPr="00A97AE4" w:rsidRDefault="00454D17" w:rsidP="002039E1">
            <w:pPr>
              <w:spacing w:line="260" w:lineRule="atLeast"/>
              <w:ind w:left="57"/>
              <w:rPr>
                <w:rFonts w:eastAsia="Calibri"/>
                <w:lang w:eastAsia="en-US" w:bidi="en-GB"/>
              </w:rPr>
            </w:pPr>
            <w:r w:rsidRPr="00A97AE4">
              <w:rPr>
                <w:rFonts w:eastAsia="Calibri"/>
                <w:b/>
                <w:bCs/>
                <w:lang w:eastAsia="en-US" w:bidi="en-GB"/>
              </w:rPr>
              <w:t>Background level (Iodine and cover the iodine compounds)</w:t>
            </w:r>
          </w:p>
        </w:tc>
      </w:tr>
      <w:tr w:rsidR="00454D17" w:rsidRPr="00A97AE4" w14:paraId="076AC126" w14:textId="77777777" w:rsidTr="002039E1">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38D9C50D" w14:textId="77777777" w:rsidR="00454D17" w:rsidRPr="00142CF5" w:rsidRDefault="00454D17" w:rsidP="002039E1">
            <w:pPr>
              <w:spacing w:line="260" w:lineRule="atLeast"/>
              <w:ind w:left="57"/>
              <w:rPr>
                <w:rFonts w:eastAsia="Calibri"/>
                <w:lang w:eastAsia="en-US" w:bidi="en-GB"/>
              </w:rPr>
            </w:pPr>
            <w:r w:rsidRPr="006B5EF2">
              <w:rPr>
                <w:rFonts w:eastAsia="Calibri"/>
                <w:bCs/>
                <w:lang w:eastAsia="en-US" w:bidi="en-GB"/>
              </w:rPr>
              <w:t>Freshwater (river and lake)</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15696595" w14:textId="77777777" w:rsidR="00454D17" w:rsidRPr="00A97AE4" w:rsidRDefault="00454D17" w:rsidP="002039E1">
            <w:pPr>
              <w:spacing w:line="260" w:lineRule="atLeast"/>
              <w:ind w:left="57"/>
              <w:rPr>
                <w:rFonts w:eastAsia="Calibri"/>
                <w:lang w:eastAsia="en-US" w:bidi="en-GB"/>
              </w:rPr>
            </w:pPr>
            <w:r w:rsidRPr="006B5EF2">
              <w:rPr>
                <w:rFonts w:eastAsia="Calibri"/>
                <w:bCs/>
                <w:lang w:eastAsia="en-US" w:bidi="en-GB"/>
              </w:rPr>
              <w:t>0.5 - 20 µg/L</w:t>
            </w:r>
          </w:p>
        </w:tc>
      </w:tr>
      <w:tr w:rsidR="00454D17" w:rsidRPr="00A97AE4" w14:paraId="3F38A5BE" w14:textId="77777777" w:rsidTr="002039E1">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2580953D" w14:textId="77777777" w:rsidR="00454D17" w:rsidRPr="00142CF5" w:rsidRDefault="00454D17" w:rsidP="002039E1">
            <w:pPr>
              <w:spacing w:line="260" w:lineRule="atLeast"/>
              <w:ind w:left="57"/>
              <w:rPr>
                <w:rFonts w:eastAsia="Calibri"/>
                <w:bCs/>
                <w:lang w:eastAsia="en-US" w:bidi="en-GB"/>
              </w:rPr>
            </w:pPr>
            <w:r w:rsidRPr="006B5EF2">
              <w:rPr>
                <w:rFonts w:eastAsia="Calibri"/>
                <w:bCs/>
                <w:lang w:eastAsia="en-US" w:bidi="en-GB"/>
              </w:rPr>
              <w:t>Freshwater sediment</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50EA151C" w14:textId="77777777" w:rsidR="00454D17" w:rsidRPr="00A97AE4" w:rsidRDefault="00454D17" w:rsidP="002039E1">
            <w:pPr>
              <w:spacing w:line="260" w:lineRule="atLeast"/>
              <w:ind w:left="57"/>
              <w:rPr>
                <w:rFonts w:eastAsia="Calibri"/>
                <w:bCs/>
                <w:lang w:eastAsia="en-US" w:bidi="en-GB"/>
              </w:rPr>
            </w:pPr>
            <w:r w:rsidRPr="006B5EF2">
              <w:rPr>
                <w:rFonts w:eastAsia="Calibri"/>
                <w:bCs/>
                <w:lang w:eastAsia="en-US" w:bidi="en-GB"/>
              </w:rPr>
              <w:t xml:space="preserve">6 mg/kg </w:t>
            </w:r>
            <w:r w:rsidRPr="006B5EF2">
              <w:rPr>
                <w:rFonts w:eastAsia="Calibri"/>
                <w:bCs/>
                <w:vertAlign w:val="subscript"/>
                <w:lang w:eastAsia="en-US" w:bidi="en-GB"/>
              </w:rPr>
              <w:t>wwt</w:t>
            </w:r>
          </w:p>
        </w:tc>
      </w:tr>
      <w:tr w:rsidR="00454D17" w:rsidRPr="00A97AE4" w14:paraId="570190FD" w14:textId="77777777" w:rsidTr="002039E1">
        <w:trPr>
          <w:trHeight w:val="340"/>
          <w:jc w:val="center"/>
        </w:trPr>
        <w:tc>
          <w:tcPr>
            <w:tcW w:w="1307" w:type="pct"/>
            <w:tcBorders>
              <w:top w:val="single" w:sz="4" w:space="0" w:color="auto"/>
              <w:left w:val="single" w:sz="4" w:space="0" w:color="auto"/>
              <w:bottom w:val="single" w:sz="4" w:space="0" w:color="auto"/>
            </w:tcBorders>
            <w:shd w:val="clear" w:color="auto" w:fill="FFFFFF"/>
            <w:vAlign w:val="center"/>
          </w:tcPr>
          <w:p w14:paraId="7B3B4A4E" w14:textId="77777777" w:rsidR="00454D17" w:rsidRPr="00142CF5" w:rsidRDefault="00454D17" w:rsidP="002039E1">
            <w:pPr>
              <w:spacing w:line="260" w:lineRule="atLeast"/>
              <w:ind w:left="57"/>
              <w:rPr>
                <w:rFonts w:eastAsia="Calibri"/>
                <w:bCs/>
                <w:lang w:eastAsia="en-US" w:bidi="en-GB"/>
              </w:rPr>
            </w:pPr>
            <w:r w:rsidRPr="006B5EF2">
              <w:rPr>
                <w:rFonts w:eastAsia="Calibri"/>
                <w:bCs/>
                <w:lang w:eastAsia="en-US" w:bidi="en-GB"/>
              </w:rPr>
              <w:t>Soil</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2C9E7BD6" w14:textId="77777777" w:rsidR="00454D17" w:rsidRPr="00A97AE4" w:rsidRDefault="00454D17" w:rsidP="002039E1">
            <w:pPr>
              <w:spacing w:line="260" w:lineRule="atLeast"/>
              <w:ind w:left="57"/>
              <w:rPr>
                <w:rFonts w:eastAsia="Calibri"/>
                <w:bCs/>
                <w:lang w:eastAsia="en-US" w:bidi="en-GB"/>
              </w:rPr>
            </w:pPr>
            <w:r w:rsidRPr="006B5EF2">
              <w:rPr>
                <w:rFonts w:eastAsia="Calibri"/>
                <w:bCs/>
                <w:lang w:eastAsia="en-US" w:bidi="en-GB"/>
              </w:rPr>
              <w:t xml:space="preserve">0.565-22.6 mg/kg </w:t>
            </w:r>
            <w:r w:rsidRPr="006B5EF2">
              <w:rPr>
                <w:rFonts w:eastAsia="Calibri"/>
                <w:bCs/>
                <w:vertAlign w:val="subscript"/>
                <w:lang w:eastAsia="en-US" w:bidi="en-GB"/>
              </w:rPr>
              <w:t>wwt</w:t>
            </w:r>
            <w:r w:rsidRPr="006B5EF2">
              <w:rPr>
                <w:rFonts w:eastAsia="Calibri"/>
                <w:bCs/>
                <w:lang w:eastAsia="en-US" w:bidi="en-GB"/>
              </w:rPr>
              <w:t xml:space="preserve"> with extremes up to 110.74 mg/kg </w:t>
            </w:r>
            <w:r w:rsidRPr="006B5EF2">
              <w:rPr>
                <w:rFonts w:eastAsia="Calibri"/>
                <w:bCs/>
                <w:vertAlign w:val="subscript"/>
                <w:lang w:eastAsia="en-US" w:bidi="en-GB"/>
              </w:rPr>
              <w:t>wwt</w:t>
            </w:r>
          </w:p>
        </w:tc>
      </w:tr>
      <w:tr w:rsidR="00454D17" w:rsidRPr="00A97AE4" w14:paraId="128CA60F" w14:textId="77777777" w:rsidTr="002039E1">
        <w:trPr>
          <w:trHeight w:val="606"/>
          <w:jc w:val="center"/>
        </w:trPr>
        <w:tc>
          <w:tcPr>
            <w:tcW w:w="1307" w:type="pct"/>
            <w:tcBorders>
              <w:top w:val="single" w:sz="4" w:space="0" w:color="auto"/>
              <w:left w:val="single" w:sz="4" w:space="0" w:color="auto"/>
              <w:bottom w:val="single" w:sz="4" w:space="0" w:color="auto"/>
            </w:tcBorders>
            <w:shd w:val="clear" w:color="auto" w:fill="FFFFFF"/>
            <w:vAlign w:val="center"/>
          </w:tcPr>
          <w:p w14:paraId="7224285A" w14:textId="77777777" w:rsidR="00454D17" w:rsidRPr="00142CF5" w:rsidRDefault="00454D17" w:rsidP="002039E1">
            <w:pPr>
              <w:spacing w:line="260" w:lineRule="atLeast"/>
              <w:ind w:left="57"/>
              <w:rPr>
                <w:rFonts w:eastAsia="Calibri"/>
                <w:bCs/>
                <w:lang w:eastAsia="en-US" w:bidi="en-GB"/>
              </w:rPr>
            </w:pPr>
            <w:r w:rsidRPr="006B5EF2">
              <w:rPr>
                <w:rFonts w:eastAsia="Calibri"/>
                <w:bCs/>
                <w:lang w:eastAsia="en-US" w:bidi="en-GB"/>
              </w:rPr>
              <w:t>Groundwater</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702CFADB" w14:textId="77777777" w:rsidR="00454D17" w:rsidRDefault="00454D17" w:rsidP="002039E1">
            <w:pPr>
              <w:spacing w:line="260" w:lineRule="atLeast"/>
              <w:ind w:left="57"/>
              <w:rPr>
                <w:rFonts w:eastAsia="Calibri"/>
                <w:bCs/>
                <w:lang w:eastAsia="en-US" w:bidi="en-GB"/>
              </w:rPr>
            </w:pPr>
            <w:r w:rsidRPr="00A120C3">
              <w:rPr>
                <w:rFonts w:eastAsia="Calibri"/>
                <w:bCs/>
                <w:lang w:eastAsia="en-US" w:bidi="en-GB"/>
              </w:rPr>
              <w:t>mean concentration: 1 µg/L</w:t>
            </w:r>
          </w:p>
          <w:p w14:paraId="08A08EA3" w14:textId="77777777" w:rsidR="00454D17" w:rsidRPr="00A97AE4" w:rsidRDefault="00454D17" w:rsidP="002039E1">
            <w:pPr>
              <w:spacing w:line="260" w:lineRule="atLeast"/>
              <w:ind w:left="57"/>
              <w:rPr>
                <w:rFonts w:eastAsia="Calibri"/>
                <w:bCs/>
                <w:lang w:eastAsia="en-US" w:bidi="en-GB"/>
              </w:rPr>
            </w:pPr>
            <w:r w:rsidRPr="006B5EF2">
              <w:rPr>
                <w:rFonts w:eastAsia="Calibri"/>
                <w:bCs/>
                <w:lang w:eastAsia="en-US" w:bidi="en-GB"/>
              </w:rPr>
              <w:t>&lt; 1 - 70 µg/L with extremes up to 400 µg/L</w:t>
            </w:r>
          </w:p>
        </w:tc>
      </w:tr>
    </w:tbl>
    <w:p w14:paraId="1546672E" w14:textId="77777777" w:rsidR="00454D17" w:rsidRPr="003155BD" w:rsidRDefault="00454D17" w:rsidP="00567E0E">
      <w:pPr>
        <w:jc w:val="both"/>
        <w:rPr>
          <w:rFonts w:eastAsia="Calibri"/>
          <w:lang w:eastAsia="en-US"/>
        </w:rPr>
      </w:pPr>
    </w:p>
    <w:p w14:paraId="6B21F09E" w14:textId="77777777" w:rsidR="00567E0E" w:rsidRDefault="00567E0E" w:rsidP="00567E0E">
      <w:pPr>
        <w:rPr>
          <w:rFonts w:eastAsia="Calibri"/>
          <w:b/>
          <w:i/>
          <w:sz w:val="22"/>
          <w:szCs w:val="22"/>
          <w:lang w:eastAsia="en-US"/>
        </w:rPr>
      </w:pPr>
    </w:p>
    <w:p w14:paraId="1018BFC8" w14:textId="77777777" w:rsidR="00567E0E" w:rsidRDefault="00567E0E" w:rsidP="00567E0E">
      <w:pPr>
        <w:rPr>
          <w:rFonts w:eastAsia="Calibri"/>
          <w:b/>
          <w:i/>
          <w:sz w:val="22"/>
          <w:szCs w:val="22"/>
          <w:lang w:eastAsia="en-US"/>
        </w:rPr>
      </w:pPr>
      <w:r>
        <w:rPr>
          <w:rFonts w:eastAsia="Calibri"/>
          <w:b/>
          <w:i/>
          <w:sz w:val="22"/>
          <w:szCs w:val="22"/>
          <w:lang w:eastAsia="en-US"/>
        </w:rPr>
        <w:t>Atmosphere</w:t>
      </w:r>
    </w:p>
    <w:p w14:paraId="2082222B" w14:textId="77777777" w:rsidR="00567E0E" w:rsidRDefault="00567E0E" w:rsidP="00567E0E">
      <w:pPr>
        <w:spacing w:line="260" w:lineRule="atLeast"/>
        <w:rPr>
          <w:rFonts w:eastAsia="Calibri"/>
          <w:b/>
          <w:i/>
          <w:sz w:val="22"/>
          <w:szCs w:val="22"/>
          <w:lang w:eastAsia="en-US"/>
        </w:rPr>
      </w:pPr>
    </w:p>
    <w:p w14:paraId="3B657C2D" w14:textId="77777777" w:rsidR="00567E0E" w:rsidRPr="003155BD" w:rsidRDefault="00567E0E" w:rsidP="00567E0E">
      <w:pPr>
        <w:spacing w:before="60" w:line="276" w:lineRule="auto"/>
        <w:rPr>
          <w:rFonts w:eastAsia="Calibri"/>
          <w:lang w:eastAsia="en-US"/>
        </w:rPr>
      </w:pPr>
      <w:r w:rsidRPr="003155BD">
        <w:rPr>
          <w:rFonts w:eastAsia="Calibri"/>
          <w:lang w:eastAsia="en-US"/>
        </w:rPr>
        <w:t>Emissions and PECs in air are considered as negligible. It can be concluded that the use of the ALGOFILM product will not pose a significant risk to the atmospheric compartment.</w:t>
      </w:r>
    </w:p>
    <w:p w14:paraId="3F5998CC" w14:textId="77777777" w:rsidR="00567E0E" w:rsidRDefault="00567E0E" w:rsidP="00567E0E">
      <w:pPr>
        <w:spacing w:before="60" w:line="276" w:lineRule="auto"/>
        <w:ind w:left="142"/>
        <w:rPr>
          <w:rFonts w:ascii="Times New Roman" w:eastAsia="Calibri" w:hAnsi="Times New Roman" w:cs="Times New Roman"/>
          <w:i/>
          <w:lang w:eastAsia="en-US"/>
        </w:rPr>
      </w:pPr>
    </w:p>
    <w:p w14:paraId="6B47AAC4" w14:textId="77777777" w:rsidR="00567E0E" w:rsidRPr="00F46EBD" w:rsidRDefault="00567E0E" w:rsidP="00567E0E">
      <w:pPr>
        <w:rPr>
          <w:rFonts w:eastAsia="Calibri"/>
          <w:b/>
          <w:i/>
          <w:sz w:val="22"/>
          <w:szCs w:val="22"/>
          <w:lang w:eastAsia="en-US"/>
        </w:rPr>
      </w:pPr>
      <w:r w:rsidRPr="00F46EBD">
        <w:rPr>
          <w:rFonts w:eastAsia="Calibri"/>
          <w:b/>
          <w:i/>
          <w:sz w:val="22"/>
          <w:szCs w:val="22"/>
          <w:lang w:eastAsia="en-US"/>
        </w:rPr>
        <w:t>Sewage treatment plant (STP), Aquatic compartment, Terrestrial compartment and Groundwater</w:t>
      </w:r>
    </w:p>
    <w:p w14:paraId="376F072E" w14:textId="77777777" w:rsidR="00567E0E" w:rsidRPr="00F46EBD" w:rsidRDefault="00567E0E" w:rsidP="00567E0E">
      <w:pPr>
        <w:rPr>
          <w:rFonts w:eastAsia="Calibri"/>
          <w:b/>
          <w:i/>
          <w:sz w:val="22"/>
          <w:szCs w:val="22"/>
          <w:lang w:eastAsia="en-US"/>
        </w:rPr>
      </w:pPr>
    </w:p>
    <w:p w14:paraId="397351CB" w14:textId="77777777" w:rsidR="00567E0E" w:rsidRDefault="00567E0E" w:rsidP="00567E0E">
      <w:pPr>
        <w:rPr>
          <w:rFonts w:eastAsia="Calibri"/>
          <w:lang w:eastAsia="en-US"/>
        </w:rPr>
      </w:pPr>
      <w:r w:rsidRPr="00F46EBD">
        <w:rPr>
          <w:rFonts w:eastAsia="Calibri"/>
          <w:lang w:eastAsia="en-US"/>
        </w:rPr>
        <w:t>A summary of the calculated PEC/PNEC values for each scenario and all the relevant environmental compartments are indicated in the following table:</w:t>
      </w:r>
    </w:p>
    <w:p w14:paraId="1815A9AC" w14:textId="09D56064" w:rsidR="00567E0E" w:rsidRDefault="00567E0E" w:rsidP="00567E0E">
      <w:pPr>
        <w:rPr>
          <w:rFonts w:eastAsia="Calibri"/>
          <w:lang w:eastAsia="en-US"/>
        </w:rPr>
      </w:pPr>
    </w:p>
    <w:p w14:paraId="69884AF8" w14:textId="77777777" w:rsidR="002D0BFB" w:rsidRDefault="002D0BFB" w:rsidP="002D0BFB">
      <w:pPr>
        <w:rPr>
          <w:rFonts w:eastAsia="Calibri"/>
          <w:lang w:eastAsia="en-US"/>
        </w:rPr>
      </w:pPr>
    </w:p>
    <w:tbl>
      <w:tblPr>
        <w:tblW w:w="5000" w:type="pct"/>
        <w:tblLook w:val="0000" w:firstRow="0" w:lastRow="0" w:firstColumn="0" w:lastColumn="0" w:noHBand="0" w:noVBand="0"/>
      </w:tblPr>
      <w:tblGrid>
        <w:gridCol w:w="2147"/>
        <w:gridCol w:w="1785"/>
        <w:gridCol w:w="1936"/>
        <w:gridCol w:w="1765"/>
        <w:gridCol w:w="1570"/>
      </w:tblGrid>
      <w:tr w:rsidR="002D0BFB" w:rsidRPr="00610513" w14:paraId="1E7F594D" w14:textId="77777777" w:rsidTr="00454D17">
        <w:trPr>
          <w:trHeight w:val="340"/>
        </w:trPr>
        <w:tc>
          <w:tcPr>
            <w:tcW w:w="5000" w:type="pct"/>
            <w:gridSpan w:val="5"/>
            <w:tcBorders>
              <w:top w:val="single" w:sz="4" w:space="0" w:color="000000"/>
              <w:left w:val="single" w:sz="4" w:space="0" w:color="000000"/>
              <w:bottom w:val="single" w:sz="4" w:space="0" w:color="auto"/>
              <w:right w:val="single" w:sz="4" w:space="0" w:color="000000"/>
            </w:tcBorders>
            <w:shd w:val="clear" w:color="auto" w:fill="FFFFCC"/>
            <w:vAlign w:val="center"/>
          </w:tcPr>
          <w:p w14:paraId="2CB107A7" w14:textId="2530F7E8" w:rsidR="002D0BFB" w:rsidRPr="00610513" w:rsidRDefault="002D0BFB" w:rsidP="00454D17">
            <w:pPr>
              <w:spacing w:before="240" w:after="60" w:line="260" w:lineRule="atLeast"/>
              <w:outlineLvl w:val="0"/>
              <w:rPr>
                <w:b/>
                <w:bCs/>
                <w:sz w:val="18"/>
                <w:szCs w:val="18"/>
              </w:rPr>
            </w:pPr>
            <w:r w:rsidRPr="00610513">
              <w:rPr>
                <w:b/>
                <w:bCs/>
                <w:sz w:val="18"/>
                <w:szCs w:val="18"/>
              </w:rPr>
              <w:t>Summary tabl</w:t>
            </w:r>
            <w:r w:rsidR="00454D17">
              <w:rPr>
                <w:b/>
                <w:bCs/>
                <w:sz w:val="18"/>
                <w:szCs w:val="18"/>
              </w:rPr>
              <w:t>e on calculated PEC/PNEC values</w:t>
            </w:r>
          </w:p>
        </w:tc>
      </w:tr>
      <w:tr w:rsidR="002D0BFB" w:rsidRPr="00610513" w14:paraId="39BC2C4D" w14:textId="77777777" w:rsidTr="00D14200">
        <w:trPr>
          <w:trHeight w:val="340"/>
        </w:trPr>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14:paraId="1691AB54" w14:textId="77777777" w:rsidR="002D0BFB" w:rsidRPr="00D518B9" w:rsidRDefault="002D0BFB" w:rsidP="002D0BFB">
            <w:pPr>
              <w:spacing w:before="240" w:after="60" w:line="260" w:lineRule="atLeast"/>
              <w:outlineLvl w:val="0"/>
              <w:rPr>
                <w:b/>
                <w:sz w:val="16"/>
                <w:szCs w:val="16"/>
              </w:rPr>
            </w:pP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6D666C83" w14:textId="77777777" w:rsidR="002D0BFB" w:rsidRPr="00D518B9" w:rsidRDefault="002D0BFB" w:rsidP="00D14200">
            <w:pPr>
              <w:spacing w:before="240" w:after="60" w:line="260" w:lineRule="atLeast"/>
              <w:jc w:val="center"/>
              <w:outlineLvl w:val="0"/>
              <w:rPr>
                <w:sz w:val="16"/>
                <w:szCs w:val="16"/>
              </w:rPr>
            </w:pPr>
            <w:r w:rsidRPr="00D518B9">
              <w:rPr>
                <w:b/>
                <w:sz w:val="16"/>
                <w:szCs w:val="16"/>
              </w:rPr>
              <w:t>PEC/PNEC</w:t>
            </w:r>
            <w:r w:rsidRPr="00D518B9">
              <w:rPr>
                <w:b/>
                <w:sz w:val="16"/>
                <w:szCs w:val="16"/>
                <w:vertAlign w:val="subscript"/>
              </w:rPr>
              <w:t>STP</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0D5DC3DF" w14:textId="77777777" w:rsidR="002D0BFB" w:rsidRPr="00D518B9" w:rsidRDefault="002D0BFB" w:rsidP="00D14200">
            <w:pPr>
              <w:spacing w:before="240" w:after="60" w:line="260" w:lineRule="atLeast"/>
              <w:jc w:val="center"/>
              <w:outlineLvl w:val="0"/>
              <w:rPr>
                <w:b/>
                <w:sz w:val="16"/>
                <w:szCs w:val="16"/>
              </w:rPr>
            </w:pPr>
            <w:r w:rsidRPr="00D518B9">
              <w:rPr>
                <w:b/>
                <w:sz w:val="16"/>
                <w:szCs w:val="16"/>
              </w:rPr>
              <w:t>PEC/PNEC</w:t>
            </w:r>
            <w:r w:rsidRPr="00D518B9">
              <w:rPr>
                <w:b/>
                <w:sz w:val="16"/>
                <w:szCs w:val="16"/>
                <w:vertAlign w:val="subscript"/>
              </w:rPr>
              <w:t>water</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612FF33D" w14:textId="77777777" w:rsidR="002D0BFB" w:rsidRPr="00D518B9" w:rsidRDefault="002D0BFB" w:rsidP="00D14200">
            <w:pPr>
              <w:spacing w:before="240" w:after="60" w:line="260" w:lineRule="atLeast"/>
              <w:jc w:val="center"/>
              <w:outlineLvl w:val="0"/>
              <w:rPr>
                <w:sz w:val="16"/>
                <w:szCs w:val="16"/>
              </w:rPr>
            </w:pPr>
            <w:r w:rsidRPr="00D518B9">
              <w:rPr>
                <w:b/>
                <w:sz w:val="16"/>
                <w:szCs w:val="16"/>
              </w:rPr>
              <w:t>PEC/PNEC</w:t>
            </w:r>
            <w:r w:rsidRPr="00D518B9">
              <w:rPr>
                <w:b/>
                <w:sz w:val="16"/>
                <w:szCs w:val="16"/>
                <w:vertAlign w:val="subscript"/>
              </w:rPr>
              <w:t>soil</w:t>
            </w:r>
          </w:p>
        </w:tc>
        <w:tc>
          <w:tcPr>
            <w:tcW w:w="853" w:type="pct"/>
            <w:tcBorders>
              <w:top w:val="single" w:sz="4" w:space="0" w:color="auto"/>
              <w:left w:val="single" w:sz="4" w:space="0" w:color="auto"/>
              <w:bottom w:val="single" w:sz="4" w:space="0" w:color="auto"/>
              <w:right w:val="single" w:sz="4" w:space="0" w:color="auto"/>
            </w:tcBorders>
            <w:shd w:val="clear" w:color="auto" w:fill="FFFFFF"/>
            <w:vAlign w:val="center"/>
          </w:tcPr>
          <w:p w14:paraId="079351F7" w14:textId="77777777" w:rsidR="002D0BFB" w:rsidRPr="00D518B9" w:rsidRDefault="002D0BFB" w:rsidP="00D14200">
            <w:pPr>
              <w:spacing w:before="240" w:after="60" w:line="260" w:lineRule="atLeast"/>
              <w:jc w:val="center"/>
              <w:outlineLvl w:val="0"/>
              <w:rPr>
                <w:b/>
                <w:sz w:val="16"/>
                <w:szCs w:val="16"/>
              </w:rPr>
            </w:pPr>
            <w:r w:rsidRPr="00D518B9">
              <w:rPr>
                <w:b/>
                <w:sz w:val="16"/>
                <w:szCs w:val="16"/>
              </w:rPr>
              <w:t>GW (µg/L)</w:t>
            </w:r>
          </w:p>
        </w:tc>
      </w:tr>
      <w:tr w:rsidR="002D0BFB" w:rsidRPr="00610513" w14:paraId="2387C7AE" w14:textId="77777777" w:rsidTr="002D0BFB">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C48F6" w14:textId="77777777" w:rsidR="002D0BFB" w:rsidRPr="00B04EE0" w:rsidRDefault="002D0BFB" w:rsidP="002D0BFB">
            <w:pPr>
              <w:suppressAutoHyphens w:val="0"/>
              <w:rPr>
                <w:rFonts w:cs="Calibri"/>
                <w:b/>
                <w:sz w:val="18"/>
                <w:szCs w:val="18"/>
              </w:rPr>
            </w:pPr>
            <w:r w:rsidRPr="00B04EE0">
              <w:rPr>
                <w:rFonts w:eastAsia="Calibri" w:cs="Arial"/>
                <w:b/>
                <w:sz w:val="18"/>
                <w:szCs w:val="18"/>
                <w:lang w:eastAsia="en-GB"/>
              </w:rPr>
              <w:t>Via STP</w:t>
            </w:r>
          </w:p>
        </w:tc>
      </w:tr>
      <w:tr w:rsidR="002D0BFB" w:rsidRPr="00610513" w14:paraId="376A7A34" w14:textId="77777777" w:rsidTr="002D0BFB">
        <w:trPr>
          <w:trHeight w:val="340"/>
        </w:trPr>
        <w:tc>
          <w:tcPr>
            <w:tcW w:w="1166" w:type="pct"/>
            <w:tcBorders>
              <w:top w:val="single" w:sz="4" w:space="0" w:color="auto"/>
              <w:left w:val="single" w:sz="4" w:space="0" w:color="auto"/>
              <w:bottom w:val="single" w:sz="4" w:space="0" w:color="auto"/>
            </w:tcBorders>
            <w:shd w:val="clear" w:color="auto" w:fill="auto"/>
          </w:tcPr>
          <w:p w14:paraId="2B042E8A" w14:textId="77777777" w:rsidR="002D0BFB" w:rsidRDefault="002D0BFB" w:rsidP="002D0BFB">
            <w:pPr>
              <w:spacing w:line="260" w:lineRule="atLeast"/>
              <w:outlineLvl w:val="0"/>
              <w:rPr>
                <w:rFonts w:eastAsia="Calibri" w:cs="Arial"/>
                <w:sz w:val="18"/>
                <w:szCs w:val="18"/>
                <w:lang w:eastAsia="en-GB"/>
              </w:rPr>
            </w:pPr>
            <w:r>
              <w:rPr>
                <w:rFonts w:eastAsia="Calibri" w:cs="Arial"/>
                <w:sz w:val="18"/>
                <w:szCs w:val="18"/>
                <w:lang w:eastAsia="en-GB"/>
              </w:rPr>
              <w:t>Iodine</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5A7A23D2" w14:textId="07B69D08" w:rsidR="002D0BFB" w:rsidRDefault="000F7A30" w:rsidP="002D0BFB">
            <w:pPr>
              <w:suppressAutoHyphens w:val="0"/>
              <w:jc w:val="center"/>
              <w:rPr>
                <w:rFonts w:cs="Calibri"/>
                <w:sz w:val="18"/>
                <w:szCs w:val="18"/>
                <w:lang w:eastAsia="fr-FR"/>
              </w:rPr>
            </w:pPr>
            <w:r>
              <w:rPr>
                <w:rFonts w:cs="Calibri"/>
                <w:sz w:val="18"/>
                <w:szCs w:val="18"/>
                <w:lang w:eastAsia="fr-FR"/>
              </w:rPr>
              <w:t>3.02</w:t>
            </w:r>
            <w:r w:rsidR="003C6A3A">
              <w:rPr>
                <w:rFonts w:cs="Calibri"/>
                <w:sz w:val="18"/>
                <w:szCs w:val="18"/>
                <w:lang w:eastAsia="fr-FR"/>
              </w:rPr>
              <w:t>E</w:t>
            </w:r>
            <w:r w:rsidR="002D0BFB">
              <w:rPr>
                <w:rFonts w:cs="Calibri"/>
                <w:sz w:val="18"/>
                <w:szCs w:val="18"/>
                <w:lang w:eastAsia="fr-FR"/>
              </w:rPr>
              <w:t>-04</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1ABD1844" w14:textId="03749ED6" w:rsidR="002D0BFB" w:rsidRDefault="000F7A30" w:rsidP="002D0BFB">
            <w:pPr>
              <w:suppressAutoHyphens w:val="0"/>
              <w:jc w:val="center"/>
              <w:rPr>
                <w:rFonts w:cs="Calibri"/>
                <w:sz w:val="18"/>
                <w:szCs w:val="18"/>
                <w:lang w:eastAsia="fr-FR"/>
              </w:rPr>
            </w:pPr>
            <w:r>
              <w:rPr>
                <w:rFonts w:cs="Calibri"/>
                <w:sz w:val="18"/>
                <w:szCs w:val="18"/>
                <w:lang w:eastAsia="fr-FR"/>
              </w:rPr>
              <w:t>1.48</w:t>
            </w:r>
            <w:r w:rsidR="002D0BFB">
              <w:rPr>
                <w:rFonts w:cs="Calibri"/>
                <w:sz w:val="18"/>
                <w:szCs w:val="18"/>
                <w:lang w:eastAsia="fr-FR"/>
              </w:rPr>
              <w:t>E-01</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6358AE89" w14:textId="19DDD8B3" w:rsidR="002D0BFB" w:rsidRPr="003C6A3A" w:rsidRDefault="000F7A30" w:rsidP="002D0BFB">
            <w:pPr>
              <w:suppressAutoHyphens w:val="0"/>
              <w:jc w:val="center"/>
              <w:rPr>
                <w:rFonts w:cs="Calibri"/>
                <w:sz w:val="18"/>
                <w:szCs w:val="18"/>
                <w:lang w:eastAsia="fr-FR"/>
              </w:rPr>
            </w:pPr>
            <w:r>
              <w:rPr>
                <w:rFonts w:cs="Calibri"/>
                <w:sz w:val="18"/>
                <w:szCs w:val="18"/>
                <w:lang w:eastAsia="fr-FR"/>
              </w:rPr>
              <w:t>4.60</w:t>
            </w:r>
            <w:r w:rsidR="003C6A3A" w:rsidRPr="003C6A3A">
              <w:rPr>
                <w:rFonts w:cs="Calibri"/>
                <w:sz w:val="18"/>
                <w:szCs w:val="18"/>
                <w:lang w:eastAsia="fr-FR"/>
              </w:rPr>
              <w:t>E-01</w:t>
            </w:r>
          </w:p>
        </w:tc>
        <w:tc>
          <w:tcPr>
            <w:tcW w:w="853" w:type="pct"/>
            <w:tcBorders>
              <w:top w:val="single" w:sz="4" w:space="0" w:color="auto"/>
              <w:bottom w:val="single" w:sz="4" w:space="0" w:color="auto"/>
              <w:right w:val="single" w:sz="4" w:space="0" w:color="auto"/>
            </w:tcBorders>
            <w:shd w:val="clear" w:color="auto" w:fill="auto"/>
            <w:vAlign w:val="center"/>
          </w:tcPr>
          <w:p w14:paraId="1A932A0F" w14:textId="24FE04BB" w:rsidR="002D0BFB" w:rsidRDefault="000F7A30" w:rsidP="002D0BFB">
            <w:pPr>
              <w:suppressAutoHyphens w:val="0"/>
              <w:jc w:val="center"/>
              <w:rPr>
                <w:rFonts w:eastAsia="Calibri" w:cs="Arial"/>
                <w:b/>
                <w:sz w:val="18"/>
                <w:szCs w:val="18"/>
                <w:lang w:eastAsia="en-GB"/>
              </w:rPr>
            </w:pPr>
            <w:r>
              <w:rPr>
                <w:rFonts w:eastAsia="Calibri" w:cs="Arial"/>
                <w:b/>
                <w:sz w:val="18"/>
                <w:szCs w:val="18"/>
                <w:lang w:eastAsia="en-GB"/>
              </w:rPr>
              <w:t>1.04</w:t>
            </w:r>
          </w:p>
          <w:p w14:paraId="5C2CA2B2" w14:textId="7E5B1F2C" w:rsidR="006C68F3" w:rsidRPr="000C7EC5" w:rsidRDefault="006C68F3" w:rsidP="002D0BFB">
            <w:pPr>
              <w:suppressAutoHyphens w:val="0"/>
              <w:jc w:val="center"/>
              <w:rPr>
                <w:rFonts w:eastAsia="Calibri" w:cs="Arial"/>
                <w:b/>
                <w:sz w:val="18"/>
                <w:szCs w:val="18"/>
                <w:lang w:eastAsia="en-GB"/>
              </w:rPr>
            </w:pPr>
            <w:r w:rsidRPr="006C68F3">
              <w:rPr>
                <w:rFonts w:cs="Calibri"/>
                <w:sz w:val="18"/>
                <w:szCs w:val="18"/>
                <w:lang w:val="fr-FR" w:eastAsia="fr-FR"/>
              </w:rPr>
              <w:t xml:space="preserve">but &lt; </w:t>
            </w:r>
            <w:r>
              <w:rPr>
                <w:rFonts w:cs="Calibri"/>
                <w:sz w:val="18"/>
                <w:szCs w:val="18"/>
                <w:lang w:val="fr-FR" w:eastAsia="fr-FR"/>
              </w:rPr>
              <w:t xml:space="preserve">to </w:t>
            </w:r>
            <w:r w:rsidRPr="006C68F3">
              <w:rPr>
                <w:rFonts w:cs="Calibri"/>
                <w:sz w:val="18"/>
                <w:szCs w:val="18"/>
                <w:lang w:val="fr-FR" w:eastAsia="fr-FR"/>
              </w:rPr>
              <w:t>natural background</w:t>
            </w:r>
          </w:p>
        </w:tc>
      </w:tr>
      <w:tr w:rsidR="002D0BFB" w:rsidRPr="00610513" w14:paraId="69838A20" w14:textId="77777777" w:rsidTr="002D0BFB">
        <w:trPr>
          <w:trHeight w:val="340"/>
        </w:trPr>
        <w:tc>
          <w:tcPr>
            <w:tcW w:w="1166" w:type="pct"/>
            <w:tcBorders>
              <w:top w:val="single" w:sz="4" w:space="0" w:color="auto"/>
              <w:left w:val="single" w:sz="4" w:space="0" w:color="auto"/>
              <w:bottom w:val="single" w:sz="4" w:space="0" w:color="auto"/>
            </w:tcBorders>
            <w:shd w:val="clear" w:color="auto" w:fill="auto"/>
          </w:tcPr>
          <w:p w14:paraId="34F5777C" w14:textId="77777777" w:rsidR="002D0BFB" w:rsidRDefault="002D0BFB" w:rsidP="002D0BFB">
            <w:pPr>
              <w:spacing w:line="260" w:lineRule="atLeast"/>
              <w:outlineLvl w:val="0"/>
              <w:rPr>
                <w:rFonts w:eastAsia="Calibri" w:cs="Arial"/>
                <w:sz w:val="18"/>
                <w:szCs w:val="18"/>
                <w:lang w:eastAsia="en-GB"/>
              </w:rPr>
            </w:pPr>
            <w:r>
              <w:rPr>
                <w:rFonts w:eastAsia="Calibri" w:cs="Arial"/>
                <w:sz w:val="18"/>
                <w:szCs w:val="18"/>
                <w:lang w:eastAsia="en-GB"/>
              </w:rPr>
              <w:t>Iodide</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47F59C19" w14:textId="3C524A2C" w:rsidR="002D0BFB" w:rsidRDefault="00454D17" w:rsidP="002D0BFB">
            <w:pPr>
              <w:suppressAutoHyphens w:val="0"/>
              <w:jc w:val="center"/>
              <w:rPr>
                <w:rFonts w:cs="Calibri"/>
                <w:sz w:val="18"/>
                <w:szCs w:val="18"/>
                <w:lang w:eastAsia="fr-FR"/>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347252EF" w14:textId="2CEBC6E1" w:rsidR="002D0BFB" w:rsidRDefault="000F7A30" w:rsidP="002D0BFB">
            <w:pPr>
              <w:suppressAutoHyphens w:val="0"/>
              <w:jc w:val="center"/>
              <w:rPr>
                <w:rFonts w:cs="Calibri"/>
                <w:sz w:val="18"/>
                <w:szCs w:val="18"/>
                <w:lang w:eastAsia="fr-FR"/>
              </w:rPr>
            </w:pPr>
            <w:r>
              <w:rPr>
                <w:rFonts w:cs="Calibri"/>
                <w:sz w:val="18"/>
                <w:szCs w:val="18"/>
                <w:lang w:eastAsia="fr-FR"/>
              </w:rPr>
              <w:t>1.05E-01</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20E46B39" w14:textId="475F22E5" w:rsidR="002D0BFB" w:rsidRPr="00D14200" w:rsidRDefault="00D14200" w:rsidP="000F7A30">
            <w:pPr>
              <w:suppressAutoHyphens w:val="0"/>
              <w:jc w:val="center"/>
              <w:rPr>
                <w:rFonts w:cs="Calibri"/>
                <w:sz w:val="18"/>
                <w:szCs w:val="18"/>
                <w:lang w:eastAsia="fr-FR"/>
              </w:rPr>
            </w:pPr>
            <w:r w:rsidRPr="00D14200">
              <w:rPr>
                <w:rFonts w:cs="Calibri"/>
                <w:sz w:val="18"/>
                <w:szCs w:val="18"/>
                <w:lang w:eastAsia="fr-FR"/>
              </w:rPr>
              <w:t>1.</w:t>
            </w:r>
            <w:r w:rsidR="000F7A30">
              <w:rPr>
                <w:rFonts w:cs="Calibri"/>
                <w:sz w:val="18"/>
                <w:szCs w:val="18"/>
                <w:lang w:eastAsia="fr-FR"/>
              </w:rPr>
              <w:t>77</w:t>
            </w:r>
            <w:r w:rsidR="000F7A30" w:rsidRPr="00D14200">
              <w:rPr>
                <w:rFonts w:cs="Calibri"/>
                <w:sz w:val="18"/>
                <w:szCs w:val="18"/>
                <w:lang w:eastAsia="fr-FR"/>
              </w:rPr>
              <w:t>E</w:t>
            </w:r>
            <w:r w:rsidRPr="00D14200">
              <w:rPr>
                <w:rFonts w:cs="Calibri"/>
                <w:sz w:val="18"/>
                <w:szCs w:val="18"/>
                <w:lang w:eastAsia="fr-FR"/>
              </w:rPr>
              <w:t>-01</w:t>
            </w:r>
          </w:p>
        </w:tc>
        <w:tc>
          <w:tcPr>
            <w:tcW w:w="853" w:type="pct"/>
            <w:tcBorders>
              <w:top w:val="single" w:sz="4" w:space="0" w:color="auto"/>
              <w:bottom w:val="single" w:sz="4" w:space="0" w:color="auto"/>
              <w:right w:val="single" w:sz="4" w:space="0" w:color="auto"/>
            </w:tcBorders>
            <w:shd w:val="clear" w:color="auto" w:fill="auto"/>
            <w:vAlign w:val="center"/>
          </w:tcPr>
          <w:p w14:paraId="342D2B4A" w14:textId="19FD233C" w:rsidR="002D0BFB" w:rsidRDefault="003C6A3A" w:rsidP="002D0BFB">
            <w:pPr>
              <w:suppressAutoHyphens w:val="0"/>
              <w:jc w:val="center"/>
              <w:rPr>
                <w:rFonts w:eastAsia="Calibri" w:cs="Arial"/>
                <w:b/>
                <w:sz w:val="18"/>
                <w:szCs w:val="18"/>
                <w:lang w:eastAsia="en-GB"/>
              </w:rPr>
            </w:pPr>
            <w:r>
              <w:rPr>
                <w:rFonts w:eastAsia="Calibri" w:cs="Arial"/>
                <w:b/>
                <w:sz w:val="18"/>
                <w:szCs w:val="18"/>
                <w:lang w:eastAsia="en-GB"/>
              </w:rPr>
              <w:t>0.</w:t>
            </w:r>
            <w:r w:rsidR="00EC5A47">
              <w:rPr>
                <w:rFonts w:eastAsia="Calibri" w:cs="Arial"/>
                <w:b/>
                <w:sz w:val="18"/>
                <w:szCs w:val="18"/>
                <w:lang w:eastAsia="en-GB"/>
              </w:rPr>
              <w:t>142</w:t>
            </w:r>
          </w:p>
          <w:p w14:paraId="75F23FB9" w14:textId="3F8EDFD8" w:rsidR="006C68F3" w:rsidRPr="00B04EE0" w:rsidRDefault="006C68F3" w:rsidP="002D0BFB">
            <w:pPr>
              <w:suppressAutoHyphens w:val="0"/>
              <w:jc w:val="center"/>
              <w:rPr>
                <w:rFonts w:eastAsia="Calibri" w:cs="Arial"/>
                <w:b/>
                <w:sz w:val="18"/>
                <w:szCs w:val="18"/>
                <w:lang w:eastAsia="en-GB"/>
              </w:rPr>
            </w:pPr>
            <w:r w:rsidRPr="006C68F3">
              <w:rPr>
                <w:rFonts w:cs="Calibri"/>
                <w:sz w:val="18"/>
                <w:szCs w:val="18"/>
                <w:lang w:val="fr-FR" w:eastAsia="fr-FR"/>
              </w:rPr>
              <w:t xml:space="preserve">but &lt; </w:t>
            </w:r>
            <w:r>
              <w:rPr>
                <w:rFonts w:cs="Calibri"/>
                <w:sz w:val="18"/>
                <w:szCs w:val="18"/>
                <w:lang w:val="fr-FR" w:eastAsia="fr-FR"/>
              </w:rPr>
              <w:t xml:space="preserve">to </w:t>
            </w:r>
            <w:r w:rsidRPr="006C68F3">
              <w:rPr>
                <w:rFonts w:cs="Calibri"/>
                <w:sz w:val="18"/>
                <w:szCs w:val="18"/>
                <w:lang w:val="fr-FR" w:eastAsia="fr-FR"/>
              </w:rPr>
              <w:t>natural background</w:t>
            </w:r>
          </w:p>
        </w:tc>
      </w:tr>
      <w:tr w:rsidR="00454D17" w:rsidRPr="00610513" w14:paraId="2444C8FB" w14:textId="77777777" w:rsidTr="002039E1">
        <w:trPr>
          <w:trHeight w:val="340"/>
        </w:trPr>
        <w:tc>
          <w:tcPr>
            <w:tcW w:w="1166" w:type="pct"/>
            <w:tcBorders>
              <w:top w:val="single" w:sz="4" w:space="0" w:color="auto"/>
              <w:left w:val="single" w:sz="4" w:space="0" w:color="auto"/>
              <w:bottom w:val="single" w:sz="4" w:space="0" w:color="auto"/>
            </w:tcBorders>
            <w:shd w:val="clear" w:color="auto" w:fill="auto"/>
          </w:tcPr>
          <w:p w14:paraId="5E0132DC" w14:textId="532182EE" w:rsidR="00454D17" w:rsidRDefault="00454D17" w:rsidP="00454D17">
            <w:pPr>
              <w:spacing w:line="260" w:lineRule="atLeast"/>
              <w:outlineLvl w:val="0"/>
              <w:rPr>
                <w:rFonts w:eastAsia="Calibri" w:cs="Arial"/>
                <w:sz w:val="18"/>
                <w:szCs w:val="18"/>
                <w:lang w:eastAsia="en-GB"/>
              </w:rPr>
            </w:pPr>
            <w:r>
              <w:rPr>
                <w:rFonts w:eastAsia="Calibri" w:cs="Arial"/>
                <w:sz w:val="18"/>
                <w:szCs w:val="18"/>
                <w:lang w:eastAsia="en-GB"/>
              </w:rPr>
              <w:t>Iodate</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6F090DAB" w14:textId="666A7140" w:rsidR="00454D17" w:rsidRDefault="00454D17" w:rsidP="00454D17">
            <w:pPr>
              <w:suppressAutoHyphens w:val="0"/>
              <w:jc w:val="center"/>
              <w:rPr>
                <w:rFonts w:cs="Calibri"/>
                <w:sz w:val="18"/>
                <w:szCs w:val="18"/>
                <w:lang w:eastAsia="fr-FR"/>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495E3A9A" w14:textId="0BD94F2B" w:rsidR="00454D17" w:rsidRDefault="00EC5A47" w:rsidP="00454D17">
            <w:pPr>
              <w:suppressAutoHyphens w:val="0"/>
              <w:jc w:val="center"/>
              <w:rPr>
                <w:rFonts w:cs="Calibri"/>
                <w:sz w:val="18"/>
                <w:szCs w:val="18"/>
                <w:lang w:eastAsia="fr-FR"/>
              </w:rPr>
            </w:pPr>
            <w:r>
              <w:rPr>
                <w:rFonts w:cs="Calibri"/>
                <w:sz w:val="18"/>
                <w:szCs w:val="18"/>
                <w:lang w:eastAsia="fr-FR"/>
              </w:rPr>
              <w:t>2.06</w:t>
            </w:r>
            <w:r w:rsidR="00454D17">
              <w:rPr>
                <w:rFonts w:cs="Calibri"/>
                <w:sz w:val="18"/>
                <w:szCs w:val="18"/>
                <w:lang w:eastAsia="fr-FR"/>
              </w:rPr>
              <w:t>E-03</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3EFB0BEC" w14:textId="0C4DFFF8" w:rsidR="00454D17" w:rsidRDefault="00454D17" w:rsidP="00EC5A47">
            <w:pPr>
              <w:suppressAutoHyphens w:val="0"/>
              <w:jc w:val="center"/>
              <w:rPr>
                <w:rFonts w:cs="Calibri"/>
                <w:sz w:val="18"/>
                <w:szCs w:val="18"/>
                <w:lang w:eastAsia="fr-FR"/>
              </w:rPr>
            </w:pPr>
            <w:r>
              <w:rPr>
                <w:rFonts w:cs="Calibri"/>
                <w:sz w:val="18"/>
                <w:szCs w:val="18"/>
                <w:lang w:eastAsia="fr-FR"/>
              </w:rPr>
              <w:t>2.</w:t>
            </w:r>
            <w:r w:rsidR="00EC5A47">
              <w:rPr>
                <w:rFonts w:cs="Calibri"/>
                <w:sz w:val="18"/>
                <w:szCs w:val="18"/>
                <w:lang w:eastAsia="fr-FR"/>
              </w:rPr>
              <w:t>47E</w:t>
            </w:r>
            <w:r>
              <w:rPr>
                <w:rFonts w:cs="Calibri"/>
                <w:sz w:val="18"/>
                <w:szCs w:val="18"/>
                <w:lang w:eastAsia="fr-FR"/>
              </w:rPr>
              <w:t>-02</w:t>
            </w:r>
          </w:p>
        </w:tc>
        <w:tc>
          <w:tcPr>
            <w:tcW w:w="853" w:type="pct"/>
            <w:tcBorders>
              <w:top w:val="single" w:sz="4" w:space="0" w:color="auto"/>
              <w:bottom w:val="single" w:sz="4" w:space="0" w:color="auto"/>
              <w:right w:val="single" w:sz="4" w:space="0" w:color="auto"/>
            </w:tcBorders>
            <w:shd w:val="clear" w:color="auto" w:fill="auto"/>
            <w:vAlign w:val="center"/>
          </w:tcPr>
          <w:p w14:paraId="7445EC9C" w14:textId="1A2A45E6" w:rsidR="00454D17" w:rsidRDefault="00EC5A47" w:rsidP="00454D17">
            <w:pPr>
              <w:suppressAutoHyphens w:val="0"/>
              <w:jc w:val="center"/>
              <w:rPr>
                <w:rFonts w:eastAsia="Calibri" w:cs="Arial"/>
                <w:b/>
                <w:sz w:val="18"/>
                <w:szCs w:val="18"/>
                <w:lang w:eastAsia="en-GB"/>
              </w:rPr>
            </w:pPr>
            <w:r>
              <w:rPr>
                <w:rFonts w:eastAsia="Calibri" w:cs="Arial"/>
                <w:b/>
                <w:sz w:val="18"/>
                <w:szCs w:val="18"/>
                <w:lang w:eastAsia="en-GB"/>
              </w:rPr>
              <w:t>1.40</w:t>
            </w:r>
          </w:p>
          <w:p w14:paraId="40053EBE" w14:textId="6368DD8D" w:rsidR="006C68F3" w:rsidRPr="00B04EE0" w:rsidRDefault="006C68F3" w:rsidP="00454D17">
            <w:pPr>
              <w:suppressAutoHyphens w:val="0"/>
              <w:jc w:val="center"/>
              <w:rPr>
                <w:rFonts w:eastAsia="Calibri" w:cs="Arial"/>
                <w:b/>
                <w:sz w:val="18"/>
                <w:szCs w:val="18"/>
                <w:lang w:eastAsia="en-GB"/>
              </w:rPr>
            </w:pPr>
            <w:r w:rsidRPr="005272CD">
              <w:rPr>
                <w:rFonts w:cs="Calibri"/>
                <w:sz w:val="18"/>
                <w:szCs w:val="18"/>
                <w:lang w:eastAsia="fr-FR"/>
              </w:rPr>
              <w:t>but in the natural background</w:t>
            </w:r>
          </w:p>
        </w:tc>
      </w:tr>
      <w:tr w:rsidR="002D0BFB" w:rsidRPr="00610513" w14:paraId="44CDC604" w14:textId="77777777" w:rsidTr="002D0BFB">
        <w:trPr>
          <w:trHeight w:val="340"/>
        </w:trPr>
        <w:tc>
          <w:tcPr>
            <w:tcW w:w="1166" w:type="pct"/>
            <w:tcBorders>
              <w:top w:val="single" w:sz="4" w:space="0" w:color="auto"/>
              <w:left w:val="single" w:sz="4" w:space="0" w:color="auto"/>
              <w:bottom w:val="single" w:sz="4" w:space="0" w:color="auto"/>
            </w:tcBorders>
            <w:shd w:val="clear" w:color="auto" w:fill="auto"/>
          </w:tcPr>
          <w:p w14:paraId="7656D972" w14:textId="77777777" w:rsidR="002D0BFB" w:rsidRDefault="002D0BFB" w:rsidP="002D0BFB">
            <w:pPr>
              <w:spacing w:line="260" w:lineRule="atLeast"/>
              <w:outlineLvl w:val="0"/>
              <w:rPr>
                <w:rFonts w:eastAsia="Calibri" w:cs="Arial"/>
                <w:sz w:val="18"/>
                <w:szCs w:val="18"/>
                <w:lang w:eastAsia="en-GB"/>
              </w:rPr>
            </w:pPr>
            <w:r>
              <w:rPr>
                <w:rFonts w:eastAsia="Calibri" w:cs="Arial"/>
                <w:sz w:val="18"/>
                <w:szCs w:val="18"/>
                <w:lang w:eastAsia="en-GB"/>
              </w:rPr>
              <w:t>L(+) Lactic acid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7CE0D2DC" w14:textId="7B70F23C" w:rsidR="002D0BFB" w:rsidRDefault="00EC5A47" w:rsidP="002D0BFB">
            <w:pPr>
              <w:suppressAutoHyphens w:val="0"/>
              <w:jc w:val="center"/>
              <w:rPr>
                <w:rFonts w:cs="Calibri"/>
                <w:sz w:val="18"/>
                <w:szCs w:val="18"/>
                <w:lang w:eastAsia="fr-FR"/>
              </w:rPr>
            </w:pPr>
            <w:r>
              <w:rPr>
                <w:rFonts w:cs="Calibri"/>
                <w:sz w:val="18"/>
                <w:szCs w:val="18"/>
                <w:lang w:eastAsia="fr-FR"/>
              </w:rPr>
              <w:t>8.88</w:t>
            </w:r>
            <w:r w:rsidR="002D0BFB">
              <w:rPr>
                <w:rFonts w:cs="Calibri"/>
                <w:sz w:val="18"/>
                <w:szCs w:val="18"/>
                <w:lang w:eastAsia="fr-FR"/>
              </w:rPr>
              <w:t>E-06</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58064A37" w14:textId="1AF89338" w:rsidR="002D0BFB" w:rsidRDefault="00EC5A47" w:rsidP="002D0BFB">
            <w:pPr>
              <w:suppressAutoHyphens w:val="0"/>
              <w:jc w:val="center"/>
              <w:rPr>
                <w:rFonts w:cs="Calibri"/>
                <w:sz w:val="18"/>
                <w:szCs w:val="18"/>
                <w:lang w:eastAsia="fr-FR"/>
              </w:rPr>
            </w:pPr>
            <w:r>
              <w:rPr>
                <w:rFonts w:cs="Calibri"/>
                <w:sz w:val="18"/>
                <w:szCs w:val="18"/>
                <w:lang w:eastAsia="fr-FR"/>
              </w:rPr>
              <w:t>2.28</w:t>
            </w:r>
            <w:r w:rsidR="002D0BFB">
              <w:rPr>
                <w:rFonts w:cs="Calibri"/>
                <w:sz w:val="18"/>
                <w:szCs w:val="18"/>
                <w:lang w:eastAsia="fr-FR"/>
              </w:rPr>
              <w:t>E-06</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045A0969" w14:textId="146B9A54" w:rsidR="002D0BFB" w:rsidRDefault="00D1574B" w:rsidP="002D0BFB">
            <w:pPr>
              <w:suppressAutoHyphens w:val="0"/>
              <w:jc w:val="center"/>
              <w:rPr>
                <w:rFonts w:cs="Calibri"/>
                <w:sz w:val="18"/>
                <w:szCs w:val="18"/>
                <w:lang w:eastAsia="fr-FR"/>
              </w:rPr>
            </w:pPr>
            <w:r>
              <w:rPr>
                <w:rFonts w:cs="Calibri"/>
                <w:sz w:val="18"/>
                <w:szCs w:val="18"/>
                <w:lang w:eastAsia="fr-FR"/>
              </w:rPr>
              <w:t>1.07E-06</w:t>
            </w:r>
          </w:p>
        </w:tc>
        <w:tc>
          <w:tcPr>
            <w:tcW w:w="853" w:type="pct"/>
            <w:tcBorders>
              <w:top w:val="single" w:sz="4" w:space="0" w:color="auto"/>
              <w:bottom w:val="single" w:sz="4" w:space="0" w:color="auto"/>
              <w:right w:val="single" w:sz="4" w:space="0" w:color="auto"/>
            </w:tcBorders>
            <w:shd w:val="clear" w:color="auto" w:fill="auto"/>
            <w:vAlign w:val="center"/>
          </w:tcPr>
          <w:p w14:paraId="0D27A411" w14:textId="58F2D5A6" w:rsidR="002D0BFB" w:rsidRPr="00944F55" w:rsidRDefault="002D0BFB" w:rsidP="00EC5A47">
            <w:pPr>
              <w:suppressAutoHyphens w:val="0"/>
              <w:jc w:val="center"/>
              <w:rPr>
                <w:rFonts w:eastAsia="Calibri" w:cs="Arial"/>
                <w:sz w:val="18"/>
                <w:szCs w:val="18"/>
                <w:lang w:eastAsia="en-GB"/>
              </w:rPr>
            </w:pPr>
            <w:r>
              <w:rPr>
                <w:rFonts w:eastAsia="Calibri" w:cs="Arial"/>
                <w:sz w:val="18"/>
                <w:szCs w:val="18"/>
                <w:lang w:eastAsia="en-GB"/>
              </w:rPr>
              <w:t>1.</w:t>
            </w:r>
            <w:r w:rsidR="00EC5A47">
              <w:rPr>
                <w:rFonts w:eastAsia="Calibri" w:cs="Arial"/>
                <w:sz w:val="18"/>
                <w:szCs w:val="18"/>
                <w:lang w:eastAsia="en-GB"/>
              </w:rPr>
              <w:t>32E</w:t>
            </w:r>
            <w:r>
              <w:rPr>
                <w:rFonts w:eastAsia="Calibri" w:cs="Arial"/>
                <w:sz w:val="18"/>
                <w:szCs w:val="18"/>
                <w:lang w:eastAsia="en-GB"/>
              </w:rPr>
              <w:t>-03</w:t>
            </w:r>
          </w:p>
        </w:tc>
      </w:tr>
      <w:tr w:rsidR="002D0BFB" w:rsidRPr="00610513" w14:paraId="173BBDE6" w14:textId="77777777" w:rsidTr="002D0BFB">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256E1" w14:textId="5A461516" w:rsidR="002D0BFB" w:rsidRPr="003E6BB1" w:rsidRDefault="002D0BFB" w:rsidP="002D0BFB">
            <w:pPr>
              <w:suppressAutoHyphens w:val="0"/>
              <w:rPr>
                <w:rFonts w:eastAsia="Calibri" w:cs="Arial"/>
                <w:b/>
                <w:sz w:val="18"/>
                <w:szCs w:val="18"/>
                <w:lang w:eastAsia="en-GB"/>
              </w:rPr>
            </w:pPr>
            <w:r w:rsidRPr="003E6BB1">
              <w:rPr>
                <w:rFonts w:eastAsia="Calibri" w:cs="Arial"/>
                <w:b/>
                <w:sz w:val="18"/>
                <w:szCs w:val="18"/>
                <w:lang w:val="en-US" w:eastAsia="en-GB"/>
              </w:rPr>
              <w:t xml:space="preserve">Via slurry/manure </w:t>
            </w:r>
            <w:r w:rsidRPr="003E6BB1">
              <w:rPr>
                <w:rFonts w:eastAsia="Calibri" w:cs="Arial"/>
                <w:b/>
                <w:sz w:val="18"/>
                <w:szCs w:val="18"/>
                <w:lang w:eastAsia="en-GB"/>
              </w:rPr>
              <w:t>–</w:t>
            </w:r>
            <w:r w:rsidR="00E96618">
              <w:rPr>
                <w:rFonts w:eastAsia="Calibri" w:cs="Arial"/>
                <w:b/>
                <w:sz w:val="18"/>
                <w:szCs w:val="18"/>
                <w:lang w:eastAsia="en-GB"/>
              </w:rPr>
              <w:t xml:space="preserve"> concentrations after ten years</w:t>
            </w:r>
            <w:r w:rsidRPr="003E6BB1">
              <w:rPr>
                <w:rFonts w:eastAsia="Calibri" w:cs="Arial"/>
                <w:b/>
                <w:sz w:val="18"/>
                <w:szCs w:val="18"/>
                <w:lang w:eastAsia="en-GB"/>
              </w:rPr>
              <w:t xml:space="preserve"> </w:t>
            </w:r>
          </w:p>
        </w:tc>
      </w:tr>
      <w:tr w:rsidR="002D0BFB" w:rsidRPr="00610513" w14:paraId="568D2DE1" w14:textId="77777777" w:rsidTr="002D0BFB">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F0D0F5" w14:textId="77777777" w:rsidR="002D0BFB" w:rsidRPr="00F732AC" w:rsidRDefault="002D0BFB" w:rsidP="002D0BFB">
            <w:pPr>
              <w:suppressAutoHyphens w:val="0"/>
              <w:rPr>
                <w:rFonts w:eastAsia="Calibri" w:cs="Arial"/>
                <w:sz w:val="18"/>
                <w:szCs w:val="18"/>
                <w:lang w:val="en-US" w:eastAsia="en-GB"/>
              </w:rPr>
            </w:pPr>
            <w:r>
              <w:rPr>
                <w:rFonts w:eastAsia="Calibri" w:cs="Arial"/>
                <w:sz w:val="18"/>
                <w:szCs w:val="18"/>
                <w:lang w:val="en-US" w:eastAsia="en-GB"/>
              </w:rPr>
              <w:t>Iodine</w:t>
            </w:r>
          </w:p>
        </w:tc>
      </w:tr>
      <w:tr w:rsidR="002D0BFB" w:rsidRPr="00D41568" w14:paraId="41D7465E" w14:textId="77777777" w:rsidTr="002D0BFB">
        <w:trPr>
          <w:trHeight w:val="340"/>
        </w:trPr>
        <w:tc>
          <w:tcPr>
            <w:tcW w:w="1166" w:type="pct"/>
            <w:tcBorders>
              <w:top w:val="single" w:sz="4" w:space="0" w:color="auto"/>
              <w:left w:val="single" w:sz="4" w:space="0" w:color="auto"/>
              <w:bottom w:val="single" w:sz="4" w:space="0" w:color="auto"/>
            </w:tcBorders>
            <w:shd w:val="clear" w:color="auto" w:fill="auto"/>
            <w:vAlign w:val="center"/>
          </w:tcPr>
          <w:p w14:paraId="0125F9A4" w14:textId="77777777" w:rsidR="002D0BFB" w:rsidRPr="00610513" w:rsidRDefault="002D0BFB" w:rsidP="002D0BFB">
            <w:pPr>
              <w:spacing w:line="260" w:lineRule="atLeast"/>
              <w:jc w:val="right"/>
              <w:outlineLvl w:val="0"/>
              <w:rPr>
                <w:sz w:val="18"/>
                <w:szCs w:val="18"/>
              </w:rPr>
            </w:pPr>
            <w:r>
              <w:rPr>
                <w:rFonts w:eastAsia="Calibri" w:cs="Arial"/>
                <w:sz w:val="18"/>
                <w:szCs w:val="18"/>
                <w:lang w:eastAsia="en-GB"/>
              </w:rPr>
              <w:t>Grassland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28E6C772" w14:textId="77777777" w:rsidR="002D0BFB" w:rsidRPr="00610513" w:rsidRDefault="002D0BFB" w:rsidP="002D0BFB">
            <w:pPr>
              <w:suppressAutoHyphens w:val="0"/>
              <w:jc w:val="center"/>
              <w:rPr>
                <w:rFonts w:cs="Calibri"/>
                <w:sz w:val="18"/>
                <w:szCs w:val="18"/>
                <w:lang w:val="fr-FR" w:eastAsia="fr-FR"/>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098B97D2" w14:textId="77777777" w:rsidR="006C68F3" w:rsidRPr="005272CD" w:rsidRDefault="00E2168C" w:rsidP="002D0BFB">
            <w:pPr>
              <w:suppressAutoHyphens w:val="0"/>
              <w:jc w:val="center"/>
              <w:rPr>
                <w:rFonts w:cs="Calibri"/>
                <w:b/>
                <w:sz w:val="18"/>
                <w:szCs w:val="18"/>
                <w:lang w:eastAsia="fr-FR"/>
              </w:rPr>
            </w:pPr>
            <w:r w:rsidRPr="005272CD">
              <w:rPr>
                <w:rFonts w:cs="Calibri"/>
                <w:b/>
                <w:sz w:val="18"/>
                <w:szCs w:val="18"/>
                <w:lang w:eastAsia="fr-FR"/>
              </w:rPr>
              <w:t>1.16</w:t>
            </w:r>
            <w:r w:rsidR="002D0BFB" w:rsidRPr="005272CD">
              <w:rPr>
                <w:rFonts w:cs="Calibri"/>
                <w:b/>
                <w:sz w:val="18"/>
                <w:szCs w:val="18"/>
                <w:lang w:eastAsia="fr-FR"/>
              </w:rPr>
              <w:t>E+00</w:t>
            </w:r>
          </w:p>
          <w:p w14:paraId="387E231A" w14:textId="262392D1" w:rsidR="002D0BFB" w:rsidRPr="005272CD" w:rsidRDefault="006C68F3" w:rsidP="002D0BFB">
            <w:pPr>
              <w:suppressAutoHyphens w:val="0"/>
              <w:jc w:val="center"/>
              <w:rPr>
                <w:rFonts w:cs="Calibri"/>
                <w:sz w:val="18"/>
                <w:szCs w:val="18"/>
                <w:lang w:eastAsia="fr-FR"/>
              </w:rPr>
            </w:pPr>
            <w:r w:rsidRPr="005272CD">
              <w:rPr>
                <w:rFonts w:cs="Calibri"/>
                <w:sz w:val="18"/>
                <w:szCs w:val="18"/>
                <w:lang w:eastAsia="fr-FR"/>
              </w:rPr>
              <w:t>but in the natural background</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789A93E4" w14:textId="77777777" w:rsidR="002D0BFB" w:rsidRPr="005272CD" w:rsidRDefault="002D0BFB" w:rsidP="002D0BFB">
            <w:pPr>
              <w:suppressAutoHyphens w:val="0"/>
              <w:jc w:val="center"/>
              <w:rPr>
                <w:rFonts w:cs="Calibri"/>
                <w:b/>
                <w:sz w:val="18"/>
                <w:szCs w:val="18"/>
                <w:lang w:eastAsia="fr-FR"/>
              </w:rPr>
            </w:pPr>
            <w:r w:rsidRPr="005272CD">
              <w:rPr>
                <w:rFonts w:cs="Calibri"/>
                <w:b/>
                <w:sz w:val="18"/>
                <w:szCs w:val="18"/>
                <w:lang w:eastAsia="fr-FR"/>
              </w:rPr>
              <w:t>3.02E+00</w:t>
            </w:r>
          </w:p>
          <w:p w14:paraId="5A1574BF" w14:textId="44840EAA" w:rsidR="006C68F3" w:rsidRPr="005272CD" w:rsidRDefault="006C68F3" w:rsidP="002D0BFB">
            <w:pPr>
              <w:suppressAutoHyphens w:val="0"/>
              <w:jc w:val="center"/>
              <w:rPr>
                <w:rFonts w:cs="Calibri"/>
                <w:sz w:val="18"/>
                <w:szCs w:val="18"/>
                <w:lang w:eastAsia="fr-FR"/>
              </w:rPr>
            </w:pPr>
            <w:r w:rsidRPr="005272CD">
              <w:rPr>
                <w:rFonts w:cs="Calibri"/>
                <w:sz w:val="18"/>
                <w:szCs w:val="18"/>
                <w:lang w:eastAsia="fr-FR"/>
              </w:rPr>
              <w:t>but &lt; to natural background</w:t>
            </w:r>
          </w:p>
        </w:tc>
        <w:tc>
          <w:tcPr>
            <w:tcW w:w="853" w:type="pct"/>
            <w:tcBorders>
              <w:top w:val="single" w:sz="4" w:space="0" w:color="auto"/>
              <w:bottom w:val="single" w:sz="4" w:space="0" w:color="auto"/>
              <w:right w:val="single" w:sz="4" w:space="0" w:color="auto"/>
            </w:tcBorders>
            <w:shd w:val="clear" w:color="auto" w:fill="auto"/>
            <w:vAlign w:val="center"/>
          </w:tcPr>
          <w:p w14:paraId="6EB4462C" w14:textId="77777777" w:rsidR="002D0BFB" w:rsidRPr="005272CD" w:rsidRDefault="002D0BFB" w:rsidP="002D0BFB">
            <w:pPr>
              <w:suppressAutoHyphens w:val="0"/>
              <w:jc w:val="center"/>
              <w:rPr>
                <w:rFonts w:cs="Calibri"/>
                <w:b/>
                <w:sz w:val="18"/>
                <w:szCs w:val="18"/>
              </w:rPr>
            </w:pPr>
            <w:r w:rsidRPr="005272CD">
              <w:rPr>
                <w:rFonts w:cs="Calibri"/>
                <w:b/>
                <w:sz w:val="18"/>
                <w:szCs w:val="18"/>
              </w:rPr>
              <w:t>6.8</w:t>
            </w:r>
            <w:r w:rsidR="007241EC" w:rsidRPr="005272CD">
              <w:rPr>
                <w:rFonts w:cs="Calibri"/>
                <w:b/>
                <w:sz w:val="18"/>
                <w:szCs w:val="18"/>
              </w:rPr>
              <w:t>1</w:t>
            </w:r>
          </w:p>
          <w:p w14:paraId="042CB2E2" w14:textId="25A5F7FE" w:rsidR="006C68F3" w:rsidRPr="005272CD" w:rsidRDefault="006C68F3" w:rsidP="002D0BFB">
            <w:pPr>
              <w:suppressAutoHyphens w:val="0"/>
              <w:jc w:val="center"/>
              <w:rPr>
                <w:rFonts w:cs="Calibri"/>
                <w:b/>
                <w:sz w:val="18"/>
                <w:szCs w:val="18"/>
              </w:rPr>
            </w:pPr>
            <w:r w:rsidRPr="005272CD">
              <w:rPr>
                <w:rFonts w:cs="Calibri"/>
                <w:sz w:val="18"/>
                <w:szCs w:val="18"/>
                <w:lang w:eastAsia="fr-FR"/>
              </w:rPr>
              <w:t>but in the natural background</w:t>
            </w:r>
          </w:p>
        </w:tc>
      </w:tr>
      <w:tr w:rsidR="002D0BFB" w:rsidRPr="00610513" w14:paraId="1D1C8025" w14:textId="77777777" w:rsidTr="002D0BFB">
        <w:trPr>
          <w:trHeight w:val="340"/>
        </w:trPr>
        <w:tc>
          <w:tcPr>
            <w:tcW w:w="1166" w:type="pct"/>
            <w:tcBorders>
              <w:top w:val="single" w:sz="4" w:space="0" w:color="auto"/>
              <w:left w:val="single" w:sz="4" w:space="0" w:color="auto"/>
              <w:bottom w:val="single" w:sz="4" w:space="0" w:color="auto"/>
            </w:tcBorders>
            <w:shd w:val="clear" w:color="auto" w:fill="auto"/>
            <w:vAlign w:val="center"/>
          </w:tcPr>
          <w:p w14:paraId="7AB35BD0" w14:textId="77777777" w:rsidR="002D0BFB" w:rsidRPr="00610513" w:rsidRDefault="002D0BFB" w:rsidP="002D0BFB">
            <w:pPr>
              <w:spacing w:line="276" w:lineRule="auto"/>
              <w:jc w:val="right"/>
              <w:rPr>
                <w:rFonts w:eastAsia="Calibri"/>
                <w:color w:val="000000"/>
                <w:sz w:val="18"/>
                <w:szCs w:val="18"/>
                <w:lang w:eastAsia="en-GB"/>
              </w:rPr>
            </w:pPr>
            <w:r>
              <w:rPr>
                <w:rFonts w:eastAsia="Calibri" w:cs="Arial"/>
                <w:sz w:val="18"/>
                <w:szCs w:val="18"/>
                <w:lang w:eastAsia="en-GB"/>
              </w:rPr>
              <w:t>Arable land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4DD62855" w14:textId="77777777" w:rsidR="002D0BFB" w:rsidRPr="00610513" w:rsidRDefault="002D0BFB" w:rsidP="002D0BFB">
            <w:pPr>
              <w:suppressAutoHyphens w:val="0"/>
              <w:jc w:val="center"/>
              <w:rPr>
                <w:rFonts w:cs="Calibri"/>
                <w:sz w:val="18"/>
                <w:szCs w:val="18"/>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2BD622C4" w14:textId="796E1478" w:rsidR="002D0BFB" w:rsidRPr="00610513" w:rsidRDefault="002D0BFB" w:rsidP="002D0BFB">
            <w:pPr>
              <w:suppressAutoHyphens w:val="0"/>
              <w:jc w:val="center"/>
              <w:rPr>
                <w:rFonts w:cs="Calibri"/>
                <w:sz w:val="18"/>
                <w:szCs w:val="18"/>
              </w:rPr>
            </w:pPr>
            <w:r>
              <w:rPr>
                <w:rFonts w:cs="Calibri"/>
                <w:sz w:val="18"/>
                <w:szCs w:val="18"/>
              </w:rPr>
              <w:t>6.9</w:t>
            </w:r>
            <w:r w:rsidR="00E2168C">
              <w:rPr>
                <w:rFonts w:cs="Calibri"/>
                <w:sz w:val="18"/>
                <w:szCs w:val="18"/>
              </w:rPr>
              <w:t>7</w:t>
            </w:r>
            <w:r>
              <w:rPr>
                <w:rFonts w:cs="Calibri"/>
                <w:sz w:val="18"/>
                <w:szCs w:val="18"/>
              </w:rPr>
              <w:t>E-01</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2EB9F6C9" w14:textId="77777777" w:rsidR="002D0BFB" w:rsidRDefault="002D0BFB" w:rsidP="002D0BFB">
            <w:pPr>
              <w:suppressAutoHyphens w:val="0"/>
              <w:jc w:val="center"/>
              <w:rPr>
                <w:rFonts w:cs="Calibri"/>
                <w:b/>
                <w:sz w:val="18"/>
                <w:szCs w:val="18"/>
              </w:rPr>
            </w:pPr>
            <w:r w:rsidRPr="003E6BB1">
              <w:rPr>
                <w:rFonts w:cs="Calibri"/>
                <w:b/>
                <w:sz w:val="18"/>
                <w:szCs w:val="18"/>
              </w:rPr>
              <w:t>1.82E+00</w:t>
            </w:r>
          </w:p>
          <w:p w14:paraId="51008388" w14:textId="5DFA1E34" w:rsidR="006C68F3" w:rsidRPr="003E6BB1" w:rsidRDefault="006C68F3" w:rsidP="002D0BFB">
            <w:pPr>
              <w:suppressAutoHyphens w:val="0"/>
              <w:jc w:val="center"/>
              <w:rPr>
                <w:rFonts w:cs="Calibri"/>
                <w:b/>
                <w:sz w:val="18"/>
                <w:szCs w:val="18"/>
              </w:rPr>
            </w:pPr>
            <w:r w:rsidRPr="005272CD">
              <w:rPr>
                <w:rFonts w:cs="Calibri"/>
                <w:sz w:val="18"/>
                <w:szCs w:val="18"/>
                <w:lang w:eastAsia="fr-FR"/>
              </w:rPr>
              <w:t>but &lt; to natural background</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0C4B6A9" w14:textId="77777777" w:rsidR="002D0BFB" w:rsidRDefault="002D0BFB" w:rsidP="002D0BFB">
            <w:pPr>
              <w:suppressAutoHyphens w:val="0"/>
              <w:jc w:val="center"/>
              <w:rPr>
                <w:rFonts w:cs="Calibri"/>
                <w:b/>
                <w:sz w:val="18"/>
                <w:szCs w:val="18"/>
              </w:rPr>
            </w:pPr>
            <w:r w:rsidRPr="003E6BB1">
              <w:rPr>
                <w:rFonts w:cs="Calibri"/>
                <w:b/>
                <w:sz w:val="18"/>
                <w:szCs w:val="18"/>
              </w:rPr>
              <w:t>4.11</w:t>
            </w:r>
          </w:p>
          <w:p w14:paraId="1BC2D971" w14:textId="0E6F1D4C" w:rsidR="006C68F3" w:rsidRPr="003E6BB1" w:rsidRDefault="006C68F3" w:rsidP="002D0BFB">
            <w:pPr>
              <w:suppressAutoHyphens w:val="0"/>
              <w:jc w:val="center"/>
              <w:rPr>
                <w:rFonts w:cs="Calibri"/>
                <w:b/>
                <w:sz w:val="18"/>
                <w:szCs w:val="18"/>
              </w:rPr>
            </w:pPr>
            <w:r w:rsidRPr="005272CD">
              <w:rPr>
                <w:rFonts w:cs="Calibri"/>
                <w:sz w:val="18"/>
                <w:szCs w:val="18"/>
                <w:lang w:eastAsia="fr-FR"/>
              </w:rPr>
              <w:t>but in the natural background</w:t>
            </w:r>
          </w:p>
        </w:tc>
      </w:tr>
      <w:tr w:rsidR="00E2168C" w:rsidRPr="00610513" w14:paraId="18B2D34A" w14:textId="77777777" w:rsidTr="002039E1">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8C824" w14:textId="77777777" w:rsidR="00E2168C" w:rsidRPr="00944F55" w:rsidRDefault="00E2168C" w:rsidP="002039E1">
            <w:pPr>
              <w:suppressAutoHyphens w:val="0"/>
              <w:rPr>
                <w:rFonts w:eastAsia="Calibri" w:cs="Arial"/>
                <w:sz w:val="18"/>
                <w:szCs w:val="18"/>
                <w:lang w:eastAsia="en-GB"/>
              </w:rPr>
            </w:pPr>
            <w:r>
              <w:rPr>
                <w:rFonts w:eastAsia="Calibri" w:cs="Arial"/>
                <w:sz w:val="18"/>
                <w:szCs w:val="18"/>
                <w:lang w:eastAsia="en-GB"/>
              </w:rPr>
              <w:t>Iodide</w:t>
            </w:r>
          </w:p>
        </w:tc>
      </w:tr>
      <w:tr w:rsidR="00E2168C" w:rsidRPr="00610513" w14:paraId="35C4DCBA" w14:textId="77777777" w:rsidTr="002039E1">
        <w:trPr>
          <w:trHeight w:val="340"/>
        </w:trPr>
        <w:tc>
          <w:tcPr>
            <w:tcW w:w="1166" w:type="pct"/>
            <w:tcBorders>
              <w:top w:val="single" w:sz="4" w:space="0" w:color="auto"/>
              <w:left w:val="single" w:sz="4" w:space="0" w:color="auto"/>
              <w:bottom w:val="single" w:sz="4" w:space="0" w:color="auto"/>
            </w:tcBorders>
            <w:shd w:val="clear" w:color="auto" w:fill="auto"/>
            <w:vAlign w:val="center"/>
          </w:tcPr>
          <w:p w14:paraId="1F6078EE" w14:textId="77777777" w:rsidR="00E2168C" w:rsidRDefault="00E2168C" w:rsidP="002039E1">
            <w:pPr>
              <w:spacing w:line="276" w:lineRule="auto"/>
              <w:jc w:val="right"/>
              <w:rPr>
                <w:rFonts w:eastAsia="Calibri" w:cs="Arial"/>
                <w:sz w:val="18"/>
                <w:szCs w:val="18"/>
                <w:lang w:eastAsia="en-GB"/>
              </w:rPr>
            </w:pPr>
            <w:r>
              <w:rPr>
                <w:rFonts w:eastAsia="Calibri" w:cs="Arial"/>
                <w:sz w:val="18"/>
                <w:szCs w:val="18"/>
                <w:lang w:eastAsia="en-GB"/>
              </w:rPr>
              <w:t>Grassland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530BFB08" w14:textId="77777777" w:rsidR="00E2168C" w:rsidRDefault="00E2168C" w:rsidP="002039E1">
            <w:pPr>
              <w:suppressAutoHyphens w:val="0"/>
              <w:jc w:val="center"/>
              <w:rPr>
                <w:rFonts w:cs="Calibri"/>
                <w:sz w:val="18"/>
                <w:szCs w:val="18"/>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0DAA4112" w14:textId="77777777" w:rsidR="00E2168C" w:rsidRDefault="00E2168C" w:rsidP="002039E1">
            <w:pPr>
              <w:suppressAutoHyphens w:val="0"/>
              <w:jc w:val="center"/>
              <w:rPr>
                <w:rFonts w:cs="Calibri"/>
                <w:sz w:val="18"/>
                <w:szCs w:val="18"/>
              </w:rPr>
            </w:pPr>
            <w:r>
              <w:rPr>
                <w:rFonts w:cs="Calibri"/>
                <w:sz w:val="18"/>
                <w:szCs w:val="18"/>
              </w:rPr>
              <w:t>8.18E-01</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68171F4B" w14:textId="77777777" w:rsidR="00E2168C" w:rsidRDefault="00E2168C" w:rsidP="002039E1">
            <w:pPr>
              <w:suppressAutoHyphens w:val="0"/>
              <w:jc w:val="center"/>
              <w:rPr>
                <w:rFonts w:cs="Calibri"/>
                <w:b/>
                <w:sz w:val="18"/>
                <w:szCs w:val="18"/>
              </w:rPr>
            </w:pPr>
            <w:r w:rsidRPr="003E6BB1">
              <w:rPr>
                <w:rFonts w:cs="Calibri"/>
                <w:b/>
                <w:sz w:val="18"/>
                <w:szCs w:val="18"/>
              </w:rPr>
              <w:t>8.30E+00</w:t>
            </w:r>
          </w:p>
          <w:p w14:paraId="578EF6E0" w14:textId="50F6B075" w:rsidR="006C68F3" w:rsidRPr="003E6BB1" w:rsidRDefault="006C68F3" w:rsidP="002039E1">
            <w:pPr>
              <w:suppressAutoHyphens w:val="0"/>
              <w:jc w:val="center"/>
              <w:rPr>
                <w:rFonts w:cs="Calibri"/>
                <w:b/>
                <w:sz w:val="18"/>
                <w:szCs w:val="18"/>
              </w:rPr>
            </w:pPr>
            <w:r w:rsidRPr="005272CD">
              <w:rPr>
                <w:rFonts w:cs="Calibri"/>
                <w:sz w:val="18"/>
                <w:szCs w:val="18"/>
                <w:lang w:eastAsia="fr-FR"/>
              </w:rPr>
              <w:t>but &lt; to natural background</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26CF9FC" w14:textId="77777777" w:rsidR="006C68F3" w:rsidRDefault="00E2168C" w:rsidP="002039E1">
            <w:pPr>
              <w:suppressAutoHyphens w:val="0"/>
              <w:jc w:val="center"/>
              <w:rPr>
                <w:rFonts w:eastAsia="Calibri" w:cs="Arial"/>
                <w:b/>
                <w:sz w:val="18"/>
                <w:szCs w:val="18"/>
                <w:lang w:eastAsia="en-GB"/>
              </w:rPr>
            </w:pPr>
            <w:r w:rsidRPr="003E6BB1">
              <w:rPr>
                <w:rFonts w:eastAsia="Calibri" w:cs="Arial"/>
                <w:b/>
                <w:sz w:val="18"/>
                <w:szCs w:val="18"/>
                <w:lang w:eastAsia="en-GB"/>
              </w:rPr>
              <w:t>6.8</w:t>
            </w:r>
            <w:r>
              <w:rPr>
                <w:rFonts w:eastAsia="Calibri" w:cs="Arial"/>
                <w:b/>
                <w:sz w:val="18"/>
                <w:szCs w:val="18"/>
                <w:lang w:eastAsia="en-GB"/>
              </w:rPr>
              <w:t>1</w:t>
            </w:r>
          </w:p>
          <w:p w14:paraId="22A1D714" w14:textId="7A07F436" w:rsidR="00E2168C" w:rsidRPr="003E6BB1" w:rsidRDefault="006C68F3" w:rsidP="002039E1">
            <w:pPr>
              <w:suppressAutoHyphens w:val="0"/>
              <w:jc w:val="center"/>
              <w:rPr>
                <w:rFonts w:eastAsia="Calibri" w:cs="Arial"/>
                <w:b/>
                <w:sz w:val="18"/>
                <w:szCs w:val="18"/>
                <w:lang w:eastAsia="en-GB"/>
              </w:rPr>
            </w:pPr>
            <w:r w:rsidRPr="005272CD">
              <w:rPr>
                <w:rFonts w:cs="Calibri"/>
                <w:sz w:val="18"/>
                <w:szCs w:val="18"/>
                <w:lang w:eastAsia="fr-FR"/>
              </w:rPr>
              <w:t>but in the natural background</w:t>
            </w:r>
          </w:p>
        </w:tc>
      </w:tr>
      <w:tr w:rsidR="00E2168C" w:rsidRPr="00610513" w14:paraId="47219EB1" w14:textId="77777777" w:rsidTr="002039E1">
        <w:trPr>
          <w:trHeight w:val="340"/>
        </w:trPr>
        <w:tc>
          <w:tcPr>
            <w:tcW w:w="1166" w:type="pct"/>
            <w:tcBorders>
              <w:top w:val="single" w:sz="4" w:space="0" w:color="auto"/>
              <w:left w:val="single" w:sz="4" w:space="0" w:color="auto"/>
              <w:bottom w:val="single" w:sz="4" w:space="0" w:color="auto"/>
            </w:tcBorders>
            <w:shd w:val="clear" w:color="auto" w:fill="auto"/>
            <w:vAlign w:val="center"/>
          </w:tcPr>
          <w:p w14:paraId="5C54A9D4" w14:textId="77777777" w:rsidR="00E2168C" w:rsidRDefault="00E2168C" w:rsidP="002039E1">
            <w:pPr>
              <w:spacing w:line="276" w:lineRule="auto"/>
              <w:jc w:val="right"/>
              <w:rPr>
                <w:rFonts w:eastAsia="Calibri" w:cs="Arial"/>
                <w:sz w:val="18"/>
                <w:szCs w:val="18"/>
                <w:lang w:eastAsia="en-GB"/>
              </w:rPr>
            </w:pPr>
            <w:r>
              <w:rPr>
                <w:rFonts w:eastAsia="Calibri" w:cs="Arial"/>
                <w:sz w:val="18"/>
                <w:szCs w:val="18"/>
                <w:lang w:eastAsia="en-GB"/>
              </w:rPr>
              <w:t>Arable land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37041730" w14:textId="77777777" w:rsidR="00E2168C" w:rsidRDefault="00E2168C" w:rsidP="002039E1">
            <w:pPr>
              <w:suppressAutoHyphens w:val="0"/>
              <w:jc w:val="center"/>
              <w:rPr>
                <w:rFonts w:cs="Calibri"/>
                <w:sz w:val="18"/>
                <w:szCs w:val="18"/>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32FA58DE" w14:textId="77777777" w:rsidR="00E2168C" w:rsidRDefault="00E2168C" w:rsidP="002039E1">
            <w:pPr>
              <w:suppressAutoHyphens w:val="0"/>
              <w:jc w:val="center"/>
              <w:rPr>
                <w:rFonts w:cs="Calibri"/>
                <w:sz w:val="18"/>
                <w:szCs w:val="18"/>
              </w:rPr>
            </w:pPr>
            <w:r>
              <w:rPr>
                <w:rFonts w:cs="Calibri"/>
                <w:sz w:val="18"/>
                <w:szCs w:val="18"/>
              </w:rPr>
              <w:t>4.94E-01</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536F8240" w14:textId="77777777" w:rsidR="00E2168C" w:rsidRDefault="00E2168C" w:rsidP="002039E1">
            <w:pPr>
              <w:suppressAutoHyphens w:val="0"/>
              <w:jc w:val="center"/>
              <w:rPr>
                <w:rFonts w:cs="Calibri"/>
                <w:b/>
                <w:sz w:val="18"/>
                <w:szCs w:val="18"/>
              </w:rPr>
            </w:pPr>
            <w:r w:rsidRPr="003E6BB1">
              <w:rPr>
                <w:rFonts w:cs="Calibri"/>
                <w:b/>
                <w:sz w:val="18"/>
                <w:szCs w:val="18"/>
              </w:rPr>
              <w:t>5.01E+00</w:t>
            </w:r>
          </w:p>
          <w:p w14:paraId="492FFA9D" w14:textId="3C17A9D7" w:rsidR="006C68F3" w:rsidRPr="003E6BB1" w:rsidRDefault="006C68F3" w:rsidP="002039E1">
            <w:pPr>
              <w:suppressAutoHyphens w:val="0"/>
              <w:jc w:val="center"/>
              <w:rPr>
                <w:rFonts w:cs="Calibri"/>
                <w:b/>
                <w:sz w:val="18"/>
                <w:szCs w:val="18"/>
              </w:rPr>
            </w:pPr>
            <w:r w:rsidRPr="005272CD">
              <w:rPr>
                <w:rFonts w:cs="Calibri"/>
                <w:sz w:val="18"/>
                <w:szCs w:val="18"/>
                <w:lang w:eastAsia="fr-FR"/>
              </w:rPr>
              <w:t>but &lt; to natural background</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D33A477" w14:textId="77777777" w:rsidR="006C68F3" w:rsidRDefault="00E2168C" w:rsidP="002039E1">
            <w:pPr>
              <w:suppressAutoHyphens w:val="0"/>
              <w:jc w:val="center"/>
              <w:rPr>
                <w:rFonts w:eastAsia="Calibri" w:cs="Arial"/>
                <w:b/>
                <w:sz w:val="18"/>
                <w:szCs w:val="18"/>
                <w:lang w:eastAsia="en-GB"/>
              </w:rPr>
            </w:pPr>
            <w:r w:rsidRPr="003E6BB1">
              <w:rPr>
                <w:rFonts w:eastAsia="Calibri" w:cs="Arial"/>
                <w:b/>
                <w:sz w:val="18"/>
                <w:szCs w:val="18"/>
                <w:lang w:eastAsia="en-GB"/>
              </w:rPr>
              <w:t>4.11</w:t>
            </w:r>
          </w:p>
          <w:p w14:paraId="50AE3B31" w14:textId="6F313977" w:rsidR="00E2168C" w:rsidRPr="003E6BB1" w:rsidRDefault="006C68F3" w:rsidP="002039E1">
            <w:pPr>
              <w:suppressAutoHyphens w:val="0"/>
              <w:jc w:val="center"/>
              <w:rPr>
                <w:rFonts w:eastAsia="Calibri" w:cs="Arial"/>
                <w:b/>
                <w:sz w:val="18"/>
                <w:szCs w:val="18"/>
                <w:lang w:eastAsia="en-GB"/>
              </w:rPr>
            </w:pPr>
            <w:r w:rsidRPr="005272CD">
              <w:rPr>
                <w:rFonts w:cs="Calibri"/>
                <w:sz w:val="18"/>
                <w:szCs w:val="18"/>
                <w:lang w:eastAsia="fr-FR"/>
              </w:rPr>
              <w:t>but in the natural background</w:t>
            </w:r>
          </w:p>
        </w:tc>
      </w:tr>
      <w:tr w:rsidR="002D0BFB" w:rsidRPr="00610513" w14:paraId="0FC7A24D" w14:textId="77777777" w:rsidTr="002D0BFB">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6CD8D7" w14:textId="77777777" w:rsidR="002D0BFB" w:rsidRPr="00944F55" w:rsidRDefault="002D0BFB" w:rsidP="002D0BFB">
            <w:pPr>
              <w:suppressAutoHyphens w:val="0"/>
              <w:rPr>
                <w:rFonts w:eastAsia="Calibri" w:cs="Arial"/>
                <w:sz w:val="18"/>
                <w:szCs w:val="18"/>
                <w:lang w:eastAsia="en-GB"/>
              </w:rPr>
            </w:pPr>
            <w:r>
              <w:rPr>
                <w:rFonts w:eastAsia="Calibri" w:cs="Arial"/>
                <w:sz w:val="18"/>
                <w:szCs w:val="18"/>
                <w:lang w:eastAsia="en-GB"/>
              </w:rPr>
              <w:t>Iodate</w:t>
            </w:r>
          </w:p>
        </w:tc>
      </w:tr>
      <w:tr w:rsidR="002D0BFB" w:rsidRPr="00610513" w14:paraId="210EB37C" w14:textId="77777777" w:rsidTr="002D0BFB">
        <w:trPr>
          <w:trHeight w:val="340"/>
        </w:trPr>
        <w:tc>
          <w:tcPr>
            <w:tcW w:w="1166" w:type="pct"/>
            <w:tcBorders>
              <w:top w:val="single" w:sz="4" w:space="0" w:color="auto"/>
              <w:left w:val="single" w:sz="4" w:space="0" w:color="auto"/>
              <w:bottom w:val="single" w:sz="4" w:space="0" w:color="auto"/>
            </w:tcBorders>
            <w:shd w:val="clear" w:color="auto" w:fill="auto"/>
            <w:vAlign w:val="center"/>
          </w:tcPr>
          <w:p w14:paraId="78AA108D" w14:textId="77777777" w:rsidR="002D0BFB" w:rsidRDefault="002D0BFB" w:rsidP="002D0BFB">
            <w:pPr>
              <w:spacing w:line="276" w:lineRule="auto"/>
              <w:jc w:val="right"/>
              <w:rPr>
                <w:rFonts w:eastAsia="Calibri" w:cs="Arial"/>
                <w:sz w:val="18"/>
                <w:szCs w:val="18"/>
                <w:lang w:eastAsia="en-GB"/>
              </w:rPr>
            </w:pPr>
            <w:r>
              <w:rPr>
                <w:rFonts w:eastAsia="Calibri" w:cs="Arial"/>
                <w:sz w:val="18"/>
                <w:szCs w:val="18"/>
                <w:lang w:eastAsia="en-GB"/>
              </w:rPr>
              <w:t>Grassland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2F49F459" w14:textId="77777777" w:rsidR="002D0BFB" w:rsidRDefault="002D0BFB" w:rsidP="002D0BFB">
            <w:pPr>
              <w:suppressAutoHyphens w:val="0"/>
              <w:jc w:val="center"/>
              <w:rPr>
                <w:rFonts w:cs="Calibri"/>
                <w:sz w:val="18"/>
                <w:szCs w:val="18"/>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432FCF60" w14:textId="77777777" w:rsidR="002D0BFB" w:rsidRDefault="002D0BFB" w:rsidP="002D0BFB">
            <w:pPr>
              <w:suppressAutoHyphens w:val="0"/>
              <w:jc w:val="center"/>
              <w:rPr>
                <w:rFonts w:cs="Calibri"/>
                <w:sz w:val="18"/>
                <w:szCs w:val="18"/>
              </w:rPr>
            </w:pPr>
            <w:r>
              <w:rPr>
                <w:rFonts w:cs="Calibri"/>
                <w:sz w:val="18"/>
                <w:szCs w:val="18"/>
              </w:rPr>
              <w:t>1.60E-02</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1C3375F0" w14:textId="77777777" w:rsidR="002D0BFB" w:rsidRDefault="002D0BFB" w:rsidP="002D0BFB">
            <w:pPr>
              <w:suppressAutoHyphens w:val="0"/>
              <w:jc w:val="center"/>
              <w:rPr>
                <w:rFonts w:cs="Calibri"/>
                <w:sz w:val="18"/>
                <w:szCs w:val="18"/>
              </w:rPr>
            </w:pPr>
            <w:r>
              <w:rPr>
                <w:rFonts w:cs="Calibri"/>
                <w:sz w:val="18"/>
                <w:szCs w:val="18"/>
              </w:rPr>
              <w:t>1.62E-01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62EDCB2" w14:textId="77777777" w:rsidR="002D0BFB" w:rsidRDefault="002D0BFB" w:rsidP="002D0BFB">
            <w:pPr>
              <w:suppressAutoHyphens w:val="0"/>
              <w:jc w:val="center"/>
              <w:rPr>
                <w:rFonts w:eastAsia="Calibri" w:cs="Arial"/>
                <w:b/>
                <w:sz w:val="18"/>
                <w:szCs w:val="18"/>
                <w:lang w:eastAsia="en-GB"/>
              </w:rPr>
            </w:pPr>
            <w:r w:rsidRPr="003E6BB1">
              <w:rPr>
                <w:rFonts w:eastAsia="Calibri" w:cs="Arial"/>
                <w:b/>
                <w:sz w:val="18"/>
                <w:szCs w:val="18"/>
                <w:lang w:eastAsia="en-GB"/>
              </w:rPr>
              <w:t>9.42</w:t>
            </w:r>
          </w:p>
          <w:p w14:paraId="7D40266A" w14:textId="1B54565F" w:rsidR="006C68F3" w:rsidRPr="003E6BB1" w:rsidRDefault="006C68F3" w:rsidP="002D0BFB">
            <w:pPr>
              <w:suppressAutoHyphens w:val="0"/>
              <w:jc w:val="center"/>
              <w:rPr>
                <w:rFonts w:eastAsia="Calibri" w:cs="Arial"/>
                <w:b/>
                <w:sz w:val="18"/>
                <w:szCs w:val="18"/>
                <w:lang w:eastAsia="en-GB"/>
              </w:rPr>
            </w:pPr>
            <w:r w:rsidRPr="005272CD">
              <w:rPr>
                <w:rFonts w:cs="Calibri"/>
                <w:sz w:val="18"/>
                <w:szCs w:val="18"/>
                <w:lang w:eastAsia="fr-FR"/>
              </w:rPr>
              <w:t>but in the natural background</w:t>
            </w:r>
          </w:p>
        </w:tc>
      </w:tr>
      <w:tr w:rsidR="002D0BFB" w:rsidRPr="00610513" w14:paraId="64AA599F" w14:textId="77777777" w:rsidTr="002D0BFB">
        <w:trPr>
          <w:trHeight w:val="340"/>
        </w:trPr>
        <w:tc>
          <w:tcPr>
            <w:tcW w:w="1166" w:type="pct"/>
            <w:tcBorders>
              <w:top w:val="single" w:sz="4" w:space="0" w:color="auto"/>
              <w:left w:val="single" w:sz="4" w:space="0" w:color="auto"/>
              <w:bottom w:val="single" w:sz="4" w:space="0" w:color="auto"/>
            </w:tcBorders>
            <w:shd w:val="clear" w:color="auto" w:fill="auto"/>
            <w:vAlign w:val="center"/>
          </w:tcPr>
          <w:p w14:paraId="4C086301" w14:textId="77777777" w:rsidR="002D0BFB" w:rsidRDefault="002D0BFB" w:rsidP="002D0BFB">
            <w:pPr>
              <w:spacing w:line="276" w:lineRule="auto"/>
              <w:jc w:val="right"/>
              <w:rPr>
                <w:rFonts w:eastAsia="Calibri" w:cs="Arial"/>
                <w:sz w:val="18"/>
                <w:szCs w:val="18"/>
                <w:lang w:eastAsia="en-GB"/>
              </w:rPr>
            </w:pPr>
            <w:r>
              <w:rPr>
                <w:rFonts w:eastAsia="Calibri" w:cs="Arial"/>
                <w:sz w:val="18"/>
                <w:szCs w:val="18"/>
                <w:lang w:eastAsia="en-GB"/>
              </w:rPr>
              <w:t>Arable land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78CAF7B9" w14:textId="77777777" w:rsidR="002D0BFB" w:rsidRDefault="002D0BFB" w:rsidP="002D0BFB">
            <w:pPr>
              <w:suppressAutoHyphens w:val="0"/>
              <w:jc w:val="center"/>
              <w:rPr>
                <w:rFonts w:cs="Calibri"/>
                <w:sz w:val="18"/>
                <w:szCs w:val="18"/>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1D8E76A9" w14:textId="77777777" w:rsidR="002D0BFB" w:rsidRDefault="002D0BFB" w:rsidP="002D0BFB">
            <w:pPr>
              <w:suppressAutoHyphens w:val="0"/>
              <w:jc w:val="center"/>
              <w:rPr>
                <w:rFonts w:cs="Calibri"/>
                <w:sz w:val="18"/>
                <w:szCs w:val="18"/>
              </w:rPr>
            </w:pPr>
            <w:r>
              <w:rPr>
                <w:rFonts w:cs="Calibri"/>
                <w:sz w:val="18"/>
                <w:szCs w:val="18"/>
              </w:rPr>
              <w:t>9.68E-03</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7D6AEE02" w14:textId="77777777" w:rsidR="002D0BFB" w:rsidRDefault="002D0BFB" w:rsidP="002D0BFB">
            <w:pPr>
              <w:suppressAutoHyphens w:val="0"/>
              <w:jc w:val="center"/>
              <w:rPr>
                <w:rFonts w:cs="Calibri"/>
                <w:sz w:val="18"/>
                <w:szCs w:val="18"/>
              </w:rPr>
            </w:pPr>
            <w:r>
              <w:rPr>
                <w:rFonts w:cs="Calibri"/>
                <w:sz w:val="18"/>
                <w:szCs w:val="18"/>
              </w:rPr>
              <w:t>9.78E-02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3F5CC55" w14:textId="77777777" w:rsidR="002D0BFB" w:rsidRDefault="002D0BFB" w:rsidP="002D0BFB">
            <w:pPr>
              <w:suppressAutoHyphens w:val="0"/>
              <w:jc w:val="center"/>
              <w:rPr>
                <w:rFonts w:eastAsia="Calibri" w:cs="Arial"/>
                <w:b/>
                <w:sz w:val="18"/>
                <w:szCs w:val="18"/>
                <w:lang w:eastAsia="en-GB"/>
              </w:rPr>
            </w:pPr>
            <w:r w:rsidRPr="003E6BB1">
              <w:rPr>
                <w:rFonts w:eastAsia="Calibri" w:cs="Arial"/>
                <w:b/>
                <w:sz w:val="18"/>
                <w:szCs w:val="18"/>
                <w:lang w:eastAsia="en-GB"/>
              </w:rPr>
              <w:t>5.68</w:t>
            </w:r>
          </w:p>
          <w:p w14:paraId="0A39C0E9" w14:textId="79D6E293" w:rsidR="006C68F3" w:rsidRPr="003E6BB1" w:rsidRDefault="006C68F3" w:rsidP="002D0BFB">
            <w:pPr>
              <w:suppressAutoHyphens w:val="0"/>
              <w:jc w:val="center"/>
              <w:rPr>
                <w:rFonts w:eastAsia="Calibri" w:cs="Arial"/>
                <w:b/>
                <w:sz w:val="18"/>
                <w:szCs w:val="18"/>
                <w:lang w:eastAsia="en-GB"/>
              </w:rPr>
            </w:pPr>
            <w:r w:rsidRPr="005272CD">
              <w:rPr>
                <w:rFonts w:cs="Calibri"/>
                <w:sz w:val="18"/>
                <w:szCs w:val="18"/>
                <w:lang w:eastAsia="fr-FR"/>
              </w:rPr>
              <w:t>but in the natural background</w:t>
            </w:r>
          </w:p>
        </w:tc>
      </w:tr>
      <w:tr w:rsidR="002D0BFB" w:rsidRPr="00610513" w14:paraId="5A3CBB75" w14:textId="77777777" w:rsidTr="002D0BFB">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CD4E2C" w14:textId="77777777" w:rsidR="002D0BFB" w:rsidRPr="00944F55" w:rsidRDefault="002D0BFB" w:rsidP="002D0BFB">
            <w:pPr>
              <w:suppressAutoHyphens w:val="0"/>
              <w:rPr>
                <w:rFonts w:eastAsia="Calibri" w:cs="Arial"/>
                <w:sz w:val="18"/>
                <w:szCs w:val="18"/>
                <w:lang w:eastAsia="en-GB"/>
              </w:rPr>
            </w:pPr>
            <w:r>
              <w:rPr>
                <w:rFonts w:eastAsia="Calibri" w:cs="Arial"/>
                <w:sz w:val="18"/>
                <w:szCs w:val="18"/>
                <w:lang w:eastAsia="en-GB"/>
              </w:rPr>
              <w:t>L(+) Lactic acid</w:t>
            </w:r>
          </w:p>
        </w:tc>
      </w:tr>
      <w:tr w:rsidR="002D0BFB" w:rsidRPr="00610513" w14:paraId="7E5D225D" w14:textId="77777777" w:rsidTr="002D0BFB">
        <w:trPr>
          <w:trHeight w:val="340"/>
        </w:trPr>
        <w:tc>
          <w:tcPr>
            <w:tcW w:w="1166" w:type="pct"/>
            <w:tcBorders>
              <w:top w:val="single" w:sz="4" w:space="0" w:color="auto"/>
              <w:left w:val="single" w:sz="4" w:space="0" w:color="auto"/>
              <w:bottom w:val="single" w:sz="4" w:space="0" w:color="auto"/>
            </w:tcBorders>
            <w:shd w:val="clear" w:color="auto" w:fill="auto"/>
            <w:vAlign w:val="center"/>
          </w:tcPr>
          <w:p w14:paraId="66F070A9" w14:textId="77777777" w:rsidR="002D0BFB" w:rsidRDefault="002D0BFB" w:rsidP="002D0BFB">
            <w:pPr>
              <w:spacing w:line="276" w:lineRule="auto"/>
              <w:jc w:val="right"/>
              <w:rPr>
                <w:rFonts w:eastAsia="Calibri" w:cs="Arial"/>
                <w:sz w:val="18"/>
                <w:szCs w:val="18"/>
                <w:lang w:eastAsia="en-GB"/>
              </w:rPr>
            </w:pPr>
            <w:r>
              <w:rPr>
                <w:rFonts w:eastAsia="Calibri" w:cs="Arial"/>
                <w:sz w:val="18"/>
                <w:szCs w:val="18"/>
                <w:lang w:eastAsia="en-GB"/>
              </w:rPr>
              <w:t>Grassland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311EF895" w14:textId="77777777" w:rsidR="002D0BFB" w:rsidRDefault="002D0BFB" w:rsidP="002D0BFB">
            <w:pPr>
              <w:suppressAutoHyphens w:val="0"/>
              <w:jc w:val="center"/>
              <w:rPr>
                <w:rFonts w:cs="Calibri"/>
                <w:sz w:val="18"/>
                <w:szCs w:val="18"/>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0C334945" w14:textId="69056C94" w:rsidR="002D0BFB" w:rsidRDefault="002D0BFB" w:rsidP="002D0BFB">
            <w:pPr>
              <w:suppressAutoHyphens w:val="0"/>
              <w:jc w:val="center"/>
              <w:rPr>
                <w:rFonts w:cs="Calibri"/>
                <w:sz w:val="18"/>
                <w:szCs w:val="18"/>
              </w:rPr>
            </w:pPr>
            <w:r>
              <w:rPr>
                <w:rFonts w:cs="Calibri"/>
                <w:sz w:val="18"/>
                <w:szCs w:val="18"/>
              </w:rPr>
              <w:t>7.49E-05</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268E8714" w14:textId="5F3F6094" w:rsidR="002D0BFB" w:rsidRDefault="002D0BFB" w:rsidP="002D0BFB">
            <w:pPr>
              <w:suppressAutoHyphens w:val="0"/>
              <w:jc w:val="center"/>
              <w:rPr>
                <w:rFonts w:cs="Calibri"/>
                <w:sz w:val="18"/>
                <w:szCs w:val="18"/>
              </w:rPr>
            </w:pPr>
            <w:r>
              <w:rPr>
                <w:rFonts w:cs="Calibri"/>
                <w:sz w:val="18"/>
                <w:szCs w:val="18"/>
              </w:rPr>
              <w:t>7.</w:t>
            </w:r>
            <w:r w:rsidR="001A59FE">
              <w:rPr>
                <w:rFonts w:cs="Calibri"/>
                <w:sz w:val="18"/>
                <w:szCs w:val="18"/>
              </w:rPr>
              <w:t>21</w:t>
            </w:r>
            <w:r>
              <w:rPr>
                <w:rFonts w:cs="Calibri"/>
                <w:sz w:val="18"/>
                <w:szCs w:val="18"/>
              </w:rPr>
              <w:t>E-04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4E0C7C8" w14:textId="07B2AA16" w:rsidR="002D0BFB" w:rsidRPr="003E6BB1" w:rsidRDefault="002D0BFB" w:rsidP="002D0BFB">
            <w:pPr>
              <w:suppressAutoHyphens w:val="0"/>
              <w:jc w:val="center"/>
              <w:rPr>
                <w:rFonts w:eastAsia="Calibri" w:cs="Arial"/>
                <w:b/>
                <w:sz w:val="18"/>
                <w:szCs w:val="18"/>
                <w:lang w:eastAsia="en-GB"/>
              </w:rPr>
            </w:pPr>
            <w:r w:rsidRPr="003E6BB1">
              <w:rPr>
                <w:rFonts w:eastAsia="Calibri" w:cs="Arial"/>
                <w:b/>
                <w:sz w:val="18"/>
                <w:szCs w:val="18"/>
                <w:lang w:eastAsia="en-GB"/>
              </w:rPr>
              <w:t>2.92</w:t>
            </w:r>
          </w:p>
        </w:tc>
      </w:tr>
      <w:tr w:rsidR="002D0BFB" w:rsidRPr="00610513" w14:paraId="78C2BB0E" w14:textId="77777777" w:rsidTr="002D0BFB">
        <w:trPr>
          <w:trHeight w:val="340"/>
        </w:trPr>
        <w:tc>
          <w:tcPr>
            <w:tcW w:w="1166" w:type="pct"/>
            <w:tcBorders>
              <w:top w:val="single" w:sz="4" w:space="0" w:color="auto"/>
              <w:left w:val="single" w:sz="4" w:space="0" w:color="auto"/>
              <w:bottom w:val="single" w:sz="4" w:space="0" w:color="auto"/>
            </w:tcBorders>
            <w:shd w:val="clear" w:color="auto" w:fill="auto"/>
            <w:vAlign w:val="center"/>
          </w:tcPr>
          <w:p w14:paraId="55FC3A67" w14:textId="77777777" w:rsidR="002D0BFB" w:rsidRDefault="002D0BFB" w:rsidP="002D0BFB">
            <w:pPr>
              <w:spacing w:line="276" w:lineRule="auto"/>
              <w:jc w:val="right"/>
              <w:rPr>
                <w:rFonts w:eastAsia="Calibri" w:cs="Arial"/>
                <w:sz w:val="18"/>
                <w:szCs w:val="18"/>
                <w:lang w:eastAsia="en-GB"/>
              </w:rPr>
            </w:pPr>
            <w:r>
              <w:rPr>
                <w:rFonts w:eastAsia="Calibri" w:cs="Arial"/>
                <w:sz w:val="18"/>
                <w:szCs w:val="18"/>
                <w:lang w:eastAsia="en-GB"/>
              </w:rPr>
              <w:t>Arable land</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14:paraId="48595B8E" w14:textId="77777777" w:rsidR="002D0BFB" w:rsidRDefault="002D0BFB" w:rsidP="002D0BFB">
            <w:pPr>
              <w:suppressAutoHyphens w:val="0"/>
              <w:jc w:val="center"/>
              <w:rPr>
                <w:rFonts w:cs="Calibri"/>
                <w:sz w:val="18"/>
                <w:szCs w:val="18"/>
              </w:rPr>
            </w:pPr>
            <w:r>
              <w:rPr>
                <w:rFonts w:cs="Calibri"/>
                <w:sz w:val="18"/>
                <w:szCs w:val="18"/>
                <w:lang w:val="fr-FR" w:eastAsia="fr-FR"/>
              </w:rPr>
              <w:t>n.r.</w:t>
            </w:r>
          </w:p>
        </w:tc>
        <w:tc>
          <w:tcPr>
            <w:tcW w:w="1052" w:type="pct"/>
            <w:tcBorders>
              <w:top w:val="single" w:sz="4" w:space="0" w:color="auto"/>
              <w:left w:val="single" w:sz="4" w:space="0" w:color="auto"/>
              <w:bottom w:val="single" w:sz="4" w:space="0" w:color="auto"/>
              <w:right w:val="single" w:sz="4" w:space="0" w:color="auto"/>
            </w:tcBorders>
            <w:shd w:val="clear" w:color="auto" w:fill="FFFFFF"/>
            <w:vAlign w:val="center"/>
          </w:tcPr>
          <w:p w14:paraId="271A4422" w14:textId="443A547C" w:rsidR="002D0BFB" w:rsidRDefault="002D0BFB" w:rsidP="002D0BFB">
            <w:pPr>
              <w:suppressAutoHyphens w:val="0"/>
              <w:jc w:val="center"/>
              <w:rPr>
                <w:rFonts w:cs="Calibri"/>
                <w:sz w:val="18"/>
                <w:szCs w:val="18"/>
              </w:rPr>
            </w:pPr>
            <w:r>
              <w:rPr>
                <w:rFonts w:cs="Calibri"/>
                <w:sz w:val="18"/>
                <w:szCs w:val="18"/>
              </w:rPr>
              <w:t>6.33E-05</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14:paraId="35B49542" w14:textId="1DDE7BE5" w:rsidR="002D0BFB" w:rsidRDefault="002D0BFB" w:rsidP="002D0BFB">
            <w:pPr>
              <w:suppressAutoHyphens w:val="0"/>
              <w:jc w:val="center"/>
              <w:rPr>
                <w:rFonts w:cs="Calibri"/>
                <w:sz w:val="18"/>
                <w:szCs w:val="18"/>
              </w:rPr>
            </w:pPr>
            <w:r>
              <w:rPr>
                <w:rFonts w:cs="Calibri"/>
                <w:sz w:val="18"/>
                <w:szCs w:val="18"/>
              </w:rPr>
              <w:t>6.11E-04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BCED4B3" w14:textId="724542E4" w:rsidR="002D0BFB" w:rsidRPr="003E6BB1" w:rsidRDefault="002D0BFB" w:rsidP="002D0BFB">
            <w:pPr>
              <w:suppressAutoHyphens w:val="0"/>
              <w:jc w:val="center"/>
              <w:rPr>
                <w:rFonts w:eastAsia="Calibri" w:cs="Arial"/>
                <w:b/>
                <w:sz w:val="18"/>
                <w:szCs w:val="18"/>
                <w:lang w:eastAsia="en-GB"/>
              </w:rPr>
            </w:pPr>
            <w:r w:rsidRPr="003E6BB1">
              <w:rPr>
                <w:rFonts w:eastAsia="Calibri" w:cs="Arial"/>
                <w:b/>
                <w:sz w:val="18"/>
                <w:szCs w:val="18"/>
                <w:lang w:eastAsia="en-GB"/>
              </w:rPr>
              <w:t>2.47</w:t>
            </w:r>
          </w:p>
        </w:tc>
      </w:tr>
    </w:tbl>
    <w:p w14:paraId="618EF4CE" w14:textId="33413042" w:rsidR="002D0BFB" w:rsidRPr="00454D17" w:rsidRDefault="00454D17" w:rsidP="002D0BFB">
      <w:pPr>
        <w:rPr>
          <w:rFonts w:eastAsia="Calibri"/>
          <w:sz w:val="18"/>
          <w:szCs w:val="18"/>
          <w:lang w:eastAsia="en-US"/>
        </w:rPr>
      </w:pPr>
      <w:r w:rsidRPr="00454D17">
        <w:rPr>
          <w:rFonts w:eastAsia="Calibri"/>
          <w:sz w:val="18"/>
          <w:szCs w:val="18"/>
          <w:lang w:eastAsia="en-US"/>
        </w:rPr>
        <w:t>n.r.: not relevant</w:t>
      </w:r>
    </w:p>
    <w:p w14:paraId="59DF9C8A" w14:textId="77777777" w:rsidR="002D0BFB" w:rsidRDefault="002D0BFB" w:rsidP="00567E0E">
      <w:pPr>
        <w:rPr>
          <w:rFonts w:eastAsia="Calibri"/>
          <w:lang w:eastAsia="en-US"/>
        </w:rPr>
      </w:pPr>
    </w:p>
    <w:p w14:paraId="085E4FD8" w14:textId="0D8D6F25" w:rsidR="00E3544E" w:rsidRPr="00D80C90" w:rsidRDefault="006C68F3" w:rsidP="00E3544E">
      <w:pPr>
        <w:jc w:val="both"/>
        <w:rPr>
          <w:rFonts w:eastAsia="Calibri"/>
          <w:lang w:eastAsia="en-US"/>
        </w:rPr>
      </w:pPr>
      <w:r>
        <w:rPr>
          <w:rFonts w:eastAsia="Calibri"/>
          <w:lang w:eastAsia="en-US"/>
        </w:rPr>
        <w:lastRenderedPageBreak/>
        <w:t>After a comparison with the background concentrations in iodine in the different compartments, risk</w:t>
      </w:r>
      <w:r w:rsidR="00354826">
        <w:rPr>
          <w:rFonts w:eastAsia="Calibri"/>
          <w:lang w:eastAsia="en-US"/>
        </w:rPr>
        <w:t>s</w:t>
      </w:r>
      <w:r>
        <w:rPr>
          <w:rFonts w:eastAsia="Calibri"/>
          <w:lang w:eastAsia="en-US"/>
        </w:rPr>
        <w:t xml:space="preserve"> are deemed acceptable whatever the emission pathway.</w:t>
      </w:r>
    </w:p>
    <w:p w14:paraId="2529D295" w14:textId="77777777" w:rsidR="00E3544E" w:rsidRDefault="00E3544E" w:rsidP="00E3544E">
      <w:pPr>
        <w:jc w:val="both"/>
        <w:rPr>
          <w:rFonts w:eastAsia="Calibri"/>
          <w:lang w:eastAsia="en-US"/>
        </w:rPr>
      </w:pPr>
    </w:p>
    <w:p w14:paraId="5080720C" w14:textId="5DBF0838" w:rsidR="00E3544E" w:rsidRDefault="006C68F3" w:rsidP="00E3544E">
      <w:pPr>
        <w:jc w:val="both"/>
        <w:rPr>
          <w:rFonts w:eastAsia="Calibri"/>
          <w:lang w:eastAsia="en-US"/>
        </w:rPr>
      </w:pPr>
      <w:r>
        <w:rPr>
          <w:rFonts w:eastAsia="Calibri"/>
          <w:lang w:eastAsia="en-US"/>
        </w:rPr>
        <w:t>In fact Iodine is</w:t>
      </w:r>
      <w:r w:rsidR="00E3544E" w:rsidRPr="00D80C90">
        <w:rPr>
          <w:rFonts w:eastAsia="Calibri"/>
          <w:lang w:eastAsia="en-US"/>
        </w:rPr>
        <w:t xml:space="preserve"> a natural occurring compound for which aquatic background levels are reported between 0.5 and 20 µg/L</w:t>
      </w:r>
      <w:r w:rsidR="00E3544E">
        <w:rPr>
          <w:rFonts w:eastAsia="Calibri"/>
          <w:lang w:eastAsia="en-US"/>
        </w:rPr>
        <w:t>. The PEC value obtained for iodine via slurry manure application on grassland of 0.679 µg/L is in the range of the environmental background</w:t>
      </w:r>
      <w:r w:rsidR="00E3544E" w:rsidRPr="00D80C90">
        <w:rPr>
          <w:rFonts w:eastAsia="Calibri"/>
          <w:lang w:eastAsia="en-US"/>
        </w:rPr>
        <w:t xml:space="preserve">. </w:t>
      </w:r>
    </w:p>
    <w:p w14:paraId="5AC9B29C" w14:textId="08026BE1" w:rsidR="004236E4" w:rsidRDefault="004236E4" w:rsidP="00E3544E">
      <w:pPr>
        <w:jc w:val="both"/>
        <w:rPr>
          <w:rFonts w:eastAsia="Calibri"/>
          <w:lang w:eastAsia="en-US"/>
        </w:rPr>
      </w:pPr>
    </w:p>
    <w:p w14:paraId="4344936D" w14:textId="6025A034" w:rsidR="00E3544E" w:rsidRDefault="00E3544E" w:rsidP="00E3544E">
      <w:pPr>
        <w:jc w:val="both"/>
        <w:rPr>
          <w:rFonts w:eastAsia="Calibri"/>
          <w:lang w:eastAsia="en-US"/>
        </w:rPr>
      </w:pPr>
      <w:r w:rsidRPr="00375444">
        <w:rPr>
          <w:rFonts w:eastAsia="Calibri"/>
          <w:lang w:eastAsia="en-US"/>
        </w:rPr>
        <w:t xml:space="preserve">Iodine and iodide species occur naturally in the terrestrial environment for which the natural global mean background concentration is 5 mg/kg dwt and varies with geographical locations and local geology. The background concentrations vary between </w:t>
      </w:r>
      <w:r>
        <w:rPr>
          <w:rFonts w:eastAsia="Calibri"/>
          <w:lang w:eastAsia="en-US"/>
        </w:rPr>
        <w:t>0.565 to 22.6</w:t>
      </w:r>
      <w:r w:rsidR="00D23C70">
        <w:rPr>
          <w:rFonts w:eastAsia="Calibri"/>
          <w:lang w:eastAsia="en-US"/>
        </w:rPr>
        <w:t xml:space="preserve"> </w:t>
      </w:r>
      <w:r w:rsidRPr="00375444">
        <w:rPr>
          <w:rFonts w:eastAsia="Calibri"/>
          <w:lang w:eastAsia="en-US"/>
        </w:rPr>
        <w:t xml:space="preserve">mg/kg </w:t>
      </w:r>
      <w:r>
        <w:rPr>
          <w:rFonts w:eastAsia="Calibri"/>
          <w:lang w:eastAsia="en-US"/>
        </w:rPr>
        <w:t>w</w:t>
      </w:r>
      <w:r w:rsidRPr="00375444">
        <w:rPr>
          <w:rFonts w:eastAsia="Calibri"/>
          <w:lang w:eastAsia="en-US"/>
        </w:rPr>
        <w:t xml:space="preserve">wt, </w:t>
      </w:r>
      <w:r>
        <w:rPr>
          <w:rFonts w:eastAsia="Calibri"/>
          <w:lang w:eastAsia="en-US"/>
        </w:rPr>
        <w:t>w</w:t>
      </w:r>
      <w:r w:rsidRPr="009D1AF4">
        <w:rPr>
          <w:rFonts w:eastAsia="Calibri"/>
          <w:lang w:eastAsia="en-US"/>
        </w:rPr>
        <w:t>ith extremes up to 110.74 mg/kg wwt</w:t>
      </w:r>
      <w:r w:rsidRPr="00375444">
        <w:rPr>
          <w:rFonts w:eastAsia="Calibri"/>
          <w:lang w:eastAsia="en-US"/>
        </w:rPr>
        <w:t xml:space="preserve">. The expected PECs </w:t>
      </w:r>
      <w:r>
        <w:rPr>
          <w:rFonts w:eastAsia="Calibri"/>
          <w:lang w:eastAsia="en-US"/>
        </w:rPr>
        <w:t>via STP (0.0236</w:t>
      </w:r>
      <w:r w:rsidRPr="00925304">
        <w:t xml:space="preserve"> </w:t>
      </w:r>
      <w:r w:rsidRPr="00925304">
        <w:rPr>
          <w:rFonts w:eastAsia="Calibri"/>
          <w:lang w:eastAsia="en-US"/>
        </w:rPr>
        <w:t>mg iodine/kg wwt</w:t>
      </w:r>
      <w:r>
        <w:rPr>
          <w:rFonts w:eastAsia="Calibri"/>
          <w:lang w:eastAsia="en-US"/>
        </w:rPr>
        <w:t xml:space="preserve">) and via slurry/manure </w:t>
      </w:r>
      <w:r w:rsidRPr="00375444">
        <w:rPr>
          <w:rFonts w:eastAsia="Calibri"/>
          <w:lang w:eastAsia="en-US"/>
        </w:rPr>
        <w:t>after ten years (0.0</w:t>
      </w:r>
      <w:r>
        <w:rPr>
          <w:rFonts w:eastAsia="Calibri"/>
          <w:lang w:eastAsia="en-US"/>
        </w:rPr>
        <w:t>357</w:t>
      </w:r>
      <w:r w:rsidRPr="00375444">
        <w:rPr>
          <w:rFonts w:eastAsia="Calibri"/>
          <w:lang w:eastAsia="en-US"/>
        </w:rPr>
        <w:t xml:space="preserve"> mg iodine/kg wwt in grassland and 0.0</w:t>
      </w:r>
      <w:r>
        <w:rPr>
          <w:rFonts w:eastAsia="Calibri"/>
          <w:lang w:eastAsia="en-US"/>
        </w:rPr>
        <w:t>215</w:t>
      </w:r>
      <w:r w:rsidRPr="00375444">
        <w:rPr>
          <w:rFonts w:eastAsia="Calibri"/>
          <w:lang w:eastAsia="en-US"/>
        </w:rPr>
        <w:t xml:space="preserve"> mg iodine/kg wwt in arable land) are </w:t>
      </w:r>
      <w:r w:rsidR="00D23C70">
        <w:rPr>
          <w:rFonts w:eastAsia="Calibri"/>
          <w:lang w:eastAsia="en-US"/>
        </w:rPr>
        <w:t>lower to the background concentrations.</w:t>
      </w:r>
    </w:p>
    <w:p w14:paraId="38D89204" w14:textId="77777777" w:rsidR="00E3544E" w:rsidRDefault="00E3544E" w:rsidP="00E3544E">
      <w:pPr>
        <w:jc w:val="both"/>
        <w:rPr>
          <w:rFonts w:eastAsia="Calibri"/>
          <w:lang w:eastAsia="en-US"/>
        </w:rPr>
      </w:pPr>
    </w:p>
    <w:p w14:paraId="6248F343" w14:textId="1F6C5411" w:rsidR="00E3544E" w:rsidRDefault="00E3544E" w:rsidP="00E3544E">
      <w:pPr>
        <w:jc w:val="both"/>
        <w:rPr>
          <w:rFonts w:eastAsia="Calibri"/>
          <w:lang w:eastAsia="en-US"/>
        </w:rPr>
      </w:pPr>
      <w:r w:rsidRPr="00803F2A">
        <w:rPr>
          <w:rFonts w:eastAsia="Calibri"/>
          <w:lang w:eastAsia="en-US"/>
        </w:rPr>
        <w:t xml:space="preserve">The </w:t>
      </w:r>
      <w:r>
        <w:rPr>
          <w:rFonts w:eastAsia="Calibri"/>
          <w:lang w:eastAsia="en-US"/>
        </w:rPr>
        <w:t xml:space="preserve">highest </w:t>
      </w:r>
      <w:r w:rsidRPr="00803F2A">
        <w:rPr>
          <w:rFonts w:eastAsia="Calibri"/>
          <w:lang w:eastAsia="en-US"/>
        </w:rPr>
        <w:t xml:space="preserve">concentration in the soil’s pore water </w:t>
      </w:r>
      <w:r>
        <w:rPr>
          <w:rFonts w:eastAsia="Calibri"/>
          <w:lang w:eastAsia="en-US"/>
        </w:rPr>
        <w:t xml:space="preserve">for iodine compounds </w:t>
      </w:r>
      <w:r w:rsidRPr="00803F2A">
        <w:rPr>
          <w:rFonts w:eastAsia="Calibri"/>
          <w:lang w:eastAsia="en-US"/>
        </w:rPr>
        <w:t xml:space="preserve">is expected to be </w:t>
      </w:r>
      <w:r>
        <w:rPr>
          <w:rFonts w:eastAsia="Calibri"/>
          <w:lang w:eastAsia="en-US"/>
        </w:rPr>
        <w:t>9.42</w:t>
      </w:r>
      <w:r w:rsidRPr="00803F2A">
        <w:rPr>
          <w:rFonts w:eastAsia="Calibri"/>
          <w:lang w:eastAsia="en-US"/>
        </w:rPr>
        <w:t xml:space="preserve"> µg</w:t>
      </w:r>
      <w:r>
        <w:rPr>
          <w:rFonts w:eastAsia="Calibri"/>
          <w:lang w:eastAsia="en-US"/>
        </w:rPr>
        <w:t xml:space="preserve"> iodate</w:t>
      </w:r>
      <w:r w:rsidRPr="00803F2A">
        <w:rPr>
          <w:rFonts w:eastAsia="Calibri"/>
          <w:lang w:eastAsia="en-US"/>
        </w:rPr>
        <w:t xml:space="preserve">/L after repeated manure applications for ten successive years. However, it should be noted that the 0.1 µg/L limit is set for organic chemicals and therefore not feasible for iodine. Therefore, the predicted concentrations were </w:t>
      </w:r>
      <w:r w:rsidR="00D23C70">
        <w:rPr>
          <w:rFonts w:eastAsia="Calibri"/>
          <w:lang w:eastAsia="en-US"/>
        </w:rPr>
        <w:t xml:space="preserve">also </w:t>
      </w:r>
      <w:r w:rsidRPr="00803F2A">
        <w:rPr>
          <w:rFonts w:eastAsia="Calibri"/>
          <w:lang w:eastAsia="en-US"/>
        </w:rPr>
        <w:t>compared to natural background concentrations. Iodine is a natural occurring compound occurring in groundwater for which the concentration ranges from 1 to 70 µg/L (the latter are found in coastal and arid areas). Anthropogenic emission may therefore increase the natural background concentrations multiple times in case groundwater is low in iodine, but the expected concentrations are still within the natural background concentrations. The calculated exceeding of the 0.1 µg/L limit is therefore considered acceptable.</w:t>
      </w:r>
    </w:p>
    <w:p w14:paraId="23A92FD4" w14:textId="77777777" w:rsidR="00E3544E" w:rsidRDefault="00E3544E" w:rsidP="00E3544E">
      <w:pPr>
        <w:jc w:val="both"/>
        <w:rPr>
          <w:rFonts w:eastAsia="Calibri"/>
          <w:lang w:eastAsia="en-US"/>
        </w:rPr>
      </w:pPr>
    </w:p>
    <w:p w14:paraId="2C9C8D5E" w14:textId="273E2E54" w:rsidR="00E3544E" w:rsidRDefault="00E3544E" w:rsidP="00E3544E">
      <w:pPr>
        <w:jc w:val="both"/>
        <w:rPr>
          <w:rFonts w:eastAsia="Calibri"/>
          <w:lang w:eastAsia="en-US"/>
        </w:rPr>
      </w:pPr>
      <w:r>
        <w:rPr>
          <w:rFonts w:eastAsia="Calibri"/>
          <w:lang w:eastAsia="en-US"/>
        </w:rPr>
        <w:t xml:space="preserve">Risks are acceptable </w:t>
      </w:r>
      <w:r w:rsidR="00D23C70">
        <w:rPr>
          <w:rFonts w:eastAsia="Calibri"/>
          <w:lang w:eastAsia="en-US"/>
        </w:rPr>
        <w:t>regarding all the relevant environmental compartments</w:t>
      </w:r>
      <w:r>
        <w:rPr>
          <w:rFonts w:eastAsia="Calibri"/>
          <w:lang w:eastAsia="en-US"/>
        </w:rPr>
        <w:t xml:space="preserve"> for the active substance L(+) Lactic acid </w:t>
      </w:r>
      <w:r w:rsidR="00D23C70">
        <w:rPr>
          <w:rFonts w:eastAsia="Calibri"/>
          <w:lang w:eastAsia="en-US"/>
        </w:rPr>
        <w:t>when releases are directed to the STP</w:t>
      </w:r>
      <w:r>
        <w:rPr>
          <w:rFonts w:eastAsia="Calibri"/>
          <w:lang w:eastAsia="en-US"/>
        </w:rPr>
        <w:t xml:space="preserve">. </w:t>
      </w:r>
    </w:p>
    <w:p w14:paraId="20682CEE" w14:textId="77777777" w:rsidR="00D23C70" w:rsidRDefault="00D23C70" w:rsidP="00E3544E">
      <w:pPr>
        <w:jc w:val="both"/>
        <w:rPr>
          <w:rFonts w:eastAsia="Calibri"/>
          <w:lang w:eastAsia="en-US"/>
        </w:rPr>
      </w:pPr>
    </w:p>
    <w:p w14:paraId="0CE80F37" w14:textId="2EC2102D" w:rsidR="00E3544E" w:rsidRDefault="00E3544E" w:rsidP="00E3544E">
      <w:pPr>
        <w:jc w:val="both"/>
        <w:rPr>
          <w:rFonts w:eastAsia="Calibri"/>
          <w:lang w:eastAsia="en-US"/>
        </w:rPr>
      </w:pPr>
      <w:r>
        <w:rPr>
          <w:rFonts w:eastAsia="Calibri"/>
          <w:lang w:eastAsia="en-US"/>
        </w:rPr>
        <w:t xml:space="preserve">Risks are acceptable for the aquatic and terrestrial compartment for the active substance L(+) Lactic acid via slurry/manure application on both grassland and arable land. </w:t>
      </w:r>
      <w:r w:rsidRPr="00F732AC">
        <w:rPr>
          <w:rFonts w:eastAsia="Calibri"/>
          <w:lang w:eastAsia="en-US"/>
        </w:rPr>
        <w:t>The concentration of the active substance L(+) Lactic acid in groundwater exceeds the quality standard for pesticides and biocidal products according to Directive 2006/118/EC for drinking water (0.1 μg/L). However, as explained in section “2.2.2.1 - Effects assessment on the environment”, there is no need for further calculation in groundwater risk assessment for active substance L(+) Lactic acid. Therefore, a Tier 2 assessment using Focus Pearl model is not required</w:t>
      </w:r>
      <w:r>
        <w:rPr>
          <w:rFonts w:eastAsia="Calibri"/>
          <w:lang w:eastAsia="en-US"/>
        </w:rPr>
        <w:t xml:space="preserve"> and all the risk for the active substance L(+) Lactic acid are considered acceptable</w:t>
      </w:r>
      <w:r w:rsidR="00304E58">
        <w:rPr>
          <w:rFonts w:eastAsia="Calibri"/>
          <w:lang w:eastAsia="en-US"/>
        </w:rPr>
        <w:t>.</w:t>
      </w:r>
    </w:p>
    <w:p w14:paraId="7E36BC8D" w14:textId="77777777" w:rsidR="00567E0E" w:rsidRDefault="00567E0E" w:rsidP="00567E0E">
      <w:pPr>
        <w:spacing w:before="60" w:line="276" w:lineRule="auto"/>
        <w:rPr>
          <w:rFonts w:ascii="Times New Roman" w:eastAsia="Calibri" w:hAnsi="Times New Roman" w:cs="Times New Roman"/>
          <w:b/>
          <w:i/>
          <w:sz w:val="22"/>
          <w:szCs w:val="22"/>
          <w:lang w:eastAsia="en-US"/>
        </w:rPr>
      </w:pPr>
    </w:p>
    <w:p w14:paraId="14EC6423" w14:textId="77777777" w:rsidR="00567E0E" w:rsidRDefault="00567E0E" w:rsidP="00567E0E">
      <w:pPr>
        <w:spacing w:before="120" w:after="120" w:line="260" w:lineRule="atLeast"/>
        <w:ind w:left="142"/>
        <w:jc w:val="both"/>
        <w:rPr>
          <w:rFonts w:ascii="Times New Roman" w:eastAsia="Calibri" w:hAnsi="Times New Roman" w:cs="Times New Roman"/>
          <w:i/>
          <w:lang w:eastAsia="en-GB"/>
        </w:rPr>
      </w:pPr>
    </w:p>
    <w:p w14:paraId="4BCA5061" w14:textId="77777777" w:rsidR="00567E0E" w:rsidRDefault="00567E0E" w:rsidP="00567E0E">
      <w:pPr>
        <w:rPr>
          <w:rFonts w:eastAsia="Calibri"/>
          <w:b/>
          <w:i/>
          <w:sz w:val="22"/>
          <w:szCs w:val="22"/>
          <w:u w:val="single"/>
          <w:lang w:eastAsia="en-US"/>
        </w:rPr>
      </w:pPr>
      <w:r>
        <w:rPr>
          <w:rFonts w:eastAsia="Calibri"/>
          <w:b/>
          <w:i/>
          <w:sz w:val="22"/>
          <w:szCs w:val="22"/>
          <w:lang w:eastAsia="en-US"/>
        </w:rPr>
        <w:t>Primary and secondary poisoning</w:t>
      </w:r>
    </w:p>
    <w:p w14:paraId="2B7A85E3" w14:textId="77777777" w:rsidR="00567E0E" w:rsidRDefault="00567E0E" w:rsidP="00567E0E">
      <w:pPr>
        <w:rPr>
          <w:rFonts w:eastAsia="Calibri"/>
          <w:b/>
          <w:i/>
          <w:sz w:val="22"/>
          <w:szCs w:val="22"/>
          <w:u w:val="single"/>
          <w:lang w:eastAsia="en-US"/>
        </w:rPr>
      </w:pPr>
    </w:p>
    <w:p w14:paraId="166F177B" w14:textId="77777777" w:rsidR="00567E0E" w:rsidRDefault="00567E0E" w:rsidP="00567E0E">
      <w:pPr>
        <w:jc w:val="both"/>
        <w:rPr>
          <w:rFonts w:eastAsia="Calibri"/>
          <w:lang w:eastAsia="en-US"/>
        </w:rPr>
      </w:pPr>
      <w:r w:rsidRPr="002B2AD5">
        <w:rPr>
          <w:rFonts w:eastAsia="Calibri"/>
          <w:lang w:eastAsia="en-US"/>
        </w:rPr>
        <w:t>Primary poisoning is not expected for the intended use, which is taking place indoors.</w:t>
      </w:r>
    </w:p>
    <w:p w14:paraId="3EE47E22" w14:textId="77777777" w:rsidR="00567E0E" w:rsidRPr="002B2AD5" w:rsidRDefault="00567E0E" w:rsidP="00567E0E">
      <w:pPr>
        <w:jc w:val="both"/>
        <w:rPr>
          <w:rFonts w:eastAsia="Calibri"/>
          <w:lang w:eastAsia="en-US"/>
        </w:rPr>
      </w:pPr>
    </w:p>
    <w:p w14:paraId="5EC7BDE2" w14:textId="77777777" w:rsidR="00567E0E" w:rsidRDefault="00567E0E" w:rsidP="00567E0E">
      <w:pPr>
        <w:jc w:val="both"/>
        <w:rPr>
          <w:rFonts w:eastAsia="Calibri"/>
          <w:lang w:eastAsia="en-US"/>
        </w:rPr>
      </w:pPr>
      <w:r w:rsidRPr="002B2AD5">
        <w:rPr>
          <w:rFonts w:eastAsia="Calibri"/>
          <w:lang w:eastAsia="en-US"/>
        </w:rPr>
        <w:t xml:space="preserve">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w:t>
      </w:r>
    </w:p>
    <w:p w14:paraId="2FCC77A5" w14:textId="77777777" w:rsidR="00567E0E" w:rsidRDefault="00567E0E" w:rsidP="00567E0E">
      <w:pPr>
        <w:jc w:val="both"/>
        <w:rPr>
          <w:rFonts w:eastAsia="Calibri"/>
          <w:lang w:eastAsia="en-US"/>
        </w:rPr>
      </w:pPr>
    </w:p>
    <w:p w14:paraId="5216C809" w14:textId="77777777" w:rsidR="00567E0E" w:rsidRDefault="00567E0E" w:rsidP="00567E0E">
      <w:pPr>
        <w:jc w:val="both"/>
        <w:rPr>
          <w:rFonts w:eastAsia="Calibri"/>
          <w:lang w:eastAsia="en-US"/>
        </w:rPr>
      </w:pPr>
      <w:r w:rsidRPr="00417835">
        <w:rPr>
          <w:rFonts w:eastAsia="Calibri"/>
          <w:lang w:eastAsia="en-US"/>
        </w:rPr>
        <w:t>The secondary poisoning assessment is not re</w:t>
      </w:r>
      <w:r>
        <w:rPr>
          <w:rFonts w:eastAsia="Calibri"/>
          <w:lang w:eastAsia="en-US"/>
        </w:rPr>
        <w:t>levant for the active substance</w:t>
      </w:r>
      <w:r w:rsidRPr="00417835">
        <w:rPr>
          <w:rFonts w:eastAsia="Calibri"/>
          <w:lang w:eastAsia="en-US"/>
        </w:rPr>
        <w:t xml:space="preserve"> L(+) Lactic acid</w:t>
      </w:r>
      <w:r>
        <w:rPr>
          <w:rFonts w:eastAsia="Calibri"/>
          <w:lang w:eastAsia="en-US"/>
        </w:rPr>
        <w:t>. This substance is</w:t>
      </w:r>
      <w:r w:rsidRPr="00417835">
        <w:rPr>
          <w:rFonts w:eastAsia="Calibri"/>
          <w:lang w:eastAsia="en-US"/>
        </w:rPr>
        <w:t xml:space="preserve"> unlikely to bioaccumulate in aquatic or terrestrial environment according to the low Log Kow (&lt;3) </w:t>
      </w:r>
      <w:r>
        <w:rPr>
          <w:rFonts w:eastAsia="Calibri"/>
          <w:lang w:eastAsia="en-US"/>
        </w:rPr>
        <w:t>and a BCF &lt;100 indicating</w:t>
      </w:r>
      <w:r w:rsidRPr="00417835">
        <w:rPr>
          <w:rFonts w:eastAsia="Calibri"/>
          <w:lang w:eastAsia="en-US"/>
        </w:rPr>
        <w:t xml:space="preserve"> a negligible potential for </w:t>
      </w:r>
      <w:r w:rsidRPr="00417835">
        <w:rPr>
          <w:rFonts w:eastAsia="Calibri"/>
          <w:lang w:eastAsia="en-US"/>
        </w:rPr>
        <w:lastRenderedPageBreak/>
        <w:t>bioconcentration in biota and no accumulation of this substance in the food chain is expected.</w:t>
      </w:r>
      <w:r>
        <w:rPr>
          <w:rFonts w:eastAsia="Calibri"/>
          <w:lang w:eastAsia="en-US"/>
        </w:rPr>
        <w:t xml:space="preserve"> </w:t>
      </w:r>
    </w:p>
    <w:p w14:paraId="4F04EBF8" w14:textId="77777777" w:rsidR="00567E0E" w:rsidRDefault="00567E0E" w:rsidP="00567E0E">
      <w:pPr>
        <w:jc w:val="both"/>
        <w:rPr>
          <w:rFonts w:eastAsia="Calibri"/>
          <w:lang w:eastAsia="en-US"/>
        </w:rPr>
      </w:pPr>
    </w:p>
    <w:p w14:paraId="0ADD55C0" w14:textId="77777777" w:rsidR="00567E0E" w:rsidRDefault="00567E0E" w:rsidP="00567E0E">
      <w:pPr>
        <w:jc w:val="both"/>
        <w:rPr>
          <w:rFonts w:eastAsia="Calibri"/>
          <w:lang w:eastAsia="en-US"/>
        </w:rPr>
      </w:pPr>
      <w:r w:rsidRPr="002B2AD5">
        <w:rPr>
          <w:rFonts w:eastAsia="Calibri"/>
          <w:lang w:eastAsia="en-US"/>
        </w:rPr>
        <w:t xml:space="preserve">Hence the </w:t>
      </w:r>
      <w:r>
        <w:rPr>
          <w:rFonts w:eastAsia="Calibri"/>
          <w:lang w:eastAsia="en-US"/>
        </w:rPr>
        <w:t xml:space="preserve">ALGOFILM </w:t>
      </w:r>
      <w:r w:rsidRPr="002B2AD5">
        <w:rPr>
          <w:rFonts w:eastAsia="Calibri"/>
          <w:lang w:eastAsia="en-US"/>
        </w:rPr>
        <w:t>product does not pose an unacceptable risk to birds and mammals.</w:t>
      </w:r>
    </w:p>
    <w:p w14:paraId="682F5341" w14:textId="77777777" w:rsidR="00567E0E" w:rsidRDefault="00567E0E" w:rsidP="00567E0E">
      <w:pPr>
        <w:spacing w:line="260" w:lineRule="atLeast"/>
        <w:rPr>
          <w:rFonts w:ascii="Times New Roman" w:eastAsia="Calibri" w:hAnsi="Times New Roman" w:cs="Times New Roman"/>
          <w:i/>
          <w:lang w:eastAsia="en-US"/>
        </w:rPr>
      </w:pPr>
    </w:p>
    <w:p w14:paraId="7A99E0C4" w14:textId="77777777" w:rsidR="00567E0E" w:rsidRDefault="00567E0E" w:rsidP="00567E0E">
      <w:pPr>
        <w:rPr>
          <w:rFonts w:eastAsia="Calibri"/>
          <w:b/>
          <w:i/>
          <w:sz w:val="22"/>
          <w:szCs w:val="22"/>
          <w:lang w:eastAsia="en-US"/>
        </w:rPr>
      </w:pPr>
      <w:r>
        <w:rPr>
          <w:rFonts w:eastAsia="Calibri"/>
          <w:b/>
          <w:i/>
          <w:sz w:val="22"/>
          <w:szCs w:val="22"/>
          <w:lang w:eastAsia="en-US"/>
        </w:rPr>
        <w:t>Mixture toxicity</w:t>
      </w:r>
    </w:p>
    <w:p w14:paraId="7C50BE94" w14:textId="77777777" w:rsidR="00567E0E" w:rsidRDefault="00567E0E" w:rsidP="00567E0E">
      <w:pPr>
        <w:rPr>
          <w:rFonts w:eastAsia="Calibri"/>
          <w:b/>
          <w:i/>
          <w:sz w:val="22"/>
          <w:szCs w:val="22"/>
          <w:lang w:eastAsia="en-US"/>
        </w:rPr>
      </w:pPr>
    </w:p>
    <w:p w14:paraId="7901F67F" w14:textId="4F5C0ED1" w:rsidR="00227F6B" w:rsidRPr="00684597" w:rsidRDefault="002F6279" w:rsidP="00D3140E">
      <w:pPr>
        <w:jc w:val="both"/>
        <w:rPr>
          <w:lang w:eastAsia="en-GB"/>
        </w:rPr>
      </w:pPr>
      <w:r>
        <w:rPr>
          <w:rFonts w:eastAsia="Calibri"/>
          <w:lang w:eastAsia="en-US"/>
        </w:rPr>
        <w:t xml:space="preserve">ALGOFILM product contains two active substances and a mixture assessment should be performed. However, iodine and iodine compounds are compared to the environmental background levels, and it is not relevant to sum the </w:t>
      </w:r>
      <w:r w:rsidRPr="00723D78">
        <w:rPr>
          <w:rFonts w:eastAsia="Calibri"/>
          <w:lang w:eastAsia="en-US"/>
        </w:rPr>
        <w:t xml:space="preserve">PEC/PNEC values </w:t>
      </w:r>
      <w:r>
        <w:rPr>
          <w:rFonts w:eastAsia="Calibri"/>
          <w:lang w:eastAsia="en-US"/>
        </w:rPr>
        <w:t xml:space="preserve">to determine the mixture toxicity. </w:t>
      </w:r>
      <w:r w:rsidR="00227F6B">
        <w:rPr>
          <w:lang w:eastAsia="en-GB"/>
        </w:rPr>
        <w:t>Moreover</w:t>
      </w:r>
      <w:r w:rsidR="00227F6B" w:rsidRPr="00684597">
        <w:rPr>
          <w:lang w:eastAsia="en-GB"/>
        </w:rPr>
        <w:t xml:space="preserve"> worst case assumptions are considered in degradation of iodine to iodide and iodate. </w:t>
      </w:r>
      <w:r w:rsidR="00227F6B">
        <w:rPr>
          <w:lang w:eastAsia="en-GB"/>
        </w:rPr>
        <w:t>S</w:t>
      </w:r>
      <w:r w:rsidR="00227F6B" w:rsidRPr="00684597">
        <w:rPr>
          <w:lang w:eastAsia="en-GB"/>
        </w:rPr>
        <w:t>um</w:t>
      </w:r>
      <w:r w:rsidR="00227F6B">
        <w:rPr>
          <w:lang w:eastAsia="en-GB"/>
        </w:rPr>
        <w:t>ming</w:t>
      </w:r>
      <w:r w:rsidR="00227F6B" w:rsidRPr="00684597">
        <w:rPr>
          <w:lang w:eastAsia="en-GB"/>
        </w:rPr>
        <w:t xml:space="preserve"> up the RCR would lead to two worst case conclusions.</w:t>
      </w:r>
    </w:p>
    <w:p w14:paraId="1F8D8592" w14:textId="58B745AD" w:rsidR="002F6279" w:rsidRDefault="002F6279" w:rsidP="00227F6B">
      <w:pPr>
        <w:jc w:val="both"/>
        <w:rPr>
          <w:rFonts w:eastAsia="Calibri"/>
          <w:lang w:eastAsia="en-US"/>
        </w:rPr>
      </w:pPr>
      <w:r>
        <w:rPr>
          <w:rFonts w:eastAsia="Calibri"/>
          <w:lang w:eastAsia="en-US"/>
        </w:rPr>
        <w:t xml:space="preserve">Therefore the only compartment for which a mixture assessment of the two active substances Iodine and L(+) Lactic acid was performed is </w:t>
      </w:r>
      <w:r w:rsidR="003E7BB9">
        <w:rPr>
          <w:rFonts w:eastAsia="Calibri"/>
          <w:lang w:eastAsia="en-US"/>
        </w:rPr>
        <w:t xml:space="preserve">the </w:t>
      </w:r>
      <w:r>
        <w:rPr>
          <w:rFonts w:eastAsia="Calibri"/>
          <w:lang w:eastAsia="en-US"/>
        </w:rPr>
        <w:t>STP.</w:t>
      </w:r>
    </w:p>
    <w:p w14:paraId="24FFE1A7" w14:textId="293869B1" w:rsidR="002F6279" w:rsidRDefault="002F6279" w:rsidP="002F6279">
      <w:pPr>
        <w:jc w:val="both"/>
        <w:rPr>
          <w:rFonts w:eastAsia="Calibri"/>
          <w:lang w:eastAsia="en-US"/>
        </w:rPr>
      </w:pPr>
      <w:r>
        <w:rPr>
          <w:rFonts w:eastAsia="Calibri"/>
          <w:lang w:eastAsia="en-US"/>
        </w:rPr>
        <w:t xml:space="preserve"> </w:t>
      </w:r>
    </w:p>
    <w:p w14:paraId="078099B0" w14:textId="77777777" w:rsidR="002F6279" w:rsidRDefault="002F6279" w:rsidP="002F6279">
      <w:pPr>
        <w:spacing w:line="276" w:lineRule="auto"/>
        <w:jc w:val="both"/>
        <w:rPr>
          <w:lang w:val="en-US"/>
        </w:rPr>
      </w:pPr>
    </w:p>
    <w:p w14:paraId="6B94BC7E" w14:textId="23117DF4" w:rsidR="002F6279" w:rsidRDefault="002F6279" w:rsidP="002F6279">
      <w:pPr>
        <w:spacing w:line="276" w:lineRule="auto"/>
        <w:jc w:val="both"/>
        <w:rPr>
          <w:lang w:val="en-US"/>
        </w:rPr>
      </w:pPr>
      <w:r w:rsidRPr="002D29B2">
        <w:rPr>
          <w:lang w:val="en-US"/>
        </w:rPr>
        <w:t xml:space="preserve">No synergistic interaction is foreseen between </w:t>
      </w:r>
      <w:r>
        <w:rPr>
          <w:lang w:val="en-US"/>
        </w:rPr>
        <w:t>L(+) L</w:t>
      </w:r>
      <w:r w:rsidRPr="002D29B2">
        <w:rPr>
          <w:lang w:val="en-US"/>
        </w:rPr>
        <w:t xml:space="preserve">actic acid and </w:t>
      </w:r>
      <w:r w:rsidR="0032408E">
        <w:t>iodine</w:t>
      </w:r>
      <w:r w:rsidRPr="002D29B2">
        <w:rPr>
          <w:lang w:val="en-US"/>
        </w:rPr>
        <w:t>.</w:t>
      </w:r>
    </w:p>
    <w:p w14:paraId="44101985" w14:textId="77777777" w:rsidR="002F6279" w:rsidRPr="00B27CB1" w:rsidRDefault="002F6279" w:rsidP="002F6279">
      <w:pPr>
        <w:spacing w:line="276" w:lineRule="auto"/>
        <w:jc w:val="both"/>
        <w:rPr>
          <w:rFonts w:ascii="Times New Roman" w:eastAsia="Calibri" w:hAnsi="Times New Roman" w:cs="Times New Roman"/>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2"/>
        <w:gridCol w:w="3548"/>
      </w:tblGrid>
      <w:tr w:rsidR="002F6279" w:rsidRPr="00A52782" w14:paraId="4EEF0BC1" w14:textId="77777777" w:rsidTr="007F3EE5">
        <w:trPr>
          <w:trHeight w:val="300"/>
        </w:trPr>
        <w:tc>
          <w:tcPr>
            <w:tcW w:w="0" w:type="auto"/>
            <w:gridSpan w:val="2"/>
            <w:shd w:val="clear" w:color="000000" w:fill="FFFFCC"/>
            <w:noWrap/>
            <w:hideMark/>
          </w:tcPr>
          <w:p w14:paraId="38AFE4F3" w14:textId="77777777" w:rsidR="002F6279" w:rsidRPr="003E3B29" w:rsidRDefault="002F6279" w:rsidP="007F3EE5">
            <w:pPr>
              <w:jc w:val="center"/>
              <w:rPr>
                <w:rFonts w:cs="Calibri"/>
                <w:b/>
                <w:bCs/>
                <w:color w:val="000000"/>
                <w:sz w:val="18"/>
                <w:szCs w:val="18"/>
                <w:lang w:eastAsia="es-ES"/>
              </w:rPr>
            </w:pPr>
            <w:r w:rsidRPr="003E3B29">
              <w:rPr>
                <w:rFonts w:cs="Calibri"/>
                <w:b/>
                <w:bCs/>
                <w:color w:val="000000"/>
                <w:sz w:val="18"/>
                <w:szCs w:val="18"/>
                <w:lang w:eastAsia="es-ES"/>
              </w:rPr>
              <w:t>Summary table on calculated ∑PEC/PNEC values</w:t>
            </w:r>
          </w:p>
        </w:tc>
      </w:tr>
      <w:tr w:rsidR="002F6279" w:rsidRPr="00A52782" w14:paraId="543A72BB" w14:textId="77777777" w:rsidTr="007F3EE5">
        <w:trPr>
          <w:trHeight w:val="564"/>
        </w:trPr>
        <w:tc>
          <w:tcPr>
            <w:tcW w:w="0" w:type="auto"/>
            <w:shd w:val="clear" w:color="000000" w:fill="FFFFFF"/>
            <w:hideMark/>
          </w:tcPr>
          <w:p w14:paraId="43A2BDE9" w14:textId="77777777" w:rsidR="002F6279" w:rsidRPr="003E3B29" w:rsidRDefault="002F6279" w:rsidP="007F3EE5">
            <w:pPr>
              <w:jc w:val="center"/>
              <w:rPr>
                <w:rFonts w:cs="Calibri"/>
                <w:color w:val="000000"/>
                <w:sz w:val="18"/>
                <w:szCs w:val="18"/>
                <w:lang w:eastAsia="es-ES"/>
              </w:rPr>
            </w:pPr>
          </w:p>
        </w:tc>
        <w:tc>
          <w:tcPr>
            <w:tcW w:w="0" w:type="auto"/>
            <w:tcBorders>
              <w:bottom w:val="single" w:sz="4" w:space="0" w:color="auto"/>
            </w:tcBorders>
            <w:shd w:val="clear" w:color="000000" w:fill="FFFFFF"/>
            <w:vAlign w:val="center"/>
            <w:hideMark/>
          </w:tcPr>
          <w:p w14:paraId="555C6278" w14:textId="77777777" w:rsidR="002F6279" w:rsidRPr="003E3B29" w:rsidRDefault="002F6279" w:rsidP="007F3EE5">
            <w:pPr>
              <w:jc w:val="center"/>
              <w:rPr>
                <w:rFonts w:cs="Calibri"/>
                <w:b/>
                <w:bCs/>
                <w:color w:val="000000"/>
                <w:sz w:val="18"/>
                <w:szCs w:val="18"/>
                <w:lang w:eastAsia="es-ES"/>
              </w:rPr>
            </w:pPr>
            <w:r w:rsidRPr="003E3B29">
              <w:rPr>
                <w:rFonts w:cs="Calibri"/>
                <w:b/>
                <w:bCs/>
                <w:color w:val="000000"/>
                <w:sz w:val="18"/>
                <w:szCs w:val="18"/>
                <w:lang w:eastAsia="es-ES"/>
              </w:rPr>
              <w:t>∑PEC/PNEC</w:t>
            </w:r>
            <w:r w:rsidRPr="003E3B29">
              <w:rPr>
                <w:rFonts w:cs="Calibri"/>
                <w:b/>
                <w:bCs/>
                <w:color w:val="000000"/>
                <w:sz w:val="18"/>
                <w:szCs w:val="18"/>
                <w:vertAlign w:val="subscript"/>
                <w:lang w:eastAsia="es-ES"/>
              </w:rPr>
              <w:t>STP</w:t>
            </w:r>
          </w:p>
        </w:tc>
      </w:tr>
      <w:tr w:rsidR="002F6279" w:rsidRPr="00A52782" w14:paraId="3FFAE9B1" w14:textId="77777777" w:rsidTr="007F3EE5">
        <w:trPr>
          <w:trHeight w:val="300"/>
        </w:trPr>
        <w:tc>
          <w:tcPr>
            <w:tcW w:w="0" w:type="auto"/>
            <w:shd w:val="clear" w:color="000000" w:fill="FFFFFF"/>
            <w:vAlign w:val="center"/>
          </w:tcPr>
          <w:p w14:paraId="6150414E" w14:textId="77777777" w:rsidR="002F6279" w:rsidRPr="00AA3A14" w:rsidRDefault="002F6279" w:rsidP="007F3EE5">
            <w:pPr>
              <w:jc w:val="center"/>
              <w:rPr>
                <w:rFonts w:eastAsia="Calibri" w:cs="Arial"/>
                <w:b/>
                <w:sz w:val="18"/>
                <w:szCs w:val="18"/>
                <w:lang w:eastAsia="en-GB"/>
              </w:rPr>
            </w:pPr>
            <w:r>
              <w:rPr>
                <w:rFonts w:eastAsia="Calibri" w:cs="Arial"/>
                <w:sz w:val="18"/>
                <w:szCs w:val="18"/>
                <w:lang w:eastAsia="en-GB"/>
              </w:rPr>
              <w:t>Via STP</w:t>
            </w:r>
          </w:p>
        </w:tc>
        <w:tc>
          <w:tcPr>
            <w:tcW w:w="0" w:type="auto"/>
            <w:tcBorders>
              <w:top w:val="single" w:sz="4" w:space="0" w:color="auto"/>
              <w:left w:val="nil"/>
              <w:bottom w:val="single" w:sz="4" w:space="0" w:color="auto"/>
              <w:right w:val="single" w:sz="4" w:space="0" w:color="auto"/>
            </w:tcBorders>
            <w:shd w:val="clear" w:color="auto" w:fill="auto"/>
            <w:vAlign w:val="center"/>
          </w:tcPr>
          <w:p w14:paraId="5EE63137" w14:textId="4A9A7858" w:rsidR="002F6279" w:rsidRPr="00944F55" w:rsidRDefault="00D1574B" w:rsidP="007F3EE5">
            <w:pPr>
              <w:jc w:val="center"/>
              <w:rPr>
                <w:rFonts w:cs="Calibri"/>
                <w:bCs/>
                <w:color w:val="000000"/>
                <w:sz w:val="18"/>
                <w:szCs w:val="18"/>
                <w:lang w:eastAsia="es-ES"/>
              </w:rPr>
            </w:pPr>
            <w:r>
              <w:rPr>
                <w:rFonts w:cs="Calibri"/>
                <w:bCs/>
                <w:color w:val="000000"/>
                <w:sz w:val="18"/>
                <w:szCs w:val="18"/>
                <w:lang w:eastAsia="es-ES"/>
              </w:rPr>
              <w:t>3.11</w:t>
            </w:r>
            <w:r w:rsidR="002F6279">
              <w:rPr>
                <w:rFonts w:cs="Calibri"/>
                <w:bCs/>
                <w:color w:val="000000"/>
                <w:sz w:val="18"/>
                <w:szCs w:val="18"/>
                <w:lang w:eastAsia="es-ES"/>
              </w:rPr>
              <w:t>E-04</w:t>
            </w:r>
          </w:p>
        </w:tc>
      </w:tr>
    </w:tbl>
    <w:p w14:paraId="17E3F58F" w14:textId="77777777" w:rsidR="002F6279" w:rsidRDefault="002F6279" w:rsidP="002F6279">
      <w:pPr>
        <w:spacing w:before="60" w:line="276" w:lineRule="auto"/>
        <w:jc w:val="both"/>
        <w:rPr>
          <w:rFonts w:eastAsia="Calibri"/>
          <w:u w:val="single"/>
          <w:lang w:val="en-US" w:eastAsia="en-US"/>
        </w:rPr>
      </w:pPr>
    </w:p>
    <w:p w14:paraId="1F5022A7" w14:textId="77777777" w:rsidR="002F6279" w:rsidRDefault="002F6279" w:rsidP="002F6279">
      <w:pPr>
        <w:spacing w:before="60" w:line="276" w:lineRule="auto"/>
        <w:jc w:val="both"/>
        <w:rPr>
          <w:rFonts w:eastAsia="Calibri"/>
          <w:lang w:val="en-US" w:eastAsia="en-US"/>
        </w:rPr>
      </w:pPr>
      <w:r w:rsidRPr="007F51E0">
        <w:rPr>
          <w:rFonts w:eastAsia="Calibri"/>
          <w:u w:val="single"/>
          <w:lang w:val="en-US" w:eastAsia="en-US"/>
        </w:rPr>
        <w:t>Conclusion</w:t>
      </w:r>
      <w:r w:rsidRPr="007F51E0">
        <w:rPr>
          <w:rFonts w:eastAsia="Calibri"/>
          <w:lang w:val="en-US" w:eastAsia="en-US"/>
        </w:rPr>
        <w:t xml:space="preserve">: </w:t>
      </w:r>
    </w:p>
    <w:p w14:paraId="604E20E1" w14:textId="143FAB44" w:rsidR="002F6279" w:rsidRPr="00A52782" w:rsidRDefault="002F6279" w:rsidP="002F6279">
      <w:pPr>
        <w:spacing w:before="60" w:line="276" w:lineRule="auto"/>
        <w:jc w:val="both"/>
        <w:rPr>
          <w:rFonts w:ascii="Times New Roman" w:eastAsia="Calibri" w:hAnsi="Times New Roman"/>
          <w:i/>
          <w:lang w:eastAsia="en-US"/>
        </w:rPr>
      </w:pPr>
      <w:r>
        <w:rPr>
          <w:rFonts w:eastAsia="Calibri"/>
          <w:lang w:eastAsia="en-US"/>
        </w:rPr>
        <w:t>It can be concluded that t</w:t>
      </w:r>
      <w:r w:rsidRPr="00A52782">
        <w:rPr>
          <w:rFonts w:eastAsia="Calibri"/>
          <w:lang w:eastAsia="en-US"/>
        </w:rPr>
        <w:t>he</w:t>
      </w:r>
      <w:r>
        <w:rPr>
          <w:rFonts w:eastAsia="Calibri"/>
          <w:lang w:eastAsia="en-US"/>
        </w:rPr>
        <w:t xml:space="preserve"> mixture toxicity assessment show</w:t>
      </w:r>
      <w:r w:rsidR="0032408E">
        <w:rPr>
          <w:rFonts w:eastAsia="Calibri"/>
          <w:lang w:eastAsia="en-US"/>
        </w:rPr>
        <w:t>s</w:t>
      </w:r>
      <w:r>
        <w:rPr>
          <w:rFonts w:eastAsia="Calibri"/>
          <w:lang w:eastAsia="en-US"/>
        </w:rPr>
        <w:t xml:space="preserve"> acceptable risks for the relevant compartments </w:t>
      </w:r>
      <w:r w:rsidRPr="009E776E">
        <w:rPr>
          <w:rFonts w:eastAsia="Calibri"/>
          <w:lang w:eastAsia="en-US"/>
        </w:rPr>
        <w:t xml:space="preserve">for the use of the </w:t>
      </w:r>
      <w:r>
        <w:rPr>
          <w:rFonts w:eastAsia="Calibri"/>
          <w:lang w:eastAsia="en-US"/>
        </w:rPr>
        <w:t>ALGOFILM product.</w:t>
      </w:r>
    </w:p>
    <w:p w14:paraId="534EB9C7" w14:textId="032BB1BE" w:rsidR="00567E0E" w:rsidRDefault="00567E0E" w:rsidP="00567E0E">
      <w:pPr>
        <w:spacing w:line="260" w:lineRule="atLeast"/>
        <w:rPr>
          <w:rFonts w:ascii="Times New Roman" w:eastAsia="Calibri" w:hAnsi="Times New Roman" w:cs="Times New Roman"/>
          <w:i/>
          <w:lang w:eastAsia="en-US"/>
        </w:rPr>
      </w:pPr>
    </w:p>
    <w:p w14:paraId="0E39E242" w14:textId="77777777" w:rsidR="00567E0E" w:rsidRDefault="00567E0E" w:rsidP="00567E0E">
      <w:pPr>
        <w:pageBreakBefore/>
        <w:rPr>
          <w:rFonts w:ascii="Times New Roman" w:eastAsia="Calibri" w:hAnsi="Times New Roman" w:cs="Times New Roman"/>
          <w:b/>
          <w:i/>
          <w:sz w:val="22"/>
          <w:szCs w:val="22"/>
          <w:lang w:eastAsia="en-US"/>
        </w:rPr>
      </w:pPr>
      <w:r>
        <w:rPr>
          <w:rFonts w:eastAsia="Calibri"/>
          <w:b/>
          <w:i/>
          <w:sz w:val="22"/>
          <w:szCs w:val="22"/>
          <w:lang w:eastAsia="en-US"/>
        </w:rPr>
        <w:lastRenderedPageBreak/>
        <w:t>Aggregated exposure (combined for relevant emmission sources)</w:t>
      </w:r>
    </w:p>
    <w:p w14:paraId="5DA9C515" w14:textId="77777777" w:rsidR="00567E0E" w:rsidRDefault="00567E0E" w:rsidP="00567E0E">
      <w:pPr>
        <w:spacing w:before="60" w:line="276" w:lineRule="auto"/>
        <w:ind w:left="142"/>
        <w:rPr>
          <w:rFonts w:ascii="Times New Roman" w:eastAsia="Calibri" w:hAnsi="Times New Roman" w:cs="Times New Roman"/>
          <w:b/>
          <w:i/>
          <w:sz w:val="22"/>
          <w:szCs w:val="22"/>
          <w:lang w:eastAsia="en-US"/>
        </w:rPr>
      </w:pPr>
    </w:p>
    <w:p w14:paraId="54FA9EEE" w14:textId="77777777" w:rsidR="00567E0E" w:rsidRDefault="00567E0E" w:rsidP="002F6279">
      <w:pPr>
        <w:suppressAutoHyphens w:val="0"/>
        <w:jc w:val="both"/>
        <w:rPr>
          <w:rFonts w:cs="Times New Roman"/>
          <w:lang w:eastAsia="de-DE"/>
        </w:rPr>
      </w:pPr>
      <w:r w:rsidRPr="00803F2A">
        <w:rPr>
          <w:rFonts w:cs="Times New Roman"/>
          <w:lang w:eastAsia="de-DE"/>
        </w:rPr>
        <w:t xml:space="preserve">Although iodine is released from multiple sources, aggregated exposure assessment is not deemed necessary as there is no overlap in space and time. Iodine as a teat disinfectant is predominantly released to agricultural soils and therefore not mixed with iodine from other anthropogenic sources. </w:t>
      </w:r>
    </w:p>
    <w:p w14:paraId="2DAFE44F" w14:textId="77777777" w:rsidR="00567E0E" w:rsidRDefault="00567E0E" w:rsidP="002F6279">
      <w:pPr>
        <w:suppressAutoHyphens w:val="0"/>
        <w:jc w:val="both"/>
        <w:rPr>
          <w:rFonts w:cs="Times New Roman"/>
          <w:lang w:eastAsia="de-DE"/>
        </w:rPr>
      </w:pPr>
    </w:p>
    <w:p w14:paraId="4FD667FD" w14:textId="77777777" w:rsidR="00567E0E" w:rsidRPr="00803F2A" w:rsidRDefault="00567E0E" w:rsidP="002F6279">
      <w:pPr>
        <w:suppressAutoHyphens w:val="0"/>
        <w:jc w:val="both"/>
        <w:rPr>
          <w:rFonts w:cs="Times New Roman"/>
          <w:lang w:eastAsia="de-DE"/>
        </w:rPr>
      </w:pPr>
      <w:r w:rsidRPr="00803F2A">
        <w:rPr>
          <w:rFonts w:cs="Times New Roman"/>
          <w:lang w:eastAsia="de-DE"/>
        </w:rPr>
        <w:t>Since the amount of L(+) Lactic acid that is used annually in biocidal products accounts for less than 10% compared to the annual production and import volume of L(+) Lactic acid in the EU, no aggregated risk assessment was performed.</w:t>
      </w:r>
    </w:p>
    <w:p w14:paraId="0C6E5806" w14:textId="1EC45806" w:rsidR="009D0C0B" w:rsidRDefault="009D0C0B">
      <w:pPr>
        <w:spacing w:line="260" w:lineRule="atLeast"/>
        <w:rPr>
          <w:rFonts w:ascii="Times New Roman" w:eastAsia="Calibri" w:hAnsi="Times New Roman" w:cs="Times New Roman"/>
          <w:i/>
          <w:lang w:eastAsia="en-US"/>
        </w:rPr>
      </w:pPr>
    </w:p>
    <w:p w14:paraId="0033A4EB" w14:textId="77777777" w:rsidR="009D0C0B" w:rsidRDefault="00FA480B">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14:anchorId="0B335F51" wp14:editId="4CDC63CB">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Pr>
          <w:rFonts w:ascii="Times New Roman" w:hAnsi="Times New Roman" w:cs="Times New Roman"/>
        </w:rPr>
        <w:t xml:space="preserve"> </w:t>
      </w:r>
    </w:p>
    <w:p w14:paraId="7422D286" w14:textId="77777777" w:rsidR="009D0C0B" w:rsidRDefault="009D0C0B">
      <w:pPr>
        <w:spacing w:line="260" w:lineRule="atLeast"/>
        <w:jc w:val="both"/>
        <w:rPr>
          <w:rFonts w:eastAsia="Calibri"/>
          <w:i/>
          <w:lang w:eastAsia="en-US"/>
        </w:rPr>
      </w:pPr>
    </w:p>
    <w:p w14:paraId="76F34E8B" w14:textId="77777777" w:rsidR="009D0C0B"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9D0C0B" w14:paraId="34A19A1A"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19320A"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14:paraId="720FE6BA"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A3A6" w14:textId="1F679D99" w:rsidR="009D0C0B" w:rsidRDefault="00567E0E" w:rsidP="007E3C3F">
            <w:pPr>
              <w:autoSpaceDE w:val="0"/>
              <w:snapToGrid w:val="0"/>
              <w:spacing w:before="60" w:after="60" w:line="260" w:lineRule="atLeast"/>
              <w:jc w:val="both"/>
              <w:rPr>
                <w:rFonts w:eastAsia="Calibri" w:cs="Arial"/>
                <w:color w:val="000000"/>
                <w:sz w:val="18"/>
                <w:szCs w:val="18"/>
                <w:lang w:eastAsia="en-GB"/>
              </w:rPr>
            </w:pPr>
            <w:r w:rsidRPr="006B5EF2">
              <w:rPr>
                <w:rFonts w:eastAsia="Calibri" w:cs="Arial"/>
                <w:color w:val="000000"/>
                <w:lang w:eastAsia="en-GB"/>
              </w:rPr>
              <w:t xml:space="preserve">Following the application of the </w:t>
            </w:r>
            <w:r>
              <w:rPr>
                <w:rFonts w:eastAsia="Calibri" w:cs="Arial"/>
                <w:color w:val="000000"/>
                <w:lang w:eastAsia="en-GB"/>
              </w:rPr>
              <w:t>ALGOFILM</w:t>
            </w:r>
            <w:r w:rsidRPr="006B5EF2">
              <w:rPr>
                <w:rFonts w:eastAsia="Calibri" w:cs="Arial"/>
                <w:color w:val="000000"/>
                <w:lang w:eastAsia="en-GB"/>
              </w:rPr>
              <w:t xml:space="preserve"> product, acceptable risks are reached for</w:t>
            </w:r>
            <w:r>
              <w:rPr>
                <w:rFonts w:eastAsia="Calibri" w:cs="Arial"/>
                <w:color w:val="000000"/>
                <w:lang w:eastAsia="en-GB"/>
              </w:rPr>
              <w:t xml:space="preserve"> Iodine and iodine compounds and for</w:t>
            </w:r>
            <w:r w:rsidRPr="006B5EF2">
              <w:rPr>
                <w:rFonts w:eastAsia="Calibri" w:cs="Arial"/>
                <w:color w:val="000000"/>
                <w:lang w:eastAsia="en-GB"/>
              </w:rPr>
              <w:t xml:space="preserve"> </w:t>
            </w:r>
            <w:r>
              <w:rPr>
                <w:rFonts w:eastAsia="Calibri" w:cs="Arial"/>
                <w:color w:val="000000"/>
                <w:lang w:eastAsia="en-GB"/>
              </w:rPr>
              <w:t xml:space="preserve">L(+)Lactic acid for </w:t>
            </w:r>
            <w:r w:rsidRPr="006B5EF2">
              <w:rPr>
                <w:rFonts w:eastAsia="Calibri" w:cs="Arial"/>
                <w:color w:val="000000"/>
                <w:lang w:eastAsia="en-GB"/>
              </w:rPr>
              <w:t>all the environmental compartments and for all the uses presented in SPC.</w:t>
            </w:r>
          </w:p>
        </w:tc>
      </w:tr>
    </w:tbl>
    <w:p w14:paraId="67135C16" w14:textId="77777777" w:rsidR="009D0C0B" w:rsidRDefault="009D0C0B">
      <w:pPr>
        <w:spacing w:line="260" w:lineRule="atLeast"/>
        <w:rPr>
          <w:rFonts w:eastAsia="Calibri"/>
          <w:lang w:eastAsia="en-US"/>
        </w:rPr>
      </w:pPr>
    </w:p>
    <w:p w14:paraId="6CC0B532" w14:textId="77777777" w:rsidR="009D0C0B" w:rsidRDefault="009D0C0B">
      <w:pPr>
        <w:spacing w:line="260" w:lineRule="atLeast"/>
        <w:rPr>
          <w:rFonts w:eastAsia="Calibri"/>
          <w:lang w:eastAsia="en-US"/>
        </w:rPr>
      </w:pPr>
    </w:p>
    <w:p w14:paraId="37F42D03" w14:textId="77777777" w:rsidR="009D0C0B" w:rsidRDefault="009D0C0B">
      <w:pPr>
        <w:spacing w:line="260" w:lineRule="atLeast"/>
        <w:rPr>
          <w:rFonts w:eastAsia="Calibri"/>
          <w:lang w:eastAsia="en-US"/>
        </w:rPr>
      </w:pPr>
    </w:p>
    <w:p w14:paraId="2D6F8AA8" w14:textId="77777777" w:rsidR="009D0C0B" w:rsidRDefault="00FA480B">
      <w:pPr>
        <w:pStyle w:val="Titre3"/>
        <w:rPr>
          <w:rFonts w:ascii="Times New Roman" w:eastAsia="Calibri" w:hAnsi="Times New Roman" w:cs="Times New Roman"/>
          <w:i/>
          <w:iCs/>
          <w:lang w:eastAsia="en-US"/>
        </w:rPr>
      </w:pPr>
      <w:bookmarkStart w:id="78" w:name="_Toc74732498"/>
      <w:r>
        <w:t>Measures to protect man, animals and the environment</w:t>
      </w:r>
      <w:bookmarkEnd w:id="78"/>
    </w:p>
    <w:p w14:paraId="2B271C36" w14:textId="17AC80AD" w:rsidR="009D0C0B" w:rsidRPr="00AB1CDB" w:rsidRDefault="00FA480B" w:rsidP="00AB1CDB">
      <w:pPr>
        <w:spacing w:line="260" w:lineRule="atLeast"/>
        <w:jc w:val="both"/>
        <w:rPr>
          <w:rFonts w:eastAsia="Calibri" w:cs="Times New Roman"/>
          <w:iCs/>
          <w:lang w:eastAsia="en-US"/>
        </w:rPr>
      </w:pPr>
      <w:r w:rsidRPr="00AB1CDB">
        <w:rPr>
          <w:rFonts w:eastAsia="Calibri" w:cs="Times New Roman"/>
          <w:iCs/>
          <w:lang w:eastAsia="en-US"/>
        </w:rPr>
        <w:t xml:space="preserve">Please refer to </w:t>
      </w:r>
      <w:r w:rsidR="00354826">
        <w:rPr>
          <w:rFonts w:eastAsia="Calibri" w:cs="Times New Roman"/>
          <w:iCs/>
          <w:lang w:eastAsia="en-US"/>
        </w:rPr>
        <w:t xml:space="preserve">the </w:t>
      </w:r>
      <w:r w:rsidRPr="00AB1CDB">
        <w:rPr>
          <w:rFonts w:eastAsia="Calibri" w:cs="Times New Roman"/>
          <w:iCs/>
          <w:lang w:eastAsia="en-US"/>
        </w:rPr>
        <w:t>summary of the product assessment and to the relevant sections of the assessm</w:t>
      </w:r>
      <w:r w:rsidR="007E0648" w:rsidRPr="00AB1CDB">
        <w:rPr>
          <w:rFonts w:eastAsia="Calibri" w:cs="Times New Roman"/>
          <w:iCs/>
          <w:lang w:eastAsia="en-US"/>
        </w:rPr>
        <w:t>ent report.</w:t>
      </w:r>
    </w:p>
    <w:p w14:paraId="1671FA8B" w14:textId="77777777" w:rsidR="009D0C0B" w:rsidRDefault="009D0C0B">
      <w:pPr>
        <w:spacing w:line="260" w:lineRule="atLeast"/>
        <w:rPr>
          <w:rFonts w:ascii="Times New Roman" w:eastAsia="Calibri" w:hAnsi="Times New Roman" w:cs="Times New Roman"/>
          <w:i/>
          <w:iCs/>
          <w:lang w:eastAsia="en-US"/>
        </w:rPr>
      </w:pPr>
    </w:p>
    <w:p w14:paraId="2DA55F71" w14:textId="77777777" w:rsidR="009D0C0B" w:rsidRDefault="00FA480B">
      <w:pPr>
        <w:pStyle w:val="Titre3"/>
        <w:rPr>
          <w:rFonts w:eastAsia="Calibri"/>
          <w:lang w:eastAsia="en-US"/>
        </w:rPr>
      </w:pPr>
      <w:bookmarkStart w:id="79" w:name="_Toc74732499"/>
      <w:r>
        <w:lastRenderedPageBreak/>
        <w:t>Assessment of a combination of biocidal products</w:t>
      </w:r>
      <w:bookmarkEnd w:id="79"/>
    </w:p>
    <w:p w14:paraId="3C4B4DB0" w14:textId="52509892" w:rsidR="009D0C0B" w:rsidRDefault="00354826">
      <w:pPr>
        <w:spacing w:line="260" w:lineRule="atLeast"/>
        <w:rPr>
          <w:rFonts w:ascii="Times New Roman" w:hAnsi="Times New Roman" w:cs="Times New Roman"/>
          <w:i/>
          <w:iCs/>
          <w:lang w:eastAsia="en-US"/>
        </w:rPr>
      </w:pPr>
      <w:r>
        <w:rPr>
          <w:rFonts w:eastAsia="Calibri"/>
          <w:lang w:eastAsia="en-US"/>
        </w:rPr>
        <w:t>Not relevant.</w:t>
      </w:r>
    </w:p>
    <w:p w14:paraId="2DB06444" w14:textId="77777777" w:rsidR="009D0C0B" w:rsidRDefault="009D0C0B">
      <w:pPr>
        <w:spacing w:line="260" w:lineRule="atLeast"/>
        <w:rPr>
          <w:rFonts w:ascii="Times New Roman" w:eastAsia="Calibri" w:hAnsi="Times New Roman" w:cs="Times New Roman"/>
          <w:i/>
          <w:iCs/>
          <w:lang w:eastAsia="en-US"/>
        </w:rPr>
      </w:pPr>
    </w:p>
    <w:p w14:paraId="63035BEB" w14:textId="77777777" w:rsidR="009D0C0B" w:rsidRDefault="00FA480B">
      <w:pPr>
        <w:pStyle w:val="Titre3"/>
        <w:rPr>
          <w:rFonts w:ascii="Times New Roman" w:eastAsia="Calibri" w:hAnsi="Times New Roman" w:cs="Times New Roman"/>
          <w:i/>
          <w:iCs/>
          <w:lang w:eastAsia="en-US"/>
        </w:rPr>
      </w:pPr>
      <w:bookmarkStart w:id="80" w:name="_Toc74732500"/>
      <w:r>
        <w:t>Comparative assessment</w:t>
      </w:r>
      <w:bookmarkEnd w:id="80"/>
    </w:p>
    <w:p w14:paraId="12EA30B3" w14:textId="2E3D60F7" w:rsidR="009D0C0B" w:rsidRPr="00AB1CDB" w:rsidRDefault="007E0648">
      <w:pPr>
        <w:spacing w:line="260" w:lineRule="atLeast"/>
        <w:rPr>
          <w:rFonts w:eastAsia="Calibri" w:cs="Times New Roman"/>
          <w:iCs/>
          <w:lang w:eastAsia="en-US"/>
        </w:rPr>
      </w:pPr>
      <w:r w:rsidRPr="00AB1CDB">
        <w:rPr>
          <w:rFonts w:eastAsia="Calibri" w:cs="Times New Roman"/>
          <w:iCs/>
          <w:lang w:eastAsia="en-US"/>
        </w:rPr>
        <w:t>N</w:t>
      </w:r>
      <w:r w:rsidR="00FA480B" w:rsidRPr="00AB1CDB">
        <w:rPr>
          <w:rFonts w:eastAsia="Calibri" w:cs="Times New Roman"/>
          <w:iCs/>
          <w:lang w:eastAsia="en-US"/>
        </w:rPr>
        <w:t xml:space="preserve">ot </w:t>
      </w:r>
      <w:r w:rsidRPr="00AB1CDB">
        <w:rPr>
          <w:rFonts w:eastAsia="Calibri" w:cs="Times New Roman"/>
          <w:iCs/>
          <w:lang w:eastAsia="en-US"/>
        </w:rPr>
        <w:t>relevant.</w:t>
      </w:r>
    </w:p>
    <w:p w14:paraId="3D5AECD6" w14:textId="77777777" w:rsidR="009D0C0B" w:rsidRDefault="009D0C0B">
      <w:pPr>
        <w:spacing w:line="260" w:lineRule="atLeast"/>
        <w:rPr>
          <w:rFonts w:ascii="Times New Roman" w:eastAsia="Calibri" w:hAnsi="Times New Roman" w:cs="Times New Roman"/>
          <w:i/>
          <w:iCs/>
          <w:lang w:eastAsia="en-US"/>
        </w:rPr>
      </w:pPr>
    </w:p>
    <w:p w14:paraId="2A77E594" w14:textId="77777777" w:rsidR="009D0C0B" w:rsidRDefault="009D0C0B">
      <w:pPr>
        <w:pageBreakBefore/>
        <w:rPr>
          <w:rFonts w:eastAsia="Calibri"/>
          <w:b/>
          <w:i/>
          <w:lang w:val="de-DE" w:eastAsia="en-US"/>
        </w:rPr>
      </w:pPr>
    </w:p>
    <w:p w14:paraId="54AF2546" w14:textId="77777777" w:rsidR="009D0C0B" w:rsidRDefault="00FA480B">
      <w:pPr>
        <w:pStyle w:val="Titre1"/>
      </w:pPr>
      <w:bookmarkStart w:id="81" w:name="_Toc74732501"/>
      <w:r>
        <w:rPr>
          <w:rFonts w:eastAsia="Calibri"/>
        </w:rPr>
        <w:t>Annexes</w:t>
      </w:r>
      <w:r>
        <w:rPr>
          <w:rStyle w:val="Appelnotedebasdep"/>
          <w:rFonts w:eastAsia="Calibri"/>
        </w:rPr>
        <w:footnoteReference w:id="8"/>
      </w:r>
      <w:bookmarkEnd w:id="81"/>
    </w:p>
    <w:p w14:paraId="5E35C558" w14:textId="77777777" w:rsidR="009D0C0B" w:rsidRDefault="00FA480B">
      <w:pPr>
        <w:pStyle w:val="Titre2"/>
      </w:pPr>
      <w:bookmarkStart w:id="82" w:name="_Toc74732502"/>
      <w:r>
        <w:t>List of st</w:t>
      </w:r>
      <w:r w:rsidR="00542C72">
        <w:t>udies for the biocidal product</w:t>
      </w:r>
      <w:bookmarkEnd w:id="82"/>
    </w:p>
    <w:p w14:paraId="4FE0B5C8" w14:textId="77777777" w:rsidR="00692236" w:rsidRDefault="00692236" w:rsidP="00692236">
      <w:pPr>
        <w:pStyle w:val="Absatz"/>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855"/>
        <w:gridCol w:w="3311"/>
        <w:gridCol w:w="1559"/>
        <w:gridCol w:w="2268"/>
      </w:tblGrid>
      <w:tr w:rsidR="00692236" w:rsidRPr="00404246" w14:paraId="5ED64828" w14:textId="77777777" w:rsidTr="006060C9">
        <w:trPr>
          <w:trHeight w:val="1140"/>
        </w:trPr>
        <w:tc>
          <w:tcPr>
            <w:tcW w:w="1471" w:type="dxa"/>
            <w:shd w:val="clear" w:color="auto" w:fill="auto"/>
            <w:hideMark/>
          </w:tcPr>
          <w:p w14:paraId="7AAA9A4F" w14:textId="77777777" w:rsidR="00692236" w:rsidRPr="00404246" w:rsidRDefault="00692236" w:rsidP="00210232">
            <w:pPr>
              <w:jc w:val="center"/>
              <w:rPr>
                <w:rFonts w:cs="Arial"/>
                <w:b/>
                <w:bCs/>
                <w:lang w:val="en-US" w:eastAsia="en-US"/>
              </w:rPr>
            </w:pPr>
            <w:r w:rsidRPr="00404246">
              <w:rPr>
                <w:rFonts w:cs="Arial"/>
                <w:b/>
                <w:bCs/>
                <w:lang w:val="en-US" w:eastAsia="en-US"/>
              </w:rPr>
              <w:t>Author(s)</w:t>
            </w:r>
          </w:p>
        </w:tc>
        <w:tc>
          <w:tcPr>
            <w:tcW w:w="855" w:type="dxa"/>
            <w:shd w:val="clear" w:color="auto" w:fill="auto"/>
            <w:hideMark/>
          </w:tcPr>
          <w:p w14:paraId="7DEED509" w14:textId="77777777" w:rsidR="00692236" w:rsidRPr="00404246" w:rsidRDefault="00692236" w:rsidP="00210232">
            <w:pPr>
              <w:jc w:val="center"/>
              <w:rPr>
                <w:rFonts w:cs="Arial"/>
                <w:b/>
                <w:bCs/>
                <w:lang w:val="en-US" w:eastAsia="en-US"/>
              </w:rPr>
            </w:pPr>
            <w:r w:rsidRPr="00404246">
              <w:rPr>
                <w:rFonts w:cs="Arial"/>
                <w:b/>
                <w:bCs/>
                <w:lang w:val="en-US" w:eastAsia="en-US"/>
              </w:rPr>
              <w:t>Year</w:t>
            </w:r>
          </w:p>
        </w:tc>
        <w:tc>
          <w:tcPr>
            <w:tcW w:w="3311" w:type="dxa"/>
            <w:shd w:val="clear" w:color="auto" w:fill="auto"/>
            <w:hideMark/>
          </w:tcPr>
          <w:p w14:paraId="4E6FC2B7" w14:textId="77777777" w:rsidR="00692236" w:rsidRPr="00404246" w:rsidRDefault="00692236" w:rsidP="00210232">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shd w:val="clear" w:color="auto" w:fill="auto"/>
            <w:hideMark/>
          </w:tcPr>
          <w:p w14:paraId="308DB77B" w14:textId="77777777" w:rsidR="00692236" w:rsidRPr="00404246" w:rsidRDefault="00692236" w:rsidP="00210232">
            <w:pPr>
              <w:jc w:val="center"/>
              <w:rPr>
                <w:rFonts w:cs="Arial"/>
                <w:b/>
                <w:bCs/>
                <w:lang w:val="en-US" w:eastAsia="en-US"/>
              </w:rPr>
            </w:pPr>
            <w:r w:rsidRPr="00404246">
              <w:rPr>
                <w:rFonts w:cs="Arial"/>
                <w:b/>
                <w:bCs/>
                <w:lang w:val="en-US" w:eastAsia="en-US"/>
              </w:rPr>
              <w:t>Data Protection Claimed (Yes/No)</w:t>
            </w:r>
          </w:p>
        </w:tc>
        <w:tc>
          <w:tcPr>
            <w:tcW w:w="2268" w:type="dxa"/>
            <w:shd w:val="clear" w:color="auto" w:fill="auto"/>
            <w:hideMark/>
          </w:tcPr>
          <w:p w14:paraId="47C4AAB9" w14:textId="77777777" w:rsidR="00692236" w:rsidRPr="00404246" w:rsidRDefault="00692236" w:rsidP="00210232">
            <w:pPr>
              <w:jc w:val="center"/>
              <w:rPr>
                <w:rFonts w:cs="Arial"/>
                <w:b/>
                <w:bCs/>
                <w:lang w:val="en-US" w:eastAsia="en-US"/>
              </w:rPr>
            </w:pPr>
            <w:r w:rsidRPr="00404246">
              <w:rPr>
                <w:rFonts w:cs="Arial"/>
                <w:b/>
                <w:bCs/>
                <w:lang w:val="en-US" w:eastAsia="en-US"/>
              </w:rPr>
              <w:t>Owner (PUB / ORG)</w:t>
            </w:r>
          </w:p>
        </w:tc>
      </w:tr>
      <w:tr w:rsidR="006060C9" w:rsidRPr="00404246" w14:paraId="2125FBDA" w14:textId="77777777" w:rsidTr="006060C9">
        <w:trPr>
          <w:trHeight w:val="1153"/>
        </w:trPr>
        <w:tc>
          <w:tcPr>
            <w:tcW w:w="1471" w:type="dxa"/>
            <w:shd w:val="clear" w:color="auto" w:fill="auto"/>
          </w:tcPr>
          <w:p w14:paraId="5D9B1546" w14:textId="2D4C2BC2" w:rsidR="006060C9" w:rsidRPr="00404246" w:rsidRDefault="006060C9" w:rsidP="006060C9">
            <w:pPr>
              <w:jc w:val="center"/>
              <w:rPr>
                <w:rFonts w:cs="Arial"/>
                <w:color w:val="000000"/>
                <w:lang w:val="fr-FR" w:eastAsia="fr-FR"/>
              </w:rPr>
            </w:pPr>
            <w:r w:rsidRPr="00161BF0">
              <w:rPr>
                <w:rFonts w:eastAsia="Calibri"/>
                <w:lang w:val="en-US"/>
              </w:rPr>
              <w:t>Alcoholes monptlet S.A.</w:t>
            </w:r>
          </w:p>
        </w:tc>
        <w:tc>
          <w:tcPr>
            <w:tcW w:w="855" w:type="dxa"/>
            <w:shd w:val="clear" w:color="auto" w:fill="auto"/>
          </w:tcPr>
          <w:p w14:paraId="218C0A1B" w14:textId="6139D7C6" w:rsidR="006060C9" w:rsidRPr="00404246" w:rsidRDefault="006060C9" w:rsidP="006060C9">
            <w:pPr>
              <w:jc w:val="center"/>
              <w:rPr>
                <w:rFonts w:cs="Arial"/>
                <w:color w:val="000000"/>
                <w:lang w:val="fr-FR" w:eastAsia="fr-FR"/>
              </w:rPr>
            </w:pPr>
            <w:r w:rsidRPr="00161BF0">
              <w:rPr>
                <w:rFonts w:eastAsia="Calibri"/>
                <w:lang w:val="en-US"/>
              </w:rPr>
              <w:t>Not specified</w:t>
            </w:r>
          </w:p>
        </w:tc>
        <w:tc>
          <w:tcPr>
            <w:tcW w:w="3311" w:type="dxa"/>
            <w:shd w:val="clear" w:color="auto" w:fill="auto"/>
          </w:tcPr>
          <w:p w14:paraId="146C61F6" w14:textId="3E654162" w:rsidR="006060C9" w:rsidRPr="00404246" w:rsidRDefault="006060C9" w:rsidP="006060C9">
            <w:pPr>
              <w:rPr>
                <w:rFonts w:cs="Arial"/>
                <w:color w:val="000000"/>
                <w:lang w:eastAsia="fr-FR"/>
              </w:rPr>
            </w:pPr>
            <w:r w:rsidRPr="00161BF0">
              <w:rPr>
                <w:rFonts w:eastAsia="Calibri"/>
                <w:lang w:val="en-US"/>
              </w:rPr>
              <w:t>Admin_LoA_PVPI</w:t>
            </w:r>
          </w:p>
        </w:tc>
        <w:tc>
          <w:tcPr>
            <w:tcW w:w="1559" w:type="dxa"/>
            <w:shd w:val="clear" w:color="auto" w:fill="auto"/>
          </w:tcPr>
          <w:p w14:paraId="1CF6DE08" w14:textId="46FD50B8" w:rsidR="006060C9" w:rsidRPr="006060C9" w:rsidRDefault="006060C9" w:rsidP="006060C9">
            <w:pPr>
              <w:jc w:val="center"/>
              <w:rPr>
                <w:rFonts w:cs="Arial"/>
                <w:color w:val="000000"/>
                <w:lang w:val="fr-FR" w:eastAsia="en-US"/>
              </w:rPr>
            </w:pPr>
            <w:r w:rsidRPr="00161BF0">
              <w:rPr>
                <w:rFonts w:eastAsia="Calibri"/>
                <w:lang w:val="en-US"/>
              </w:rPr>
              <w:t>Yes</w:t>
            </w:r>
          </w:p>
        </w:tc>
        <w:tc>
          <w:tcPr>
            <w:tcW w:w="2268" w:type="dxa"/>
            <w:shd w:val="clear" w:color="auto" w:fill="auto"/>
          </w:tcPr>
          <w:p w14:paraId="45B08D35" w14:textId="7CB455CA" w:rsidR="006060C9" w:rsidRPr="00404246" w:rsidRDefault="006060C9" w:rsidP="006060C9">
            <w:pPr>
              <w:jc w:val="center"/>
              <w:rPr>
                <w:rFonts w:cs="Arial"/>
                <w:color w:val="000000"/>
                <w:lang w:eastAsia="fr-FR"/>
              </w:rPr>
            </w:pPr>
            <w:r w:rsidRPr="00161BF0">
              <w:rPr>
                <w:rFonts w:eastAsia="Calibri"/>
                <w:lang w:val="en-US"/>
              </w:rPr>
              <w:t>CTH</w:t>
            </w:r>
          </w:p>
        </w:tc>
      </w:tr>
      <w:tr w:rsidR="006060C9" w:rsidRPr="00404246" w14:paraId="1D29F5EE" w14:textId="77777777" w:rsidTr="006060C9">
        <w:trPr>
          <w:trHeight w:val="1153"/>
        </w:trPr>
        <w:tc>
          <w:tcPr>
            <w:tcW w:w="1471" w:type="dxa"/>
            <w:shd w:val="clear" w:color="auto" w:fill="auto"/>
          </w:tcPr>
          <w:p w14:paraId="663D9FB3" w14:textId="0BE8CAAF" w:rsidR="006060C9" w:rsidRPr="00404246" w:rsidRDefault="006060C9" w:rsidP="006060C9">
            <w:pPr>
              <w:jc w:val="center"/>
              <w:rPr>
                <w:rFonts w:cs="Arial"/>
                <w:color w:val="000000"/>
                <w:lang w:val="fr-FR" w:eastAsia="fr-FR"/>
              </w:rPr>
            </w:pPr>
            <w:r w:rsidRPr="00161BF0">
              <w:rPr>
                <w:rFonts w:eastAsia="Calibri"/>
                <w:lang w:val="en-US"/>
              </w:rPr>
              <w:t>Junbunzlauer S.A.</w:t>
            </w:r>
          </w:p>
        </w:tc>
        <w:tc>
          <w:tcPr>
            <w:tcW w:w="855" w:type="dxa"/>
            <w:shd w:val="clear" w:color="auto" w:fill="auto"/>
          </w:tcPr>
          <w:p w14:paraId="652482BF" w14:textId="5DE8D909" w:rsidR="006060C9" w:rsidRPr="00404246" w:rsidRDefault="006060C9" w:rsidP="006060C9">
            <w:pPr>
              <w:jc w:val="center"/>
              <w:rPr>
                <w:rFonts w:cs="Arial"/>
                <w:color w:val="000000"/>
                <w:lang w:val="fr-FR" w:eastAsia="fr-FR"/>
              </w:rPr>
            </w:pPr>
            <w:r w:rsidRPr="00161BF0">
              <w:rPr>
                <w:rFonts w:eastAsia="Calibri"/>
                <w:lang w:val="en-US"/>
              </w:rPr>
              <w:t>2019</w:t>
            </w:r>
          </w:p>
        </w:tc>
        <w:tc>
          <w:tcPr>
            <w:tcW w:w="3311" w:type="dxa"/>
            <w:shd w:val="clear" w:color="auto" w:fill="auto"/>
          </w:tcPr>
          <w:p w14:paraId="163A6731" w14:textId="77777777" w:rsidR="006060C9" w:rsidRPr="00416893" w:rsidRDefault="006060C9" w:rsidP="006060C9">
            <w:pPr>
              <w:rPr>
                <w:rFonts w:eastAsia="Calibri"/>
                <w:lang w:val="en-US"/>
              </w:rPr>
            </w:pPr>
            <w:r w:rsidRPr="00416893">
              <w:rPr>
                <w:rFonts w:eastAsia="Calibri"/>
                <w:lang w:val="en-US"/>
              </w:rPr>
              <w:t>Admin_LoA_L-(+)-lactic acid_JBLM</w:t>
            </w:r>
          </w:p>
          <w:p w14:paraId="59957AEC" w14:textId="77777777" w:rsidR="006060C9" w:rsidRPr="00416893" w:rsidRDefault="006060C9" w:rsidP="006060C9">
            <w:pPr>
              <w:rPr>
                <w:rFonts w:eastAsia="Calibri"/>
                <w:lang w:val="en-US"/>
              </w:rPr>
            </w:pPr>
          </w:p>
          <w:p w14:paraId="44B8C8BB" w14:textId="56998B72" w:rsidR="006060C9" w:rsidRPr="00404246" w:rsidRDefault="006060C9" w:rsidP="006060C9">
            <w:pPr>
              <w:rPr>
                <w:rFonts w:cs="Arial"/>
                <w:color w:val="000000"/>
                <w:lang w:eastAsia="fr-FR"/>
              </w:rPr>
            </w:pPr>
            <w:r w:rsidRPr="00416893">
              <w:rPr>
                <w:rFonts w:eastAsia="Calibri"/>
                <w:lang w:val="en-US"/>
              </w:rPr>
              <w:t>Title of document: Reliance on Article 95 Letter of Access for product authorisation</w:t>
            </w:r>
          </w:p>
        </w:tc>
        <w:tc>
          <w:tcPr>
            <w:tcW w:w="1559" w:type="dxa"/>
            <w:shd w:val="clear" w:color="auto" w:fill="auto"/>
          </w:tcPr>
          <w:p w14:paraId="7FF9849F" w14:textId="77806F8E" w:rsidR="006060C9" w:rsidRPr="00404246" w:rsidRDefault="006060C9" w:rsidP="006060C9">
            <w:pPr>
              <w:jc w:val="center"/>
              <w:rPr>
                <w:rFonts w:cs="Arial"/>
                <w:color w:val="000000"/>
                <w:lang w:val="en-US" w:eastAsia="en-US"/>
              </w:rPr>
            </w:pPr>
            <w:r w:rsidRPr="00161BF0">
              <w:rPr>
                <w:rFonts w:eastAsia="Calibri"/>
                <w:lang w:val="en-US"/>
              </w:rPr>
              <w:t>Yes</w:t>
            </w:r>
          </w:p>
        </w:tc>
        <w:tc>
          <w:tcPr>
            <w:tcW w:w="2268" w:type="dxa"/>
            <w:shd w:val="clear" w:color="auto" w:fill="auto"/>
          </w:tcPr>
          <w:p w14:paraId="2261CE09" w14:textId="75CE7198" w:rsidR="006060C9" w:rsidRPr="00404246" w:rsidRDefault="006060C9" w:rsidP="006060C9">
            <w:pPr>
              <w:jc w:val="center"/>
              <w:rPr>
                <w:rFonts w:cs="Arial"/>
                <w:color w:val="000000"/>
                <w:lang w:eastAsia="fr-FR"/>
              </w:rPr>
            </w:pPr>
            <w:r w:rsidRPr="00161BF0">
              <w:rPr>
                <w:rFonts w:eastAsia="Calibri"/>
                <w:lang w:val="en-US"/>
              </w:rPr>
              <w:t>CTH</w:t>
            </w:r>
          </w:p>
        </w:tc>
      </w:tr>
      <w:tr w:rsidR="006060C9" w:rsidRPr="00404246" w14:paraId="198DE092" w14:textId="77777777" w:rsidTr="006060C9">
        <w:trPr>
          <w:trHeight w:val="1153"/>
        </w:trPr>
        <w:tc>
          <w:tcPr>
            <w:tcW w:w="1471" w:type="dxa"/>
            <w:shd w:val="clear" w:color="auto" w:fill="auto"/>
          </w:tcPr>
          <w:p w14:paraId="4E19EA3B" w14:textId="6059F30F" w:rsidR="006060C9" w:rsidRDefault="006060C9" w:rsidP="006060C9">
            <w:pPr>
              <w:jc w:val="center"/>
              <w:rPr>
                <w:rFonts w:cs="Arial"/>
                <w:color w:val="000000"/>
                <w:lang w:val="fr-FR" w:eastAsia="fr-FR"/>
              </w:rPr>
            </w:pPr>
            <w:r w:rsidRPr="00161BF0">
              <w:rPr>
                <w:rFonts w:eastAsia="Calibri"/>
                <w:lang w:val="en-US"/>
              </w:rPr>
              <w:t>Purac Biochem bv</w:t>
            </w:r>
          </w:p>
        </w:tc>
        <w:tc>
          <w:tcPr>
            <w:tcW w:w="855" w:type="dxa"/>
            <w:shd w:val="clear" w:color="auto" w:fill="auto"/>
          </w:tcPr>
          <w:p w14:paraId="533BAA48" w14:textId="797C9A56" w:rsidR="006060C9" w:rsidRPr="00404246" w:rsidRDefault="006060C9" w:rsidP="006060C9">
            <w:pPr>
              <w:jc w:val="center"/>
              <w:rPr>
                <w:rFonts w:cs="Arial"/>
                <w:color w:val="000000"/>
                <w:lang w:val="fr-FR" w:eastAsia="fr-FR"/>
              </w:rPr>
            </w:pPr>
            <w:r w:rsidRPr="00161BF0">
              <w:rPr>
                <w:rFonts w:eastAsia="Calibri"/>
                <w:lang w:val="en-US"/>
              </w:rPr>
              <w:t>2019</w:t>
            </w:r>
          </w:p>
        </w:tc>
        <w:tc>
          <w:tcPr>
            <w:tcW w:w="3311" w:type="dxa"/>
            <w:shd w:val="clear" w:color="auto" w:fill="auto"/>
          </w:tcPr>
          <w:p w14:paraId="0F209D4D" w14:textId="77777777" w:rsidR="006060C9" w:rsidRPr="00416893" w:rsidRDefault="006060C9" w:rsidP="006060C9">
            <w:pPr>
              <w:rPr>
                <w:rFonts w:eastAsia="Calibri"/>
                <w:lang w:val="en-US"/>
              </w:rPr>
            </w:pPr>
            <w:r w:rsidRPr="00416893">
              <w:rPr>
                <w:rFonts w:eastAsia="Calibri"/>
                <w:lang w:val="en-US"/>
              </w:rPr>
              <w:t>Admin_LoA_L-(+)-lactic acid_Purac</w:t>
            </w:r>
          </w:p>
          <w:p w14:paraId="713F4506" w14:textId="77777777" w:rsidR="006060C9" w:rsidRPr="00416893" w:rsidRDefault="006060C9" w:rsidP="006060C9">
            <w:pPr>
              <w:rPr>
                <w:rFonts w:eastAsia="Calibri"/>
                <w:lang w:val="en-US"/>
              </w:rPr>
            </w:pPr>
          </w:p>
          <w:p w14:paraId="3300659F" w14:textId="2347DDE9" w:rsidR="006060C9" w:rsidRPr="00404246" w:rsidRDefault="006060C9" w:rsidP="006060C9">
            <w:pPr>
              <w:rPr>
                <w:rFonts w:cs="Arial"/>
                <w:color w:val="000000"/>
                <w:lang w:eastAsia="fr-FR"/>
              </w:rPr>
            </w:pPr>
            <w:r>
              <w:rPr>
                <w:rFonts w:eastAsia="Calibri"/>
                <w:lang w:val="en-US"/>
              </w:rPr>
              <w:t>Title of document: L</w:t>
            </w:r>
            <w:r w:rsidRPr="00416893">
              <w:rPr>
                <w:rFonts w:eastAsia="Calibri"/>
                <w:lang w:val="en-US"/>
              </w:rPr>
              <w:t>etter of Access fo</w:t>
            </w:r>
            <w:r>
              <w:rPr>
                <w:rFonts w:eastAsia="Calibri"/>
                <w:lang w:val="en-US"/>
              </w:rPr>
              <w:t>r</w:t>
            </w:r>
            <w:r w:rsidRPr="00416893">
              <w:rPr>
                <w:rFonts w:eastAsia="Calibri"/>
                <w:lang w:val="en-US"/>
              </w:rPr>
              <w:t xml:space="preserve"> company CTH</w:t>
            </w:r>
          </w:p>
        </w:tc>
        <w:tc>
          <w:tcPr>
            <w:tcW w:w="1559" w:type="dxa"/>
            <w:shd w:val="clear" w:color="auto" w:fill="auto"/>
          </w:tcPr>
          <w:p w14:paraId="314759F5" w14:textId="31955FDE" w:rsidR="006060C9" w:rsidRPr="00404246" w:rsidRDefault="006060C9" w:rsidP="006060C9">
            <w:pPr>
              <w:jc w:val="center"/>
              <w:rPr>
                <w:rFonts w:cs="Arial"/>
                <w:color w:val="000000"/>
                <w:lang w:val="en-US" w:eastAsia="en-US"/>
              </w:rPr>
            </w:pPr>
            <w:r w:rsidRPr="00161BF0">
              <w:rPr>
                <w:rFonts w:eastAsia="Calibri"/>
                <w:lang w:val="en-US"/>
              </w:rPr>
              <w:t>Yes</w:t>
            </w:r>
          </w:p>
        </w:tc>
        <w:tc>
          <w:tcPr>
            <w:tcW w:w="2268" w:type="dxa"/>
            <w:shd w:val="clear" w:color="auto" w:fill="auto"/>
          </w:tcPr>
          <w:p w14:paraId="1952D3A3" w14:textId="677A77FC" w:rsidR="006060C9" w:rsidRDefault="006060C9" w:rsidP="006060C9">
            <w:pPr>
              <w:jc w:val="center"/>
              <w:rPr>
                <w:rFonts w:cs="Arial"/>
                <w:color w:val="000000"/>
                <w:lang w:eastAsia="fr-FR"/>
              </w:rPr>
            </w:pPr>
            <w:r w:rsidRPr="00161BF0">
              <w:rPr>
                <w:rFonts w:eastAsia="Calibri"/>
                <w:lang w:val="en-US"/>
              </w:rPr>
              <w:t>CTH</w:t>
            </w:r>
          </w:p>
        </w:tc>
      </w:tr>
      <w:tr w:rsidR="006060C9" w:rsidRPr="00404246" w14:paraId="73BDA96F" w14:textId="77777777" w:rsidTr="006060C9">
        <w:trPr>
          <w:trHeight w:val="1153"/>
        </w:trPr>
        <w:tc>
          <w:tcPr>
            <w:tcW w:w="1471" w:type="dxa"/>
            <w:shd w:val="clear" w:color="auto" w:fill="auto"/>
          </w:tcPr>
          <w:p w14:paraId="1C7EE1F3" w14:textId="2321EC7F" w:rsidR="006060C9" w:rsidRDefault="006060C9" w:rsidP="006060C9">
            <w:pPr>
              <w:jc w:val="center"/>
              <w:rPr>
                <w:rFonts w:cs="Arial"/>
                <w:color w:val="000000"/>
                <w:lang w:val="fr-FR" w:eastAsia="fr-FR"/>
              </w:rPr>
            </w:pPr>
            <w:r w:rsidRPr="00161BF0">
              <w:rPr>
                <w:rFonts w:eastAsia="Calibri"/>
                <w:lang w:val="en-US"/>
              </w:rPr>
              <w:t xml:space="preserve">Morel A. </w:t>
            </w:r>
          </w:p>
        </w:tc>
        <w:tc>
          <w:tcPr>
            <w:tcW w:w="855" w:type="dxa"/>
            <w:shd w:val="clear" w:color="auto" w:fill="auto"/>
          </w:tcPr>
          <w:p w14:paraId="4AAED582" w14:textId="25C882B8" w:rsidR="006060C9" w:rsidRPr="00404246" w:rsidRDefault="006060C9" w:rsidP="006060C9">
            <w:pPr>
              <w:jc w:val="center"/>
              <w:rPr>
                <w:rFonts w:cs="Arial"/>
                <w:color w:val="000000"/>
                <w:lang w:val="fr-FR" w:eastAsia="fr-FR"/>
              </w:rPr>
            </w:pPr>
            <w:r w:rsidRPr="00161BF0">
              <w:rPr>
                <w:rFonts w:eastAsia="Calibri"/>
                <w:lang w:val="en-US"/>
              </w:rPr>
              <w:t>2015</w:t>
            </w:r>
          </w:p>
        </w:tc>
        <w:tc>
          <w:tcPr>
            <w:tcW w:w="3311" w:type="dxa"/>
            <w:shd w:val="clear" w:color="auto" w:fill="auto"/>
          </w:tcPr>
          <w:p w14:paraId="28D35E6C" w14:textId="77777777" w:rsidR="006060C9" w:rsidRPr="00E41161" w:rsidRDefault="006060C9" w:rsidP="006060C9">
            <w:pPr>
              <w:rPr>
                <w:rFonts w:eastAsia="Calibri"/>
                <w:lang w:val="en-US"/>
              </w:rPr>
            </w:pPr>
            <w:r w:rsidRPr="00E41161">
              <w:rPr>
                <w:rFonts w:eastAsia="Calibri"/>
                <w:lang w:val="en-US"/>
              </w:rPr>
              <w:t>Title of file : Phys-chem_Long term stability on ALGOFILM</w:t>
            </w:r>
          </w:p>
          <w:p w14:paraId="4FDA13A6" w14:textId="77777777" w:rsidR="006060C9" w:rsidRPr="00E41161" w:rsidRDefault="006060C9" w:rsidP="006060C9">
            <w:pPr>
              <w:rPr>
                <w:rFonts w:eastAsia="Calibri"/>
                <w:lang w:val="en-US"/>
              </w:rPr>
            </w:pPr>
          </w:p>
          <w:p w14:paraId="3041B8D7" w14:textId="7C30ACE7" w:rsidR="006060C9" w:rsidRPr="006060C9" w:rsidRDefault="006060C9" w:rsidP="006060C9">
            <w:pPr>
              <w:rPr>
                <w:rFonts w:cs="Arial"/>
                <w:color w:val="000000"/>
                <w:lang w:val="fr-FR" w:eastAsia="fr-FR"/>
              </w:rPr>
            </w:pPr>
            <w:r w:rsidRPr="00DB7B69">
              <w:rPr>
                <w:rFonts w:eastAsia="Calibri"/>
                <w:lang w:val="fr-FR"/>
              </w:rPr>
              <w:t>Title of document: Rapport sur les essais de stabilitié - ALGOLFILM</w:t>
            </w:r>
          </w:p>
        </w:tc>
        <w:tc>
          <w:tcPr>
            <w:tcW w:w="1559" w:type="dxa"/>
            <w:shd w:val="clear" w:color="auto" w:fill="auto"/>
          </w:tcPr>
          <w:p w14:paraId="645CD710" w14:textId="53C554D5" w:rsidR="006060C9" w:rsidRPr="00F15A9D" w:rsidRDefault="006060C9" w:rsidP="006060C9">
            <w:pPr>
              <w:jc w:val="center"/>
              <w:rPr>
                <w:rFonts w:cs="Arial"/>
                <w:color w:val="000000"/>
                <w:lang w:val="fr-FR" w:eastAsia="en-US"/>
              </w:rPr>
            </w:pPr>
            <w:r w:rsidRPr="00F15A9D">
              <w:rPr>
                <w:rFonts w:eastAsia="Calibri"/>
                <w:lang w:val="en-US"/>
              </w:rPr>
              <w:t>Yes</w:t>
            </w:r>
          </w:p>
        </w:tc>
        <w:tc>
          <w:tcPr>
            <w:tcW w:w="2268" w:type="dxa"/>
            <w:shd w:val="clear" w:color="auto" w:fill="auto"/>
          </w:tcPr>
          <w:p w14:paraId="58B35B2D" w14:textId="1FB94F3F" w:rsidR="006060C9" w:rsidRPr="00F15A9D" w:rsidRDefault="006060C9" w:rsidP="006060C9">
            <w:pPr>
              <w:jc w:val="center"/>
              <w:rPr>
                <w:rFonts w:cs="Arial"/>
                <w:color w:val="000000"/>
                <w:lang w:eastAsia="fr-FR"/>
              </w:rPr>
            </w:pPr>
            <w:r w:rsidRPr="00F15A9D">
              <w:rPr>
                <w:rFonts w:eastAsia="Calibri"/>
                <w:lang w:val="en-US"/>
              </w:rPr>
              <w:t>CTH</w:t>
            </w:r>
          </w:p>
        </w:tc>
      </w:tr>
      <w:tr w:rsidR="006060C9" w:rsidRPr="00404246" w14:paraId="59601A37" w14:textId="77777777" w:rsidTr="006060C9">
        <w:trPr>
          <w:trHeight w:val="1153"/>
        </w:trPr>
        <w:tc>
          <w:tcPr>
            <w:tcW w:w="1471" w:type="dxa"/>
            <w:shd w:val="clear" w:color="auto" w:fill="auto"/>
          </w:tcPr>
          <w:p w14:paraId="57876537" w14:textId="78B054FC" w:rsidR="006060C9" w:rsidRDefault="006060C9" w:rsidP="006060C9">
            <w:pPr>
              <w:jc w:val="center"/>
              <w:rPr>
                <w:rFonts w:cs="Arial"/>
                <w:color w:val="000000"/>
                <w:lang w:val="fr-FR" w:eastAsia="fr-FR"/>
              </w:rPr>
            </w:pPr>
            <w:r w:rsidRPr="00161BF0">
              <w:rPr>
                <w:rFonts w:eastAsia="Calibri"/>
                <w:lang w:val="en-US"/>
              </w:rPr>
              <w:t>Elisabeth servajean</w:t>
            </w:r>
          </w:p>
        </w:tc>
        <w:tc>
          <w:tcPr>
            <w:tcW w:w="855" w:type="dxa"/>
            <w:shd w:val="clear" w:color="auto" w:fill="auto"/>
          </w:tcPr>
          <w:p w14:paraId="0042DE54" w14:textId="45E84604" w:rsidR="006060C9" w:rsidRPr="00404246" w:rsidRDefault="006060C9" w:rsidP="006060C9">
            <w:pPr>
              <w:jc w:val="center"/>
              <w:rPr>
                <w:rFonts w:cs="Arial"/>
                <w:color w:val="000000"/>
                <w:lang w:val="fr-FR" w:eastAsia="fr-FR"/>
              </w:rPr>
            </w:pPr>
            <w:r w:rsidRPr="00161BF0">
              <w:rPr>
                <w:rFonts w:eastAsia="Calibri"/>
                <w:lang w:val="en-US"/>
              </w:rPr>
              <w:t>2018</w:t>
            </w:r>
          </w:p>
        </w:tc>
        <w:tc>
          <w:tcPr>
            <w:tcW w:w="3311" w:type="dxa"/>
            <w:shd w:val="clear" w:color="auto" w:fill="auto"/>
          </w:tcPr>
          <w:p w14:paraId="046DAAB4" w14:textId="77777777" w:rsidR="006060C9" w:rsidRDefault="006060C9" w:rsidP="006060C9">
            <w:pPr>
              <w:rPr>
                <w:rFonts w:eastAsia="Calibri"/>
                <w:lang w:val="en-US"/>
              </w:rPr>
            </w:pPr>
            <w:r>
              <w:rPr>
                <w:rFonts w:eastAsia="Calibri"/>
                <w:lang w:val="en-US"/>
              </w:rPr>
              <w:t xml:space="preserve">Title of file: </w:t>
            </w:r>
            <w:r w:rsidRPr="00E41161">
              <w:rPr>
                <w:rFonts w:eastAsia="Calibri"/>
                <w:lang w:val="en-US"/>
              </w:rPr>
              <w:t>Phys-chem_Viscosity and surface tension on ALGOFILM</w:t>
            </w:r>
          </w:p>
          <w:p w14:paraId="7E3A5DC7" w14:textId="77777777" w:rsidR="006060C9" w:rsidRDefault="006060C9" w:rsidP="006060C9">
            <w:pPr>
              <w:rPr>
                <w:rFonts w:eastAsia="Calibri"/>
                <w:lang w:val="en-US"/>
              </w:rPr>
            </w:pPr>
          </w:p>
          <w:p w14:paraId="2057ECD9" w14:textId="202CA9CF" w:rsidR="006060C9" w:rsidRPr="00404246" w:rsidRDefault="006060C9" w:rsidP="006060C9">
            <w:pPr>
              <w:rPr>
                <w:rFonts w:cs="Arial"/>
                <w:color w:val="000000"/>
                <w:lang w:eastAsia="fr-FR"/>
              </w:rPr>
            </w:pPr>
            <w:r>
              <w:rPr>
                <w:rFonts w:eastAsia="Calibri"/>
                <w:lang w:val="en-US"/>
              </w:rPr>
              <w:t>Title of document: Surface tension and kinematic viscosity of ALGOFILM before and after accelerated storage</w:t>
            </w:r>
          </w:p>
        </w:tc>
        <w:tc>
          <w:tcPr>
            <w:tcW w:w="1559" w:type="dxa"/>
            <w:shd w:val="clear" w:color="auto" w:fill="auto"/>
          </w:tcPr>
          <w:p w14:paraId="6825FA60" w14:textId="4CF72772" w:rsidR="006060C9" w:rsidRPr="00F15A9D" w:rsidRDefault="006060C9" w:rsidP="006060C9">
            <w:pPr>
              <w:jc w:val="center"/>
              <w:rPr>
                <w:rFonts w:cs="Arial"/>
                <w:color w:val="000000"/>
                <w:lang w:val="fr-FR" w:eastAsia="en-US"/>
              </w:rPr>
            </w:pPr>
            <w:r w:rsidRPr="00F15A9D">
              <w:rPr>
                <w:rFonts w:eastAsia="Calibri"/>
                <w:lang w:val="en-US"/>
              </w:rPr>
              <w:t xml:space="preserve">Yes </w:t>
            </w:r>
          </w:p>
        </w:tc>
        <w:tc>
          <w:tcPr>
            <w:tcW w:w="2268" w:type="dxa"/>
            <w:shd w:val="clear" w:color="auto" w:fill="auto"/>
          </w:tcPr>
          <w:p w14:paraId="14033049" w14:textId="02685C7A" w:rsidR="006060C9" w:rsidRPr="00F15A9D" w:rsidRDefault="006060C9" w:rsidP="006060C9">
            <w:pPr>
              <w:jc w:val="center"/>
              <w:rPr>
                <w:rFonts w:cs="Arial"/>
                <w:color w:val="000000"/>
                <w:lang w:eastAsia="fr-FR"/>
              </w:rPr>
            </w:pPr>
            <w:r w:rsidRPr="00F15A9D">
              <w:rPr>
                <w:rFonts w:eastAsia="Calibri"/>
                <w:lang w:val="en-US"/>
              </w:rPr>
              <w:t>CTH</w:t>
            </w:r>
          </w:p>
        </w:tc>
      </w:tr>
      <w:tr w:rsidR="006060C9" w:rsidRPr="00404246" w14:paraId="28F0DAAB" w14:textId="77777777" w:rsidTr="006060C9">
        <w:trPr>
          <w:trHeight w:val="1153"/>
        </w:trPr>
        <w:tc>
          <w:tcPr>
            <w:tcW w:w="1471" w:type="dxa"/>
            <w:shd w:val="clear" w:color="auto" w:fill="auto"/>
          </w:tcPr>
          <w:p w14:paraId="6A3A90C7" w14:textId="3F783A7B" w:rsidR="006060C9" w:rsidRDefault="006060C9" w:rsidP="006060C9">
            <w:pPr>
              <w:jc w:val="center"/>
              <w:rPr>
                <w:rFonts w:cs="Arial"/>
                <w:color w:val="000000"/>
                <w:lang w:val="fr-FR" w:eastAsia="fr-FR"/>
              </w:rPr>
            </w:pPr>
            <w:r w:rsidRPr="00161BF0">
              <w:rPr>
                <w:rFonts w:eastAsia="Calibri"/>
                <w:lang w:val="en-US"/>
              </w:rPr>
              <w:t>Merieux Nutrisciences</w:t>
            </w:r>
          </w:p>
        </w:tc>
        <w:tc>
          <w:tcPr>
            <w:tcW w:w="855" w:type="dxa"/>
            <w:shd w:val="clear" w:color="auto" w:fill="auto"/>
          </w:tcPr>
          <w:p w14:paraId="63D12531" w14:textId="11AE0A6B" w:rsidR="006060C9" w:rsidRPr="00404246" w:rsidRDefault="006060C9" w:rsidP="006060C9">
            <w:pPr>
              <w:jc w:val="center"/>
              <w:rPr>
                <w:rFonts w:cs="Arial"/>
                <w:color w:val="000000"/>
                <w:lang w:val="fr-FR" w:eastAsia="fr-FR"/>
              </w:rPr>
            </w:pPr>
            <w:r w:rsidRPr="00161BF0">
              <w:rPr>
                <w:rFonts w:eastAsia="Calibri"/>
                <w:lang w:val="en-US"/>
              </w:rPr>
              <w:t>2016</w:t>
            </w:r>
          </w:p>
        </w:tc>
        <w:tc>
          <w:tcPr>
            <w:tcW w:w="3311" w:type="dxa"/>
            <w:shd w:val="clear" w:color="auto" w:fill="auto"/>
          </w:tcPr>
          <w:p w14:paraId="0E5D63CA" w14:textId="77777777" w:rsidR="006060C9" w:rsidRPr="00161BF0" w:rsidRDefault="006060C9" w:rsidP="006060C9">
            <w:pPr>
              <w:rPr>
                <w:rFonts w:eastAsia="Calibri"/>
                <w:lang w:val="en-US"/>
              </w:rPr>
            </w:pPr>
            <w:r w:rsidRPr="00161BF0">
              <w:rPr>
                <w:rFonts w:eastAsia="Calibri"/>
                <w:lang w:val="en-US"/>
              </w:rPr>
              <w:t>Title of file: Phys-chem_Corrosion to metals_IODIGUARD</w:t>
            </w:r>
          </w:p>
          <w:p w14:paraId="2FCA031E" w14:textId="77777777" w:rsidR="006060C9" w:rsidRPr="00161BF0" w:rsidRDefault="006060C9" w:rsidP="006060C9">
            <w:pPr>
              <w:rPr>
                <w:rFonts w:eastAsia="Calibri"/>
                <w:lang w:val="en-US"/>
              </w:rPr>
            </w:pPr>
          </w:p>
          <w:p w14:paraId="698CAF27" w14:textId="73E65B5B" w:rsidR="006060C9" w:rsidRPr="00404246" w:rsidRDefault="006060C9" w:rsidP="006060C9">
            <w:pPr>
              <w:rPr>
                <w:rFonts w:cs="Arial"/>
                <w:color w:val="000000"/>
                <w:lang w:eastAsia="fr-FR"/>
              </w:rPr>
            </w:pPr>
            <w:r w:rsidRPr="00161BF0">
              <w:rPr>
                <w:rFonts w:eastAsia="Calibri"/>
                <w:lang w:val="en-US"/>
              </w:rPr>
              <w:t>Title of document: Metal corrosion test for the product IODIGUARD – Lot 16001693</w:t>
            </w:r>
          </w:p>
        </w:tc>
        <w:tc>
          <w:tcPr>
            <w:tcW w:w="1559" w:type="dxa"/>
            <w:shd w:val="clear" w:color="auto" w:fill="auto"/>
          </w:tcPr>
          <w:p w14:paraId="552849A7" w14:textId="5A734F28" w:rsidR="006060C9" w:rsidRPr="00F15A9D" w:rsidRDefault="006060C9" w:rsidP="006060C9">
            <w:pPr>
              <w:jc w:val="center"/>
              <w:rPr>
                <w:rFonts w:cs="Arial"/>
                <w:color w:val="000000"/>
                <w:lang w:val="en-US" w:eastAsia="en-US"/>
              </w:rPr>
            </w:pPr>
            <w:r w:rsidRPr="00F15A9D">
              <w:rPr>
                <w:rFonts w:eastAsia="Calibri"/>
                <w:lang w:val="en-US"/>
              </w:rPr>
              <w:t>Yes</w:t>
            </w:r>
          </w:p>
        </w:tc>
        <w:tc>
          <w:tcPr>
            <w:tcW w:w="2268" w:type="dxa"/>
            <w:shd w:val="clear" w:color="auto" w:fill="auto"/>
          </w:tcPr>
          <w:p w14:paraId="059E6762" w14:textId="34731EFA" w:rsidR="006060C9" w:rsidRPr="00F15A9D" w:rsidRDefault="006060C9" w:rsidP="006060C9">
            <w:pPr>
              <w:jc w:val="center"/>
              <w:rPr>
                <w:rFonts w:cs="Arial"/>
                <w:color w:val="000000"/>
                <w:lang w:eastAsia="fr-FR"/>
              </w:rPr>
            </w:pPr>
            <w:r w:rsidRPr="00F15A9D">
              <w:rPr>
                <w:rFonts w:eastAsia="Calibri"/>
                <w:lang w:val="en-US"/>
              </w:rPr>
              <w:t>CTH</w:t>
            </w:r>
          </w:p>
        </w:tc>
      </w:tr>
      <w:tr w:rsidR="006060C9" w:rsidRPr="00404246" w14:paraId="18C9824D" w14:textId="77777777" w:rsidTr="006060C9">
        <w:trPr>
          <w:trHeight w:val="1153"/>
        </w:trPr>
        <w:tc>
          <w:tcPr>
            <w:tcW w:w="1471" w:type="dxa"/>
            <w:shd w:val="clear" w:color="auto" w:fill="auto"/>
          </w:tcPr>
          <w:p w14:paraId="3B019136" w14:textId="2F88F6DC" w:rsidR="006060C9" w:rsidRDefault="006060C9" w:rsidP="006060C9">
            <w:pPr>
              <w:jc w:val="center"/>
              <w:rPr>
                <w:rFonts w:cs="Arial"/>
                <w:color w:val="000000"/>
                <w:lang w:val="fr-FR" w:eastAsia="fr-FR"/>
              </w:rPr>
            </w:pPr>
            <w:r w:rsidRPr="00161BF0">
              <w:rPr>
                <w:rFonts w:eastAsia="Calibri"/>
                <w:lang w:val="en-US"/>
              </w:rPr>
              <w:lastRenderedPageBreak/>
              <w:t>Morel A.</w:t>
            </w:r>
          </w:p>
        </w:tc>
        <w:tc>
          <w:tcPr>
            <w:tcW w:w="855" w:type="dxa"/>
            <w:shd w:val="clear" w:color="auto" w:fill="auto"/>
          </w:tcPr>
          <w:p w14:paraId="462C9C35" w14:textId="0F6BB976" w:rsidR="006060C9" w:rsidRPr="00404246" w:rsidRDefault="006060C9" w:rsidP="006060C9">
            <w:pPr>
              <w:jc w:val="center"/>
              <w:rPr>
                <w:rFonts w:cs="Arial"/>
                <w:color w:val="000000"/>
                <w:lang w:val="fr-FR" w:eastAsia="fr-FR"/>
              </w:rPr>
            </w:pPr>
            <w:r w:rsidRPr="00161BF0">
              <w:rPr>
                <w:rFonts w:eastAsia="Calibri"/>
                <w:lang w:val="en-US"/>
              </w:rPr>
              <w:t>2015</w:t>
            </w:r>
          </w:p>
        </w:tc>
        <w:tc>
          <w:tcPr>
            <w:tcW w:w="3311" w:type="dxa"/>
            <w:shd w:val="clear" w:color="auto" w:fill="auto"/>
          </w:tcPr>
          <w:p w14:paraId="22ECD03A" w14:textId="77777777" w:rsidR="006060C9" w:rsidRPr="002439F0" w:rsidRDefault="006060C9" w:rsidP="006060C9">
            <w:pPr>
              <w:rPr>
                <w:rFonts w:eastAsia="Calibri"/>
                <w:lang w:val="en-US"/>
              </w:rPr>
            </w:pPr>
            <w:r w:rsidRPr="002439F0">
              <w:rPr>
                <w:rFonts w:eastAsia="Calibri"/>
                <w:lang w:val="en-US"/>
              </w:rPr>
              <w:t>Title of file : Phys-chem_Analyt</w:t>
            </w:r>
            <w:r>
              <w:rPr>
                <w:rFonts w:eastAsia="Calibri"/>
                <w:lang w:val="en-US"/>
              </w:rPr>
              <w:t>i</w:t>
            </w:r>
            <w:r w:rsidRPr="002439F0">
              <w:rPr>
                <w:rFonts w:eastAsia="Calibri"/>
                <w:lang w:val="en-US"/>
              </w:rPr>
              <w:t>cal method Iodine in ALGOLFILM</w:t>
            </w:r>
          </w:p>
          <w:p w14:paraId="71FD0E78" w14:textId="77777777" w:rsidR="006060C9" w:rsidRDefault="006060C9" w:rsidP="006060C9">
            <w:pPr>
              <w:rPr>
                <w:rFonts w:eastAsia="Calibri"/>
                <w:lang w:val="en-US"/>
              </w:rPr>
            </w:pPr>
          </w:p>
          <w:p w14:paraId="3871840E" w14:textId="142103CA" w:rsidR="006060C9" w:rsidRPr="006060C9" w:rsidRDefault="006060C9" w:rsidP="006060C9">
            <w:pPr>
              <w:rPr>
                <w:rFonts w:cs="Arial"/>
                <w:color w:val="000000"/>
                <w:lang w:val="fr-FR" w:eastAsia="fr-FR"/>
              </w:rPr>
            </w:pPr>
            <w:r w:rsidRPr="00DB7B69">
              <w:rPr>
                <w:rFonts w:eastAsia="Calibri"/>
                <w:lang w:val="fr-FR"/>
              </w:rPr>
              <w:t>Title of document : Méthode de dosage de l’iode actif</w:t>
            </w:r>
          </w:p>
        </w:tc>
        <w:tc>
          <w:tcPr>
            <w:tcW w:w="1559" w:type="dxa"/>
            <w:shd w:val="clear" w:color="auto" w:fill="auto"/>
          </w:tcPr>
          <w:p w14:paraId="75E3EF04" w14:textId="43B3C87E" w:rsidR="006060C9" w:rsidRPr="00F15A9D" w:rsidRDefault="006060C9" w:rsidP="006060C9">
            <w:pPr>
              <w:jc w:val="center"/>
              <w:rPr>
                <w:rFonts w:cs="Arial"/>
                <w:color w:val="000000"/>
                <w:lang w:val="en-US" w:eastAsia="en-US"/>
              </w:rPr>
            </w:pPr>
            <w:r w:rsidRPr="00F15A9D">
              <w:rPr>
                <w:rFonts w:eastAsia="Calibri"/>
                <w:lang w:val="en-US"/>
              </w:rPr>
              <w:t>Yes</w:t>
            </w:r>
          </w:p>
        </w:tc>
        <w:tc>
          <w:tcPr>
            <w:tcW w:w="2268" w:type="dxa"/>
            <w:shd w:val="clear" w:color="auto" w:fill="auto"/>
          </w:tcPr>
          <w:p w14:paraId="445555CD" w14:textId="7138EA7F" w:rsidR="006060C9" w:rsidRPr="00F15A9D" w:rsidRDefault="006060C9" w:rsidP="006060C9">
            <w:pPr>
              <w:jc w:val="center"/>
              <w:rPr>
                <w:rFonts w:cs="Arial"/>
                <w:color w:val="000000"/>
                <w:lang w:eastAsia="fr-FR"/>
              </w:rPr>
            </w:pPr>
            <w:r w:rsidRPr="00F15A9D">
              <w:rPr>
                <w:rFonts w:eastAsia="Calibri"/>
                <w:lang w:val="en-US"/>
              </w:rPr>
              <w:t>CTH</w:t>
            </w:r>
          </w:p>
        </w:tc>
      </w:tr>
      <w:tr w:rsidR="008B58D5" w:rsidRPr="00404246" w14:paraId="1DDA93FE" w14:textId="77777777" w:rsidTr="006060C9">
        <w:trPr>
          <w:trHeight w:val="1153"/>
        </w:trPr>
        <w:tc>
          <w:tcPr>
            <w:tcW w:w="1471" w:type="dxa"/>
            <w:shd w:val="clear" w:color="auto" w:fill="auto"/>
          </w:tcPr>
          <w:p w14:paraId="4F1B2472" w14:textId="2F1E6C57" w:rsidR="008B58D5" w:rsidRPr="00F15A9D" w:rsidRDefault="008B58D5" w:rsidP="008B58D5">
            <w:pPr>
              <w:jc w:val="center"/>
              <w:rPr>
                <w:rFonts w:eastAsia="Calibri"/>
                <w:lang w:val="en-US"/>
              </w:rPr>
            </w:pPr>
            <w:r w:rsidRPr="00F15A9D">
              <w:rPr>
                <w:bCs/>
                <w:szCs w:val="18"/>
                <w:lang w:val="fr-FR" w:eastAsia="en-US"/>
              </w:rPr>
              <w:t>Pauline Padilla</w:t>
            </w:r>
          </w:p>
        </w:tc>
        <w:tc>
          <w:tcPr>
            <w:tcW w:w="855" w:type="dxa"/>
            <w:shd w:val="clear" w:color="auto" w:fill="auto"/>
          </w:tcPr>
          <w:p w14:paraId="5F52092C" w14:textId="3A0DAEB1" w:rsidR="008B58D5" w:rsidRPr="00161BF0" w:rsidRDefault="008B58D5" w:rsidP="008B58D5">
            <w:pPr>
              <w:jc w:val="center"/>
              <w:rPr>
                <w:rFonts w:eastAsia="Calibri"/>
                <w:lang w:val="en-US"/>
              </w:rPr>
            </w:pPr>
            <w:r>
              <w:rPr>
                <w:sz w:val="18"/>
                <w:szCs w:val="18"/>
                <w:lang w:val="fr-FR" w:eastAsia="en-US"/>
              </w:rPr>
              <w:t>2020</w:t>
            </w:r>
          </w:p>
        </w:tc>
        <w:tc>
          <w:tcPr>
            <w:tcW w:w="3311" w:type="dxa"/>
            <w:shd w:val="clear" w:color="auto" w:fill="auto"/>
          </w:tcPr>
          <w:p w14:paraId="39F386B5" w14:textId="77777777" w:rsidR="008B58D5" w:rsidRDefault="008B58D5" w:rsidP="008B58D5">
            <w:pPr>
              <w:rPr>
                <w:rFonts w:eastAsia="Calibri"/>
                <w:lang w:val="en-US" w:eastAsia="de-DE"/>
              </w:rPr>
            </w:pPr>
            <w:r>
              <w:rPr>
                <w:rFonts w:eastAsia="Calibri"/>
                <w:lang w:val="en-US"/>
              </w:rPr>
              <w:t>Physico-chemical tests and analyses before and after an accelerated storage procedure for 8 weeks at 40 °C ± 2 °C on ALGOFILM</w:t>
            </w:r>
          </w:p>
          <w:p w14:paraId="4E838F64" w14:textId="77777777" w:rsidR="008B58D5" w:rsidRDefault="008B58D5" w:rsidP="008B58D5">
            <w:pPr>
              <w:rPr>
                <w:rFonts w:eastAsia="Calibri"/>
                <w:lang w:val="en-US"/>
              </w:rPr>
            </w:pPr>
            <w:r>
              <w:rPr>
                <w:rFonts w:eastAsia="Calibri"/>
                <w:lang w:val="en-US"/>
              </w:rPr>
              <w:t>Défitraces</w:t>
            </w:r>
          </w:p>
          <w:p w14:paraId="2820CDAA" w14:textId="77777777" w:rsidR="008B58D5" w:rsidRDefault="008B58D5" w:rsidP="008B58D5">
            <w:pPr>
              <w:rPr>
                <w:rFonts w:eastAsia="Calibri"/>
                <w:lang w:val="en-US"/>
              </w:rPr>
            </w:pPr>
            <w:r>
              <w:rPr>
                <w:rFonts w:eastAsia="Calibri"/>
                <w:lang w:val="en-US"/>
              </w:rPr>
              <w:t>20-912017-004</w:t>
            </w:r>
          </w:p>
          <w:p w14:paraId="6936BC11" w14:textId="0D7EC089" w:rsidR="008B58D5" w:rsidRPr="002439F0" w:rsidRDefault="008B58D5" w:rsidP="008B58D5">
            <w:pPr>
              <w:rPr>
                <w:rFonts w:eastAsia="Calibri"/>
                <w:lang w:val="en-US"/>
              </w:rPr>
            </w:pPr>
            <w:r>
              <w:rPr>
                <w:rFonts w:eastAsia="Calibri"/>
                <w:lang w:val="en-US"/>
              </w:rPr>
              <w:t>GLP; Unpublished</w:t>
            </w:r>
          </w:p>
        </w:tc>
        <w:tc>
          <w:tcPr>
            <w:tcW w:w="1559" w:type="dxa"/>
            <w:shd w:val="clear" w:color="auto" w:fill="auto"/>
          </w:tcPr>
          <w:p w14:paraId="73D9C545" w14:textId="52AD1013" w:rsidR="008B58D5" w:rsidRPr="00F15A9D" w:rsidRDefault="008B58D5" w:rsidP="008B58D5">
            <w:pPr>
              <w:jc w:val="center"/>
              <w:rPr>
                <w:rFonts w:eastAsia="Calibri"/>
                <w:lang w:val="en-US"/>
              </w:rPr>
            </w:pPr>
            <w:r w:rsidRPr="00F15A9D">
              <w:rPr>
                <w:lang w:val="en-US" w:eastAsia="en-US"/>
              </w:rPr>
              <w:t>Yes</w:t>
            </w:r>
          </w:p>
        </w:tc>
        <w:tc>
          <w:tcPr>
            <w:tcW w:w="2268" w:type="dxa"/>
            <w:shd w:val="clear" w:color="auto" w:fill="auto"/>
          </w:tcPr>
          <w:p w14:paraId="0471D3E4" w14:textId="52E17A52" w:rsidR="008B58D5" w:rsidRPr="00F15A9D" w:rsidRDefault="008B58D5" w:rsidP="008B58D5">
            <w:pPr>
              <w:jc w:val="center"/>
              <w:rPr>
                <w:rFonts w:eastAsia="Calibri"/>
                <w:lang w:val="en-US"/>
              </w:rPr>
            </w:pPr>
            <w:r w:rsidRPr="00F15A9D">
              <w:rPr>
                <w:lang w:val="en-US" w:eastAsia="en-US"/>
              </w:rPr>
              <w:t>CTH</w:t>
            </w:r>
          </w:p>
        </w:tc>
      </w:tr>
      <w:tr w:rsidR="008B58D5" w:rsidRPr="00404246" w14:paraId="0C64749F" w14:textId="77777777" w:rsidTr="006060C9">
        <w:trPr>
          <w:trHeight w:val="1153"/>
        </w:trPr>
        <w:tc>
          <w:tcPr>
            <w:tcW w:w="1471" w:type="dxa"/>
            <w:shd w:val="clear" w:color="auto" w:fill="auto"/>
          </w:tcPr>
          <w:p w14:paraId="19B17591" w14:textId="6ED394DB" w:rsidR="008B58D5" w:rsidRPr="00F15A9D" w:rsidRDefault="008B58D5" w:rsidP="008B58D5">
            <w:pPr>
              <w:jc w:val="center"/>
              <w:rPr>
                <w:rFonts w:eastAsia="Calibri"/>
                <w:lang w:val="en-US"/>
              </w:rPr>
            </w:pPr>
            <w:r w:rsidRPr="00F15A9D">
              <w:rPr>
                <w:bCs/>
                <w:szCs w:val="18"/>
                <w:lang w:val="en-US" w:eastAsia="en-US"/>
              </w:rPr>
              <w:t>Hélène Ricau</w:t>
            </w:r>
          </w:p>
        </w:tc>
        <w:tc>
          <w:tcPr>
            <w:tcW w:w="855" w:type="dxa"/>
            <w:shd w:val="clear" w:color="auto" w:fill="auto"/>
          </w:tcPr>
          <w:p w14:paraId="47F80721" w14:textId="2A03D710" w:rsidR="008B58D5" w:rsidRPr="00161BF0" w:rsidRDefault="008B58D5" w:rsidP="008B58D5">
            <w:pPr>
              <w:jc w:val="center"/>
              <w:rPr>
                <w:rFonts w:eastAsia="Calibri"/>
                <w:lang w:val="en-US"/>
              </w:rPr>
            </w:pPr>
            <w:r>
              <w:rPr>
                <w:bCs/>
                <w:sz w:val="18"/>
                <w:szCs w:val="18"/>
                <w:lang w:val="en-US" w:eastAsia="en-US"/>
              </w:rPr>
              <w:t>2020</w:t>
            </w:r>
          </w:p>
        </w:tc>
        <w:tc>
          <w:tcPr>
            <w:tcW w:w="3311" w:type="dxa"/>
            <w:shd w:val="clear" w:color="auto" w:fill="auto"/>
          </w:tcPr>
          <w:p w14:paraId="705E3BA1" w14:textId="77777777" w:rsidR="008B58D5" w:rsidRDefault="008B58D5" w:rsidP="008B58D5">
            <w:pPr>
              <w:rPr>
                <w:rFonts w:eastAsia="Calibri"/>
                <w:lang w:val="en-US" w:eastAsia="de-DE"/>
              </w:rPr>
            </w:pPr>
            <w:r>
              <w:rPr>
                <w:rFonts w:eastAsia="Calibri"/>
                <w:lang w:val="en-US"/>
              </w:rPr>
              <w:t>Validation of the analytical method for the determination of iodide in IODIGUARD In compliance with SANCO/3030/99 rev.5 from 22/03/2019</w:t>
            </w:r>
          </w:p>
          <w:p w14:paraId="6A227FE1" w14:textId="77777777" w:rsidR="008B58D5" w:rsidRDefault="008B58D5" w:rsidP="008B58D5">
            <w:pPr>
              <w:rPr>
                <w:rFonts w:eastAsia="Calibri"/>
                <w:lang w:val="en-US"/>
              </w:rPr>
            </w:pPr>
            <w:r>
              <w:rPr>
                <w:rFonts w:eastAsia="Calibri"/>
                <w:lang w:val="en-US"/>
              </w:rPr>
              <w:t>Défitraces</w:t>
            </w:r>
          </w:p>
          <w:p w14:paraId="4890C643" w14:textId="77777777" w:rsidR="008B58D5" w:rsidRDefault="008B58D5" w:rsidP="008B58D5">
            <w:pPr>
              <w:rPr>
                <w:rFonts w:eastAsia="Calibri"/>
                <w:lang w:val="en-US"/>
              </w:rPr>
            </w:pPr>
            <w:r>
              <w:rPr>
                <w:rFonts w:eastAsia="Calibri"/>
                <w:lang w:val="en-US"/>
              </w:rPr>
              <w:t>20-912017-001</w:t>
            </w:r>
          </w:p>
          <w:p w14:paraId="11365375" w14:textId="7512C4EA" w:rsidR="008B58D5" w:rsidRPr="002439F0" w:rsidRDefault="008B58D5" w:rsidP="008B58D5">
            <w:pPr>
              <w:rPr>
                <w:rFonts w:eastAsia="Calibri"/>
                <w:lang w:val="en-US"/>
              </w:rPr>
            </w:pPr>
            <w:r>
              <w:rPr>
                <w:rFonts w:eastAsia="Calibri"/>
                <w:lang w:val="en-US"/>
              </w:rPr>
              <w:t>GLP; Unpublished</w:t>
            </w:r>
          </w:p>
        </w:tc>
        <w:tc>
          <w:tcPr>
            <w:tcW w:w="1559" w:type="dxa"/>
            <w:shd w:val="clear" w:color="auto" w:fill="auto"/>
          </w:tcPr>
          <w:p w14:paraId="6C2C7A81" w14:textId="6C193745" w:rsidR="008B58D5" w:rsidRPr="00F15A9D" w:rsidRDefault="008B58D5" w:rsidP="008B58D5">
            <w:pPr>
              <w:jc w:val="center"/>
              <w:rPr>
                <w:rFonts w:eastAsia="Calibri"/>
                <w:lang w:val="en-US"/>
              </w:rPr>
            </w:pPr>
            <w:r w:rsidRPr="00F15A9D">
              <w:rPr>
                <w:bCs/>
                <w:lang w:val="fr-FR" w:eastAsia="en-US"/>
              </w:rPr>
              <w:t>Yes</w:t>
            </w:r>
          </w:p>
        </w:tc>
        <w:tc>
          <w:tcPr>
            <w:tcW w:w="2268" w:type="dxa"/>
            <w:shd w:val="clear" w:color="auto" w:fill="auto"/>
          </w:tcPr>
          <w:p w14:paraId="0164A040" w14:textId="0145D39B" w:rsidR="008B58D5" w:rsidRPr="00F15A9D" w:rsidRDefault="008B58D5" w:rsidP="008B58D5">
            <w:pPr>
              <w:jc w:val="center"/>
              <w:rPr>
                <w:rFonts w:eastAsia="Calibri"/>
                <w:lang w:val="en-US"/>
              </w:rPr>
            </w:pPr>
            <w:r w:rsidRPr="00F15A9D">
              <w:rPr>
                <w:bCs/>
                <w:lang w:val="fr-FR" w:eastAsia="en-US"/>
              </w:rPr>
              <w:t>CTH</w:t>
            </w:r>
          </w:p>
        </w:tc>
      </w:tr>
      <w:tr w:rsidR="008B58D5" w:rsidRPr="00404246" w14:paraId="5BFB96FE" w14:textId="77777777" w:rsidTr="006060C9">
        <w:trPr>
          <w:trHeight w:val="1153"/>
        </w:trPr>
        <w:tc>
          <w:tcPr>
            <w:tcW w:w="1471" w:type="dxa"/>
            <w:shd w:val="clear" w:color="auto" w:fill="auto"/>
          </w:tcPr>
          <w:p w14:paraId="04DAA22D" w14:textId="5D8CE54E" w:rsidR="008B58D5" w:rsidRPr="00F15A9D" w:rsidRDefault="008B58D5" w:rsidP="008B58D5">
            <w:pPr>
              <w:jc w:val="center"/>
              <w:rPr>
                <w:rFonts w:eastAsia="Calibri"/>
                <w:lang w:val="en-US"/>
              </w:rPr>
            </w:pPr>
            <w:r w:rsidRPr="00F15A9D">
              <w:rPr>
                <w:bCs/>
                <w:szCs w:val="18"/>
                <w:lang w:val="en-US" w:eastAsia="en-US"/>
              </w:rPr>
              <w:t>Hélène Ricau</w:t>
            </w:r>
          </w:p>
        </w:tc>
        <w:tc>
          <w:tcPr>
            <w:tcW w:w="855" w:type="dxa"/>
            <w:shd w:val="clear" w:color="auto" w:fill="auto"/>
          </w:tcPr>
          <w:p w14:paraId="528C4FFB" w14:textId="2FE93AF9" w:rsidR="008B58D5" w:rsidRPr="00161BF0" w:rsidRDefault="008B58D5" w:rsidP="008B58D5">
            <w:pPr>
              <w:jc w:val="center"/>
              <w:rPr>
                <w:rFonts w:eastAsia="Calibri"/>
                <w:lang w:val="en-US"/>
              </w:rPr>
            </w:pPr>
            <w:r>
              <w:rPr>
                <w:bCs/>
                <w:sz w:val="18"/>
                <w:szCs w:val="18"/>
                <w:lang w:val="en-US" w:eastAsia="en-US"/>
              </w:rPr>
              <w:t>2020</w:t>
            </w:r>
          </w:p>
        </w:tc>
        <w:tc>
          <w:tcPr>
            <w:tcW w:w="3311" w:type="dxa"/>
            <w:shd w:val="clear" w:color="auto" w:fill="auto"/>
          </w:tcPr>
          <w:p w14:paraId="21882838" w14:textId="77777777" w:rsidR="008B58D5" w:rsidRDefault="008B58D5" w:rsidP="008B58D5">
            <w:pPr>
              <w:rPr>
                <w:rFonts w:eastAsia="Calibri"/>
                <w:lang w:val="en-US" w:eastAsia="de-DE"/>
              </w:rPr>
            </w:pPr>
            <w:r>
              <w:rPr>
                <w:rFonts w:eastAsia="Calibri"/>
                <w:lang w:val="en-US"/>
              </w:rPr>
              <w:t>Validation of the analytical method for the determination of diiode in IODIGUARD In compliance with SANCO/3030/99 rev.5 from 22/03/2019</w:t>
            </w:r>
          </w:p>
          <w:p w14:paraId="7F7BA3F0" w14:textId="77777777" w:rsidR="008B58D5" w:rsidRDefault="008B58D5" w:rsidP="008B58D5">
            <w:pPr>
              <w:rPr>
                <w:rFonts w:eastAsia="Calibri"/>
                <w:lang w:val="en-US"/>
              </w:rPr>
            </w:pPr>
            <w:r>
              <w:rPr>
                <w:rFonts w:eastAsia="Calibri"/>
                <w:lang w:val="en-US"/>
              </w:rPr>
              <w:t>Défitraces</w:t>
            </w:r>
          </w:p>
          <w:p w14:paraId="454D25D9" w14:textId="77777777" w:rsidR="008B58D5" w:rsidRDefault="008B58D5" w:rsidP="008B58D5">
            <w:pPr>
              <w:rPr>
                <w:rFonts w:eastAsia="Calibri"/>
                <w:lang w:val="en-US"/>
              </w:rPr>
            </w:pPr>
            <w:r>
              <w:rPr>
                <w:rFonts w:eastAsia="Calibri"/>
                <w:lang w:val="en-US"/>
              </w:rPr>
              <w:t>20-912017-002</w:t>
            </w:r>
          </w:p>
          <w:p w14:paraId="6BE53825" w14:textId="3BB1D2D2" w:rsidR="008B58D5" w:rsidRPr="002439F0" w:rsidRDefault="008B58D5" w:rsidP="008B58D5">
            <w:pPr>
              <w:rPr>
                <w:rFonts w:eastAsia="Calibri"/>
                <w:lang w:val="en-US"/>
              </w:rPr>
            </w:pPr>
            <w:r>
              <w:rPr>
                <w:rFonts w:eastAsia="Calibri"/>
                <w:lang w:val="en-US"/>
              </w:rPr>
              <w:t>GLP; Unpublished</w:t>
            </w:r>
          </w:p>
        </w:tc>
        <w:tc>
          <w:tcPr>
            <w:tcW w:w="1559" w:type="dxa"/>
            <w:shd w:val="clear" w:color="auto" w:fill="auto"/>
          </w:tcPr>
          <w:p w14:paraId="53A7D16F" w14:textId="2FF185BA" w:rsidR="008B58D5" w:rsidRPr="00F15A9D" w:rsidRDefault="008B58D5" w:rsidP="008B58D5">
            <w:pPr>
              <w:jc w:val="center"/>
              <w:rPr>
                <w:rFonts w:eastAsia="Calibri"/>
                <w:lang w:val="en-US"/>
              </w:rPr>
            </w:pPr>
            <w:r w:rsidRPr="00F15A9D">
              <w:rPr>
                <w:bCs/>
                <w:lang w:val="fr-FR" w:eastAsia="en-US"/>
              </w:rPr>
              <w:t>Yes</w:t>
            </w:r>
          </w:p>
        </w:tc>
        <w:tc>
          <w:tcPr>
            <w:tcW w:w="2268" w:type="dxa"/>
            <w:shd w:val="clear" w:color="auto" w:fill="auto"/>
          </w:tcPr>
          <w:p w14:paraId="681A820A" w14:textId="174C19F7" w:rsidR="008B58D5" w:rsidRPr="00F15A9D" w:rsidRDefault="008B58D5" w:rsidP="008B58D5">
            <w:pPr>
              <w:jc w:val="center"/>
              <w:rPr>
                <w:rFonts w:eastAsia="Calibri"/>
                <w:lang w:val="en-US"/>
              </w:rPr>
            </w:pPr>
            <w:r w:rsidRPr="00F15A9D">
              <w:rPr>
                <w:bCs/>
                <w:lang w:val="fr-FR" w:eastAsia="en-US"/>
              </w:rPr>
              <w:t>CTH</w:t>
            </w:r>
          </w:p>
        </w:tc>
      </w:tr>
      <w:tr w:rsidR="008B58D5" w:rsidRPr="00404246" w14:paraId="20297BB7" w14:textId="77777777" w:rsidTr="006060C9">
        <w:trPr>
          <w:trHeight w:val="1153"/>
        </w:trPr>
        <w:tc>
          <w:tcPr>
            <w:tcW w:w="1471" w:type="dxa"/>
            <w:shd w:val="clear" w:color="auto" w:fill="auto"/>
          </w:tcPr>
          <w:p w14:paraId="5DDC748D" w14:textId="67DFFF25" w:rsidR="008B58D5" w:rsidRPr="00F15A9D" w:rsidRDefault="008B58D5" w:rsidP="008B58D5">
            <w:pPr>
              <w:jc w:val="center"/>
              <w:rPr>
                <w:rFonts w:eastAsia="Calibri"/>
                <w:lang w:val="en-US"/>
              </w:rPr>
            </w:pPr>
            <w:r w:rsidRPr="00F15A9D">
              <w:rPr>
                <w:bCs/>
                <w:szCs w:val="18"/>
                <w:lang w:val="en-US" w:eastAsia="en-US"/>
              </w:rPr>
              <w:t>Hélène Ricau</w:t>
            </w:r>
          </w:p>
        </w:tc>
        <w:tc>
          <w:tcPr>
            <w:tcW w:w="855" w:type="dxa"/>
            <w:shd w:val="clear" w:color="auto" w:fill="auto"/>
          </w:tcPr>
          <w:p w14:paraId="6D701CBD" w14:textId="1EAF9688" w:rsidR="008B58D5" w:rsidRPr="00161BF0" w:rsidRDefault="008B58D5" w:rsidP="008B58D5">
            <w:pPr>
              <w:jc w:val="center"/>
              <w:rPr>
                <w:rFonts w:eastAsia="Calibri"/>
                <w:lang w:val="en-US"/>
              </w:rPr>
            </w:pPr>
            <w:r>
              <w:rPr>
                <w:bCs/>
                <w:sz w:val="18"/>
                <w:szCs w:val="18"/>
                <w:lang w:val="en-US" w:eastAsia="en-US"/>
              </w:rPr>
              <w:t>2020</w:t>
            </w:r>
          </w:p>
        </w:tc>
        <w:tc>
          <w:tcPr>
            <w:tcW w:w="3311" w:type="dxa"/>
            <w:shd w:val="clear" w:color="auto" w:fill="auto"/>
          </w:tcPr>
          <w:p w14:paraId="512EA949" w14:textId="77777777" w:rsidR="008B58D5" w:rsidRDefault="008B58D5" w:rsidP="008B58D5">
            <w:pPr>
              <w:rPr>
                <w:rFonts w:eastAsia="Calibri"/>
                <w:lang w:val="en-US" w:eastAsia="de-DE"/>
              </w:rPr>
            </w:pPr>
            <w:r>
              <w:rPr>
                <w:rFonts w:eastAsia="Calibri"/>
                <w:lang w:val="en-US"/>
              </w:rPr>
              <w:t>Validation of the analytical method for the determination of iodate in IODIGUARD In compliance with SANCO/3030/99 rev.5 from 22/03/2019</w:t>
            </w:r>
          </w:p>
          <w:p w14:paraId="0621331C" w14:textId="77777777" w:rsidR="008B58D5" w:rsidRDefault="008B58D5" w:rsidP="008B58D5">
            <w:pPr>
              <w:rPr>
                <w:rFonts w:eastAsia="Calibri"/>
                <w:lang w:val="en-US"/>
              </w:rPr>
            </w:pPr>
            <w:r>
              <w:rPr>
                <w:rFonts w:eastAsia="Calibri"/>
                <w:lang w:val="en-US"/>
              </w:rPr>
              <w:t>Défitraces</w:t>
            </w:r>
          </w:p>
          <w:p w14:paraId="42B267A1" w14:textId="77777777" w:rsidR="008B58D5" w:rsidRDefault="008B58D5" w:rsidP="008B58D5">
            <w:pPr>
              <w:rPr>
                <w:rFonts w:eastAsia="Calibri"/>
                <w:lang w:val="en-US"/>
              </w:rPr>
            </w:pPr>
            <w:r>
              <w:rPr>
                <w:rFonts w:eastAsia="Calibri"/>
                <w:lang w:val="en-US"/>
              </w:rPr>
              <w:t>20-912017-003</w:t>
            </w:r>
          </w:p>
          <w:p w14:paraId="010B5E7F" w14:textId="513E56A4" w:rsidR="008B58D5" w:rsidRPr="002439F0" w:rsidRDefault="008B58D5" w:rsidP="008B58D5">
            <w:pPr>
              <w:rPr>
                <w:rFonts w:eastAsia="Calibri"/>
                <w:lang w:val="en-US"/>
              </w:rPr>
            </w:pPr>
            <w:r>
              <w:rPr>
                <w:rFonts w:eastAsia="Calibri"/>
                <w:lang w:val="en-US"/>
              </w:rPr>
              <w:t>GLP; Unpublished</w:t>
            </w:r>
          </w:p>
        </w:tc>
        <w:tc>
          <w:tcPr>
            <w:tcW w:w="1559" w:type="dxa"/>
            <w:shd w:val="clear" w:color="auto" w:fill="auto"/>
          </w:tcPr>
          <w:p w14:paraId="2C34EDE7" w14:textId="5F8EB289" w:rsidR="008B58D5" w:rsidRPr="00F15A9D" w:rsidRDefault="008B58D5" w:rsidP="008B58D5">
            <w:pPr>
              <w:jc w:val="center"/>
              <w:rPr>
                <w:rFonts w:eastAsia="Calibri"/>
                <w:lang w:val="en-US"/>
              </w:rPr>
            </w:pPr>
            <w:r w:rsidRPr="00F15A9D">
              <w:rPr>
                <w:bCs/>
                <w:lang w:val="fr-FR" w:eastAsia="en-US"/>
              </w:rPr>
              <w:t>Yes</w:t>
            </w:r>
          </w:p>
        </w:tc>
        <w:tc>
          <w:tcPr>
            <w:tcW w:w="2268" w:type="dxa"/>
            <w:shd w:val="clear" w:color="auto" w:fill="auto"/>
          </w:tcPr>
          <w:p w14:paraId="05978081" w14:textId="445ABBB6" w:rsidR="008B58D5" w:rsidRPr="00F15A9D" w:rsidRDefault="008B58D5" w:rsidP="008B58D5">
            <w:pPr>
              <w:jc w:val="center"/>
              <w:rPr>
                <w:rFonts w:eastAsia="Calibri"/>
                <w:lang w:val="en-US"/>
              </w:rPr>
            </w:pPr>
            <w:r w:rsidRPr="00F15A9D">
              <w:rPr>
                <w:bCs/>
                <w:lang w:val="fr-FR" w:eastAsia="en-US"/>
              </w:rPr>
              <w:t>CTH</w:t>
            </w:r>
          </w:p>
        </w:tc>
      </w:tr>
      <w:tr w:rsidR="008B58D5" w:rsidRPr="00404246" w14:paraId="79AAC6C2" w14:textId="77777777" w:rsidTr="006060C9">
        <w:trPr>
          <w:trHeight w:val="1153"/>
        </w:trPr>
        <w:tc>
          <w:tcPr>
            <w:tcW w:w="1471" w:type="dxa"/>
            <w:shd w:val="clear" w:color="auto" w:fill="auto"/>
          </w:tcPr>
          <w:p w14:paraId="727BE911" w14:textId="12CFAE34" w:rsidR="008B58D5" w:rsidRPr="00F15A9D" w:rsidRDefault="008B58D5" w:rsidP="008B58D5">
            <w:pPr>
              <w:jc w:val="center"/>
              <w:rPr>
                <w:rFonts w:eastAsia="Calibri"/>
                <w:lang w:val="en-US"/>
              </w:rPr>
            </w:pPr>
            <w:r w:rsidRPr="00F15A9D">
              <w:rPr>
                <w:bCs/>
                <w:szCs w:val="18"/>
                <w:lang w:val="en-US" w:eastAsia="en-US"/>
              </w:rPr>
              <w:t>Hélène Ricau</w:t>
            </w:r>
          </w:p>
        </w:tc>
        <w:tc>
          <w:tcPr>
            <w:tcW w:w="855" w:type="dxa"/>
            <w:shd w:val="clear" w:color="auto" w:fill="auto"/>
          </w:tcPr>
          <w:p w14:paraId="16A9219C" w14:textId="28273E66" w:rsidR="008B58D5" w:rsidRPr="00161BF0" w:rsidRDefault="008B58D5" w:rsidP="008B58D5">
            <w:pPr>
              <w:jc w:val="center"/>
              <w:rPr>
                <w:rFonts w:eastAsia="Calibri"/>
                <w:lang w:val="en-US"/>
              </w:rPr>
            </w:pPr>
            <w:r>
              <w:rPr>
                <w:bCs/>
                <w:sz w:val="18"/>
                <w:szCs w:val="18"/>
                <w:lang w:val="en-US" w:eastAsia="en-US"/>
              </w:rPr>
              <w:t>2020</w:t>
            </w:r>
          </w:p>
        </w:tc>
        <w:tc>
          <w:tcPr>
            <w:tcW w:w="3311" w:type="dxa"/>
            <w:shd w:val="clear" w:color="auto" w:fill="auto"/>
          </w:tcPr>
          <w:p w14:paraId="04918CE0" w14:textId="77777777" w:rsidR="008B58D5" w:rsidRDefault="008B58D5" w:rsidP="008B58D5">
            <w:pPr>
              <w:rPr>
                <w:rFonts w:eastAsia="Calibri"/>
                <w:lang w:val="en-US" w:eastAsia="de-DE"/>
              </w:rPr>
            </w:pPr>
            <w:r>
              <w:rPr>
                <w:rFonts w:eastAsia="Calibri"/>
                <w:lang w:val="en-US"/>
              </w:rPr>
              <w:t>Validation of the analytical method for the determination of L-(+)-lactic acid (CAS [79-33-4]) in ALGOFILM</w:t>
            </w:r>
          </w:p>
          <w:p w14:paraId="5ED61B3B" w14:textId="77777777" w:rsidR="008B58D5" w:rsidRDefault="008B58D5" w:rsidP="008B58D5">
            <w:pPr>
              <w:rPr>
                <w:rFonts w:eastAsia="Calibri"/>
                <w:lang w:val="en-US"/>
              </w:rPr>
            </w:pPr>
            <w:r>
              <w:rPr>
                <w:rFonts w:eastAsia="Calibri"/>
                <w:lang w:val="en-US"/>
              </w:rPr>
              <w:t>Défitraces</w:t>
            </w:r>
          </w:p>
          <w:p w14:paraId="56DF8691" w14:textId="77777777" w:rsidR="008B58D5" w:rsidRDefault="008B58D5" w:rsidP="008B58D5">
            <w:pPr>
              <w:rPr>
                <w:rFonts w:eastAsia="Calibri"/>
                <w:lang w:val="en-US"/>
              </w:rPr>
            </w:pPr>
            <w:r>
              <w:rPr>
                <w:rFonts w:eastAsia="Calibri"/>
                <w:lang w:val="en-US"/>
              </w:rPr>
              <w:t>20-912017-005</w:t>
            </w:r>
          </w:p>
          <w:p w14:paraId="717B133E" w14:textId="583A443D" w:rsidR="008B58D5" w:rsidRPr="002439F0" w:rsidRDefault="008B58D5" w:rsidP="008B58D5">
            <w:pPr>
              <w:rPr>
                <w:rFonts w:eastAsia="Calibri"/>
                <w:lang w:val="en-US"/>
              </w:rPr>
            </w:pPr>
            <w:r>
              <w:rPr>
                <w:rFonts w:eastAsia="Calibri"/>
                <w:lang w:val="en-US"/>
              </w:rPr>
              <w:t>GLP; Unpublished</w:t>
            </w:r>
          </w:p>
        </w:tc>
        <w:tc>
          <w:tcPr>
            <w:tcW w:w="1559" w:type="dxa"/>
            <w:shd w:val="clear" w:color="auto" w:fill="auto"/>
          </w:tcPr>
          <w:p w14:paraId="199E2CDC" w14:textId="4E58B0A6" w:rsidR="008B58D5" w:rsidRPr="00F15A9D" w:rsidRDefault="008B58D5" w:rsidP="008B58D5">
            <w:pPr>
              <w:jc w:val="center"/>
              <w:rPr>
                <w:rFonts w:eastAsia="Calibri"/>
                <w:lang w:val="en-US"/>
              </w:rPr>
            </w:pPr>
            <w:r w:rsidRPr="00F15A9D">
              <w:rPr>
                <w:bCs/>
                <w:lang w:val="fr-FR" w:eastAsia="en-US"/>
              </w:rPr>
              <w:t>Yes</w:t>
            </w:r>
          </w:p>
        </w:tc>
        <w:tc>
          <w:tcPr>
            <w:tcW w:w="2268" w:type="dxa"/>
            <w:shd w:val="clear" w:color="auto" w:fill="auto"/>
          </w:tcPr>
          <w:p w14:paraId="642BA6CC" w14:textId="368E7949" w:rsidR="008B58D5" w:rsidRPr="00F15A9D" w:rsidRDefault="008B58D5" w:rsidP="008B58D5">
            <w:pPr>
              <w:jc w:val="center"/>
              <w:rPr>
                <w:rFonts w:eastAsia="Calibri"/>
                <w:lang w:val="en-US"/>
              </w:rPr>
            </w:pPr>
            <w:r w:rsidRPr="00F15A9D">
              <w:rPr>
                <w:bCs/>
                <w:lang w:val="fr-FR" w:eastAsia="en-US"/>
              </w:rPr>
              <w:t>CTH</w:t>
            </w:r>
          </w:p>
        </w:tc>
      </w:tr>
      <w:tr w:rsidR="008B58D5" w:rsidRPr="00404246" w14:paraId="4153B2A1" w14:textId="77777777" w:rsidTr="006060C9">
        <w:trPr>
          <w:trHeight w:val="1153"/>
        </w:trPr>
        <w:tc>
          <w:tcPr>
            <w:tcW w:w="1471" w:type="dxa"/>
            <w:shd w:val="clear" w:color="auto" w:fill="auto"/>
          </w:tcPr>
          <w:p w14:paraId="2797FAD6" w14:textId="573C1214" w:rsidR="008B58D5" w:rsidRPr="00F15A9D" w:rsidRDefault="008B58D5" w:rsidP="008B58D5">
            <w:pPr>
              <w:jc w:val="center"/>
              <w:rPr>
                <w:rFonts w:eastAsia="Calibri"/>
                <w:lang w:val="en-US"/>
              </w:rPr>
            </w:pPr>
            <w:r w:rsidRPr="00F15A9D">
              <w:rPr>
                <w:bCs/>
                <w:szCs w:val="18"/>
                <w:lang w:val="en-US" w:eastAsia="en-US"/>
              </w:rPr>
              <w:t>Hélène Ricau</w:t>
            </w:r>
          </w:p>
        </w:tc>
        <w:tc>
          <w:tcPr>
            <w:tcW w:w="855" w:type="dxa"/>
            <w:shd w:val="clear" w:color="auto" w:fill="auto"/>
          </w:tcPr>
          <w:p w14:paraId="0C7EAF0C" w14:textId="6D000AB0" w:rsidR="008B58D5" w:rsidRPr="00161BF0" w:rsidRDefault="008B58D5" w:rsidP="008B58D5">
            <w:pPr>
              <w:jc w:val="center"/>
              <w:rPr>
                <w:rFonts w:eastAsia="Calibri"/>
                <w:lang w:val="en-US"/>
              </w:rPr>
            </w:pPr>
            <w:r>
              <w:rPr>
                <w:bCs/>
                <w:sz w:val="18"/>
                <w:szCs w:val="18"/>
                <w:lang w:val="en-US" w:eastAsia="en-US"/>
              </w:rPr>
              <w:t>2020</w:t>
            </w:r>
          </w:p>
        </w:tc>
        <w:tc>
          <w:tcPr>
            <w:tcW w:w="3311" w:type="dxa"/>
            <w:shd w:val="clear" w:color="auto" w:fill="auto"/>
          </w:tcPr>
          <w:p w14:paraId="35A6E777" w14:textId="77777777" w:rsidR="008B58D5" w:rsidRDefault="008B58D5" w:rsidP="008B58D5">
            <w:pPr>
              <w:rPr>
                <w:rFonts w:eastAsia="Calibri"/>
                <w:lang w:val="en-US" w:eastAsia="de-DE"/>
              </w:rPr>
            </w:pPr>
            <w:r>
              <w:rPr>
                <w:rFonts w:eastAsia="Calibri"/>
                <w:lang w:val="en-US"/>
              </w:rPr>
              <w:t>Validation of the analytical method for the determination of diiode in ALGOFILM In compliance with SANCO/3030/99 rev.5 from 22/03/2019</w:t>
            </w:r>
          </w:p>
          <w:p w14:paraId="5F0A9EDD" w14:textId="77777777" w:rsidR="008B58D5" w:rsidRDefault="008B58D5" w:rsidP="008B58D5">
            <w:pPr>
              <w:rPr>
                <w:rFonts w:eastAsia="Calibri"/>
                <w:lang w:val="en-US"/>
              </w:rPr>
            </w:pPr>
            <w:r>
              <w:rPr>
                <w:rFonts w:eastAsia="Calibri"/>
                <w:lang w:val="en-US"/>
              </w:rPr>
              <w:lastRenderedPageBreak/>
              <w:t>Défitraces</w:t>
            </w:r>
          </w:p>
          <w:p w14:paraId="357D6DEF" w14:textId="77777777" w:rsidR="008B58D5" w:rsidRDefault="008B58D5" w:rsidP="008B58D5">
            <w:pPr>
              <w:rPr>
                <w:rFonts w:eastAsia="Calibri"/>
                <w:lang w:val="en-US"/>
              </w:rPr>
            </w:pPr>
            <w:r>
              <w:rPr>
                <w:rFonts w:eastAsia="Calibri"/>
                <w:lang w:val="en-US"/>
              </w:rPr>
              <w:t>20-912017-006</w:t>
            </w:r>
          </w:p>
          <w:p w14:paraId="730E27E3" w14:textId="27EF4803" w:rsidR="008B58D5" w:rsidRPr="002439F0" w:rsidRDefault="008B58D5" w:rsidP="008B58D5">
            <w:pPr>
              <w:rPr>
                <w:rFonts w:eastAsia="Calibri"/>
                <w:lang w:val="en-US"/>
              </w:rPr>
            </w:pPr>
            <w:r>
              <w:rPr>
                <w:rFonts w:eastAsia="Calibri"/>
                <w:lang w:val="en-US"/>
              </w:rPr>
              <w:t>GLP; Unpublished</w:t>
            </w:r>
          </w:p>
        </w:tc>
        <w:tc>
          <w:tcPr>
            <w:tcW w:w="1559" w:type="dxa"/>
            <w:shd w:val="clear" w:color="auto" w:fill="auto"/>
          </w:tcPr>
          <w:p w14:paraId="011D2914" w14:textId="21AA5AEE" w:rsidR="008B58D5" w:rsidRPr="00F15A9D" w:rsidRDefault="008B58D5" w:rsidP="008B58D5">
            <w:pPr>
              <w:jc w:val="center"/>
              <w:rPr>
                <w:rFonts w:eastAsia="Calibri"/>
                <w:lang w:val="en-US"/>
              </w:rPr>
            </w:pPr>
            <w:r w:rsidRPr="00F15A9D">
              <w:rPr>
                <w:bCs/>
                <w:lang w:val="fr-FR" w:eastAsia="en-US"/>
              </w:rPr>
              <w:lastRenderedPageBreak/>
              <w:t>Yes</w:t>
            </w:r>
          </w:p>
        </w:tc>
        <w:tc>
          <w:tcPr>
            <w:tcW w:w="2268" w:type="dxa"/>
            <w:shd w:val="clear" w:color="auto" w:fill="auto"/>
          </w:tcPr>
          <w:p w14:paraId="56BD903F" w14:textId="32B4A574" w:rsidR="008B58D5" w:rsidRPr="00F15A9D" w:rsidRDefault="008B58D5" w:rsidP="008B58D5">
            <w:pPr>
              <w:jc w:val="center"/>
              <w:rPr>
                <w:rFonts w:eastAsia="Calibri"/>
                <w:lang w:val="en-US"/>
              </w:rPr>
            </w:pPr>
            <w:r w:rsidRPr="00F15A9D">
              <w:rPr>
                <w:bCs/>
                <w:lang w:val="fr-FR" w:eastAsia="en-US"/>
              </w:rPr>
              <w:t>CTH</w:t>
            </w:r>
          </w:p>
        </w:tc>
      </w:tr>
      <w:tr w:rsidR="008B58D5" w:rsidRPr="00404246" w14:paraId="5DD65D41" w14:textId="77777777" w:rsidTr="00AB1CDB">
        <w:trPr>
          <w:trHeight w:val="346"/>
        </w:trPr>
        <w:tc>
          <w:tcPr>
            <w:tcW w:w="1471" w:type="dxa"/>
            <w:shd w:val="clear" w:color="auto" w:fill="auto"/>
          </w:tcPr>
          <w:p w14:paraId="31634A1C" w14:textId="03641CE1" w:rsidR="008B58D5" w:rsidRPr="00F15A9D" w:rsidRDefault="008B58D5" w:rsidP="008B58D5">
            <w:pPr>
              <w:jc w:val="center"/>
              <w:rPr>
                <w:rFonts w:eastAsia="Calibri"/>
                <w:lang w:val="en-US"/>
              </w:rPr>
            </w:pPr>
            <w:r w:rsidRPr="00F15A9D">
              <w:rPr>
                <w:bCs/>
                <w:szCs w:val="18"/>
                <w:lang w:val="en-US" w:eastAsia="en-US"/>
              </w:rPr>
              <w:t>Hélène Ricau</w:t>
            </w:r>
          </w:p>
        </w:tc>
        <w:tc>
          <w:tcPr>
            <w:tcW w:w="855" w:type="dxa"/>
            <w:shd w:val="clear" w:color="auto" w:fill="auto"/>
          </w:tcPr>
          <w:p w14:paraId="491ED9EE" w14:textId="7B304CCD" w:rsidR="008B58D5" w:rsidRPr="00161BF0" w:rsidRDefault="008B58D5" w:rsidP="008B58D5">
            <w:pPr>
              <w:jc w:val="center"/>
              <w:rPr>
                <w:rFonts w:eastAsia="Calibri"/>
                <w:lang w:val="en-US"/>
              </w:rPr>
            </w:pPr>
            <w:r>
              <w:rPr>
                <w:bCs/>
                <w:sz w:val="18"/>
                <w:szCs w:val="18"/>
                <w:lang w:val="en-US" w:eastAsia="en-US"/>
              </w:rPr>
              <w:t>2020</w:t>
            </w:r>
          </w:p>
        </w:tc>
        <w:tc>
          <w:tcPr>
            <w:tcW w:w="3311" w:type="dxa"/>
            <w:shd w:val="clear" w:color="auto" w:fill="auto"/>
          </w:tcPr>
          <w:p w14:paraId="06FF5DE5" w14:textId="77777777" w:rsidR="008B58D5" w:rsidRDefault="008B58D5" w:rsidP="008B58D5">
            <w:pPr>
              <w:rPr>
                <w:rFonts w:eastAsia="Calibri"/>
                <w:lang w:val="en-US" w:eastAsia="de-DE"/>
              </w:rPr>
            </w:pPr>
            <w:r>
              <w:rPr>
                <w:rFonts w:eastAsia="Calibri"/>
                <w:lang w:val="en-US"/>
              </w:rPr>
              <w:t>Validation of the analytical method for the determination of iodide in ALGOFILM In compliance with SANCO/3030/99 rev.5 from 22/03/2019</w:t>
            </w:r>
          </w:p>
          <w:p w14:paraId="0DC1D2C4" w14:textId="77777777" w:rsidR="008B58D5" w:rsidRDefault="008B58D5" w:rsidP="008B58D5">
            <w:pPr>
              <w:rPr>
                <w:rFonts w:eastAsia="Calibri"/>
                <w:lang w:val="en-US"/>
              </w:rPr>
            </w:pPr>
            <w:r>
              <w:rPr>
                <w:rFonts w:eastAsia="Calibri"/>
                <w:lang w:val="en-US"/>
              </w:rPr>
              <w:t>Défitraces</w:t>
            </w:r>
          </w:p>
          <w:p w14:paraId="5FBF61FF" w14:textId="77777777" w:rsidR="008B58D5" w:rsidRDefault="008B58D5" w:rsidP="008B58D5">
            <w:pPr>
              <w:rPr>
                <w:rFonts w:eastAsia="Calibri"/>
                <w:lang w:val="en-US"/>
              </w:rPr>
            </w:pPr>
            <w:r>
              <w:rPr>
                <w:rFonts w:eastAsia="Calibri"/>
                <w:lang w:val="en-US"/>
              </w:rPr>
              <w:t>20-912017-007</w:t>
            </w:r>
          </w:p>
          <w:p w14:paraId="3F9B5D6C" w14:textId="4C1F67B3" w:rsidR="008B58D5" w:rsidRPr="002439F0" w:rsidRDefault="008B58D5" w:rsidP="008B58D5">
            <w:pPr>
              <w:rPr>
                <w:rFonts w:eastAsia="Calibri"/>
                <w:lang w:val="en-US"/>
              </w:rPr>
            </w:pPr>
            <w:r>
              <w:rPr>
                <w:rFonts w:eastAsia="Calibri"/>
                <w:lang w:val="en-US"/>
              </w:rPr>
              <w:t>GLP; Unpublished</w:t>
            </w:r>
          </w:p>
        </w:tc>
        <w:tc>
          <w:tcPr>
            <w:tcW w:w="1559" w:type="dxa"/>
            <w:shd w:val="clear" w:color="auto" w:fill="auto"/>
          </w:tcPr>
          <w:p w14:paraId="465BC988" w14:textId="6BDA25BA" w:rsidR="008B58D5" w:rsidRPr="00F15A9D" w:rsidRDefault="008B58D5" w:rsidP="008B58D5">
            <w:pPr>
              <w:jc w:val="center"/>
              <w:rPr>
                <w:rFonts w:eastAsia="Calibri"/>
                <w:lang w:val="en-US"/>
              </w:rPr>
            </w:pPr>
            <w:r w:rsidRPr="00F15A9D">
              <w:rPr>
                <w:bCs/>
                <w:lang w:val="fr-FR" w:eastAsia="en-US"/>
              </w:rPr>
              <w:t>Yes</w:t>
            </w:r>
          </w:p>
        </w:tc>
        <w:tc>
          <w:tcPr>
            <w:tcW w:w="2268" w:type="dxa"/>
            <w:shd w:val="clear" w:color="auto" w:fill="auto"/>
          </w:tcPr>
          <w:p w14:paraId="4A4F4351" w14:textId="751D62CC" w:rsidR="008B58D5" w:rsidRPr="00F15A9D" w:rsidRDefault="008B58D5" w:rsidP="008B58D5">
            <w:pPr>
              <w:jc w:val="center"/>
              <w:rPr>
                <w:rFonts w:eastAsia="Calibri"/>
                <w:lang w:val="en-US"/>
              </w:rPr>
            </w:pPr>
            <w:r w:rsidRPr="00F15A9D">
              <w:rPr>
                <w:bCs/>
                <w:lang w:val="fr-FR" w:eastAsia="en-US"/>
              </w:rPr>
              <w:t>CTH</w:t>
            </w:r>
          </w:p>
        </w:tc>
      </w:tr>
      <w:tr w:rsidR="008B58D5" w:rsidRPr="00404246" w14:paraId="3BE3F5D0" w14:textId="77777777" w:rsidTr="006060C9">
        <w:trPr>
          <w:trHeight w:val="1153"/>
        </w:trPr>
        <w:tc>
          <w:tcPr>
            <w:tcW w:w="1471" w:type="dxa"/>
            <w:shd w:val="clear" w:color="auto" w:fill="auto"/>
          </w:tcPr>
          <w:p w14:paraId="49F25DFF" w14:textId="4A16E9A1" w:rsidR="008B58D5" w:rsidRPr="00F15A9D" w:rsidRDefault="008B58D5" w:rsidP="008B58D5">
            <w:pPr>
              <w:jc w:val="center"/>
              <w:rPr>
                <w:bCs/>
                <w:szCs w:val="18"/>
                <w:lang w:val="en-US" w:eastAsia="en-US"/>
              </w:rPr>
            </w:pPr>
            <w:r w:rsidRPr="00F15A9D">
              <w:rPr>
                <w:bCs/>
                <w:szCs w:val="18"/>
                <w:lang w:val="en-US" w:eastAsia="en-US"/>
              </w:rPr>
              <w:t>Hélène Ricau</w:t>
            </w:r>
          </w:p>
        </w:tc>
        <w:tc>
          <w:tcPr>
            <w:tcW w:w="855" w:type="dxa"/>
            <w:shd w:val="clear" w:color="auto" w:fill="auto"/>
          </w:tcPr>
          <w:p w14:paraId="720CDAD2" w14:textId="3A62C050" w:rsidR="008B58D5" w:rsidRDefault="008B58D5" w:rsidP="008B58D5">
            <w:pPr>
              <w:jc w:val="center"/>
              <w:rPr>
                <w:bCs/>
                <w:sz w:val="18"/>
                <w:szCs w:val="18"/>
                <w:lang w:val="en-US" w:eastAsia="en-US"/>
              </w:rPr>
            </w:pPr>
            <w:r>
              <w:rPr>
                <w:bCs/>
                <w:sz w:val="18"/>
                <w:szCs w:val="18"/>
                <w:lang w:val="en-US" w:eastAsia="en-US"/>
              </w:rPr>
              <w:t>2020</w:t>
            </w:r>
          </w:p>
        </w:tc>
        <w:tc>
          <w:tcPr>
            <w:tcW w:w="3311" w:type="dxa"/>
            <w:shd w:val="clear" w:color="auto" w:fill="auto"/>
          </w:tcPr>
          <w:p w14:paraId="7978A1FD" w14:textId="77777777" w:rsidR="008B58D5" w:rsidRDefault="008B58D5" w:rsidP="008B58D5">
            <w:pPr>
              <w:rPr>
                <w:rFonts w:eastAsia="Calibri"/>
                <w:lang w:val="en-US" w:eastAsia="de-DE"/>
              </w:rPr>
            </w:pPr>
            <w:r>
              <w:rPr>
                <w:rFonts w:eastAsia="Calibri"/>
                <w:lang w:val="en-US"/>
              </w:rPr>
              <w:t>Validation of the analytical method for the determination of iodate in ALGOFILM In compliance with SANCO/3030/99 rev.5 from 22/03/2019</w:t>
            </w:r>
          </w:p>
          <w:p w14:paraId="23EB5A74" w14:textId="77777777" w:rsidR="008B58D5" w:rsidRDefault="008B58D5" w:rsidP="008B58D5">
            <w:pPr>
              <w:rPr>
                <w:rFonts w:eastAsia="Calibri"/>
                <w:lang w:val="en-US"/>
              </w:rPr>
            </w:pPr>
            <w:r>
              <w:rPr>
                <w:rFonts w:eastAsia="Calibri"/>
                <w:lang w:val="en-US"/>
              </w:rPr>
              <w:t>Défitraces</w:t>
            </w:r>
          </w:p>
          <w:p w14:paraId="16F9CB37" w14:textId="77777777" w:rsidR="008B58D5" w:rsidRDefault="008B58D5" w:rsidP="008B58D5">
            <w:pPr>
              <w:rPr>
                <w:rFonts w:eastAsia="Calibri"/>
                <w:lang w:val="en-US"/>
              </w:rPr>
            </w:pPr>
            <w:r>
              <w:rPr>
                <w:rFonts w:eastAsia="Calibri"/>
                <w:lang w:val="en-US"/>
              </w:rPr>
              <w:t>20-912017-008</w:t>
            </w:r>
          </w:p>
          <w:p w14:paraId="7233ACA9" w14:textId="07F5C3DE" w:rsidR="008B58D5" w:rsidRDefault="008B58D5" w:rsidP="008B58D5">
            <w:pPr>
              <w:rPr>
                <w:rFonts w:eastAsia="Calibri"/>
                <w:lang w:val="en-US"/>
              </w:rPr>
            </w:pPr>
            <w:r>
              <w:rPr>
                <w:rFonts w:eastAsia="Calibri"/>
                <w:lang w:val="en-US"/>
              </w:rPr>
              <w:t>GLP; Unpublished</w:t>
            </w:r>
          </w:p>
        </w:tc>
        <w:tc>
          <w:tcPr>
            <w:tcW w:w="1559" w:type="dxa"/>
            <w:shd w:val="clear" w:color="auto" w:fill="auto"/>
          </w:tcPr>
          <w:p w14:paraId="4373D1B2" w14:textId="7A67C8AD" w:rsidR="008B58D5" w:rsidRPr="00F15A9D" w:rsidRDefault="008B58D5" w:rsidP="008B58D5">
            <w:pPr>
              <w:jc w:val="center"/>
              <w:rPr>
                <w:bCs/>
                <w:lang w:val="fr-FR" w:eastAsia="en-US"/>
              </w:rPr>
            </w:pPr>
            <w:r w:rsidRPr="00F15A9D">
              <w:rPr>
                <w:bCs/>
                <w:lang w:val="fr-FR" w:eastAsia="en-US"/>
              </w:rPr>
              <w:t>Yes</w:t>
            </w:r>
          </w:p>
        </w:tc>
        <w:tc>
          <w:tcPr>
            <w:tcW w:w="2268" w:type="dxa"/>
            <w:shd w:val="clear" w:color="auto" w:fill="auto"/>
          </w:tcPr>
          <w:p w14:paraId="4D406EB5" w14:textId="15827D8B" w:rsidR="008B58D5" w:rsidRPr="00F15A9D" w:rsidRDefault="008B58D5" w:rsidP="008B58D5">
            <w:pPr>
              <w:jc w:val="center"/>
              <w:rPr>
                <w:bCs/>
                <w:lang w:val="fr-FR" w:eastAsia="en-US"/>
              </w:rPr>
            </w:pPr>
            <w:r w:rsidRPr="00F15A9D">
              <w:rPr>
                <w:bCs/>
                <w:lang w:val="fr-FR" w:eastAsia="en-US"/>
              </w:rPr>
              <w:t>CTH</w:t>
            </w:r>
          </w:p>
        </w:tc>
      </w:tr>
      <w:tr w:rsidR="00760B30" w:rsidRPr="00760B30" w14:paraId="0B2CA70A" w14:textId="77777777" w:rsidTr="006060C9">
        <w:trPr>
          <w:trHeight w:val="1153"/>
        </w:trPr>
        <w:tc>
          <w:tcPr>
            <w:tcW w:w="1471" w:type="dxa"/>
            <w:shd w:val="clear" w:color="auto" w:fill="auto"/>
          </w:tcPr>
          <w:p w14:paraId="73372208" w14:textId="427759A7" w:rsidR="00760B30" w:rsidRDefault="00760B30" w:rsidP="008B58D5">
            <w:pPr>
              <w:jc w:val="center"/>
              <w:rPr>
                <w:bCs/>
                <w:szCs w:val="18"/>
                <w:lang w:val="en-US" w:eastAsia="en-US"/>
              </w:rPr>
            </w:pPr>
            <w:r w:rsidRPr="00AB1CDB">
              <w:rPr>
                <w:bCs/>
                <w:szCs w:val="18"/>
                <w:lang w:val="en-US" w:eastAsia="en-US"/>
              </w:rPr>
              <w:t>Dr. Ute Hammesfahr</w:t>
            </w:r>
          </w:p>
        </w:tc>
        <w:tc>
          <w:tcPr>
            <w:tcW w:w="855" w:type="dxa"/>
            <w:shd w:val="clear" w:color="auto" w:fill="auto"/>
          </w:tcPr>
          <w:p w14:paraId="25217B0E" w14:textId="5DAD76C1" w:rsidR="00760B30" w:rsidRPr="00AB1CDB" w:rsidRDefault="00760B30" w:rsidP="008B58D5">
            <w:pPr>
              <w:jc w:val="center"/>
              <w:rPr>
                <w:bCs/>
                <w:szCs w:val="18"/>
                <w:lang w:val="en-US" w:eastAsia="en-US"/>
              </w:rPr>
            </w:pPr>
            <w:r w:rsidRPr="00AB1CDB">
              <w:rPr>
                <w:bCs/>
                <w:szCs w:val="18"/>
                <w:lang w:val="en-US" w:eastAsia="en-US"/>
              </w:rPr>
              <w:t>2018</w:t>
            </w:r>
          </w:p>
        </w:tc>
        <w:tc>
          <w:tcPr>
            <w:tcW w:w="3311" w:type="dxa"/>
            <w:shd w:val="clear" w:color="auto" w:fill="auto"/>
          </w:tcPr>
          <w:p w14:paraId="075D312D" w14:textId="77777777" w:rsidR="00760B30" w:rsidRPr="00AB1CDB" w:rsidRDefault="00760B30" w:rsidP="00AB1CDB">
            <w:pPr>
              <w:jc w:val="center"/>
              <w:rPr>
                <w:bCs/>
                <w:szCs w:val="18"/>
                <w:lang w:val="en-US" w:eastAsia="en-US"/>
              </w:rPr>
            </w:pPr>
            <w:r w:rsidRPr="00AB1CDB">
              <w:rPr>
                <w:bCs/>
                <w:szCs w:val="18"/>
                <w:lang w:val="en-US" w:eastAsia="en-US"/>
              </w:rPr>
              <w:t>Ready Biodegradability of</w:t>
            </w:r>
          </w:p>
          <w:p w14:paraId="107A7C2A" w14:textId="1D3440B3" w:rsidR="00760B30" w:rsidRPr="00AB1CDB" w:rsidRDefault="00760B30" w:rsidP="00AB1CDB">
            <w:pPr>
              <w:jc w:val="center"/>
              <w:rPr>
                <w:bCs/>
                <w:szCs w:val="18"/>
                <w:lang w:val="en-US" w:eastAsia="en-US"/>
              </w:rPr>
            </w:pPr>
            <w:r w:rsidRPr="00AB1CDB">
              <w:rPr>
                <w:bCs/>
                <w:szCs w:val="18"/>
                <w:lang w:val="en-US" w:eastAsia="en-US"/>
              </w:rPr>
              <w:t>Lactic acid 80% food grade in a Closed Bottle Test</w:t>
            </w:r>
          </w:p>
        </w:tc>
        <w:tc>
          <w:tcPr>
            <w:tcW w:w="1559" w:type="dxa"/>
            <w:shd w:val="clear" w:color="auto" w:fill="auto"/>
          </w:tcPr>
          <w:p w14:paraId="45FA13F3" w14:textId="5A1EAD3D" w:rsidR="00760B30" w:rsidRPr="00AB1CDB" w:rsidRDefault="00760B30" w:rsidP="008B58D5">
            <w:pPr>
              <w:jc w:val="center"/>
              <w:rPr>
                <w:bCs/>
                <w:szCs w:val="18"/>
                <w:lang w:val="en-US" w:eastAsia="en-US"/>
              </w:rPr>
            </w:pPr>
            <w:r w:rsidRPr="00AB1CDB">
              <w:rPr>
                <w:bCs/>
                <w:szCs w:val="18"/>
                <w:lang w:val="en-US" w:eastAsia="en-US"/>
              </w:rPr>
              <w:t>Yes</w:t>
            </w:r>
          </w:p>
        </w:tc>
        <w:tc>
          <w:tcPr>
            <w:tcW w:w="2268" w:type="dxa"/>
            <w:shd w:val="clear" w:color="auto" w:fill="auto"/>
          </w:tcPr>
          <w:p w14:paraId="25DC3010" w14:textId="1AB316C9" w:rsidR="00760B30" w:rsidRPr="00AB1CDB" w:rsidRDefault="00760B30" w:rsidP="008B58D5">
            <w:pPr>
              <w:jc w:val="center"/>
              <w:rPr>
                <w:bCs/>
                <w:szCs w:val="18"/>
                <w:lang w:val="en-US" w:eastAsia="en-US"/>
              </w:rPr>
            </w:pPr>
            <w:r w:rsidRPr="00AB1CDB">
              <w:rPr>
                <w:bCs/>
                <w:szCs w:val="18"/>
                <w:lang w:val="en-US" w:eastAsia="en-US"/>
              </w:rPr>
              <w:t>Jungbunzlauer International AG</w:t>
            </w:r>
          </w:p>
        </w:tc>
      </w:tr>
      <w:tr w:rsidR="00760B30" w:rsidRPr="00760B30" w14:paraId="210383E2" w14:textId="77777777" w:rsidTr="006060C9">
        <w:trPr>
          <w:trHeight w:val="1153"/>
        </w:trPr>
        <w:tc>
          <w:tcPr>
            <w:tcW w:w="147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352"/>
            </w:tblGrid>
            <w:tr w:rsidR="00760B30" w:rsidRPr="00760B30" w14:paraId="70741E21" w14:textId="77777777" w:rsidTr="00AB1CDB">
              <w:trPr>
                <w:trHeight w:val="359"/>
              </w:trPr>
              <w:tc>
                <w:tcPr>
                  <w:tcW w:w="1352" w:type="dxa"/>
                </w:tcPr>
                <w:p w14:paraId="2F1FC277" w14:textId="77777777" w:rsidR="00760B30" w:rsidRPr="00AB1CDB" w:rsidRDefault="00760B30" w:rsidP="00AB1CDB">
                  <w:pPr>
                    <w:jc w:val="center"/>
                    <w:rPr>
                      <w:bCs/>
                      <w:szCs w:val="18"/>
                      <w:lang w:val="en-US" w:eastAsia="en-US"/>
                    </w:rPr>
                  </w:pPr>
                  <w:r w:rsidRPr="00AB1CDB">
                    <w:rPr>
                      <w:bCs/>
                      <w:szCs w:val="18"/>
                      <w:lang w:val="en-US" w:eastAsia="en-US"/>
                    </w:rPr>
                    <w:t xml:space="preserve">Paul THOMAS, </w:t>
                  </w:r>
                </w:p>
              </w:tc>
            </w:tr>
            <w:tr w:rsidR="00760B30" w:rsidRPr="00760B30" w14:paraId="7DA0B1F7" w14:textId="77777777" w:rsidTr="009B1AFD">
              <w:trPr>
                <w:trHeight w:val="95"/>
              </w:trPr>
              <w:tc>
                <w:tcPr>
                  <w:tcW w:w="1352" w:type="dxa"/>
                </w:tcPr>
                <w:p w14:paraId="31B4BC18" w14:textId="77777777" w:rsidR="00760B30" w:rsidRPr="00AB1CDB" w:rsidRDefault="00760B30" w:rsidP="00AB1CDB">
                  <w:pPr>
                    <w:jc w:val="center"/>
                    <w:rPr>
                      <w:bCs/>
                      <w:szCs w:val="18"/>
                      <w:lang w:val="en-US" w:eastAsia="en-US"/>
                    </w:rPr>
                  </w:pPr>
                  <w:r w:rsidRPr="00AB1CDB">
                    <w:rPr>
                      <w:bCs/>
                      <w:szCs w:val="18"/>
                      <w:lang w:val="en-US" w:eastAsia="en-US"/>
                    </w:rPr>
                    <w:t xml:space="preserve">Faizan SAHIGARA </w:t>
                  </w:r>
                </w:p>
              </w:tc>
            </w:tr>
          </w:tbl>
          <w:p w14:paraId="105E8935" w14:textId="77777777" w:rsidR="00760B30" w:rsidRPr="00F15A9D" w:rsidRDefault="00760B30" w:rsidP="008B58D5">
            <w:pPr>
              <w:jc w:val="center"/>
              <w:rPr>
                <w:bCs/>
                <w:szCs w:val="18"/>
                <w:lang w:val="en-US" w:eastAsia="en-US"/>
              </w:rPr>
            </w:pPr>
          </w:p>
        </w:tc>
        <w:tc>
          <w:tcPr>
            <w:tcW w:w="855" w:type="dxa"/>
            <w:shd w:val="clear" w:color="auto" w:fill="auto"/>
          </w:tcPr>
          <w:p w14:paraId="15C26802" w14:textId="60C21CB4" w:rsidR="00760B30" w:rsidRPr="00AB1CDB" w:rsidRDefault="00760B30" w:rsidP="008B58D5">
            <w:pPr>
              <w:jc w:val="center"/>
              <w:rPr>
                <w:bCs/>
                <w:szCs w:val="18"/>
                <w:lang w:val="en-US" w:eastAsia="en-US"/>
              </w:rPr>
            </w:pPr>
            <w:r w:rsidRPr="00AB1CDB">
              <w:rPr>
                <w:bCs/>
                <w:szCs w:val="18"/>
                <w:lang w:val="en-US" w:eastAsia="en-US"/>
              </w:rPr>
              <w:t>2018</w:t>
            </w:r>
          </w:p>
        </w:tc>
        <w:tc>
          <w:tcPr>
            <w:tcW w:w="3311" w:type="dxa"/>
            <w:shd w:val="clear" w:color="auto" w:fill="auto"/>
          </w:tcPr>
          <w:p w14:paraId="5E1CDF94" w14:textId="4F29CD1E" w:rsidR="00760B30" w:rsidRPr="00AB1CDB" w:rsidRDefault="00760B30" w:rsidP="00AB1CDB">
            <w:pPr>
              <w:jc w:val="center"/>
              <w:rPr>
                <w:bCs/>
                <w:szCs w:val="18"/>
                <w:lang w:val="en-US" w:eastAsia="en-US"/>
              </w:rPr>
            </w:pPr>
            <w:r w:rsidRPr="00AB1CDB">
              <w:rPr>
                <w:bCs/>
                <w:szCs w:val="18"/>
                <w:lang w:val="en-US" w:eastAsia="en-US"/>
              </w:rPr>
              <w:t>In silico prediction of Ready biodegrability for L-(+)-lactic acid</w:t>
            </w:r>
          </w:p>
        </w:tc>
        <w:tc>
          <w:tcPr>
            <w:tcW w:w="1559" w:type="dxa"/>
            <w:shd w:val="clear" w:color="auto" w:fill="auto"/>
          </w:tcPr>
          <w:p w14:paraId="14BA1C37" w14:textId="6B71E5DF" w:rsidR="00760B30" w:rsidRPr="00AB1CDB" w:rsidRDefault="00760B30" w:rsidP="008B58D5">
            <w:pPr>
              <w:jc w:val="center"/>
              <w:rPr>
                <w:bCs/>
                <w:szCs w:val="18"/>
                <w:lang w:val="en-US" w:eastAsia="en-US"/>
              </w:rPr>
            </w:pPr>
            <w:r w:rsidRPr="00AB1CDB">
              <w:rPr>
                <w:bCs/>
                <w:szCs w:val="18"/>
                <w:lang w:val="en-US" w:eastAsia="en-US"/>
              </w:rPr>
              <w:t>Yes</w:t>
            </w:r>
          </w:p>
        </w:tc>
        <w:tc>
          <w:tcPr>
            <w:tcW w:w="2268" w:type="dxa"/>
            <w:shd w:val="clear" w:color="auto" w:fill="auto"/>
          </w:tcPr>
          <w:p w14:paraId="42D92F97" w14:textId="417CF765" w:rsidR="00760B30" w:rsidRPr="00AB1CDB" w:rsidRDefault="00760B30" w:rsidP="008B58D5">
            <w:pPr>
              <w:jc w:val="center"/>
              <w:rPr>
                <w:bCs/>
                <w:szCs w:val="18"/>
                <w:lang w:val="en-US" w:eastAsia="en-US"/>
              </w:rPr>
            </w:pPr>
            <w:r w:rsidRPr="00AB1CDB">
              <w:rPr>
                <w:bCs/>
                <w:szCs w:val="18"/>
                <w:lang w:val="en-US" w:eastAsia="en-US"/>
              </w:rPr>
              <w:t>Jungbunzlauer S.A.</w:t>
            </w:r>
          </w:p>
        </w:tc>
      </w:tr>
      <w:tr w:rsidR="00B66B20" w:rsidRPr="00760B30" w14:paraId="66193286" w14:textId="77777777" w:rsidTr="006060C9">
        <w:trPr>
          <w:trHeight w:val="1153"/>
        </w:trPr>
        <w:tc>
          <w:tcPr>
            <w:tcW w:w="1471" w:type="dxa"/>
            <w:shd w:val="clear" w:color="auto" w:fill="auto"/>
          </w:tcPr>
          <w:p w14:paraId="5059EB46" w14:textId="105F8879" w:rsidR="00B66B20" w:rsidRPr="00B66B20" w:rsidRDefault="00B66B20">
            <w:pPr>
              <w:jc w:val="center"/>
              <w:rPr>
                <w:bCs/>
                <w:szCs w:val="18"/>
                <w:lang w:val="en-US" w:eastAsia="en-US"/>
              </w:rPr>
            </w:pPr>
            <w:r>
              <w:rPr>
                <w:bCs/>
                <w:szCs w:val="18"/>
                <w:lang w:val="en-US" w:eastAsia="en-US"/>
              </w:rPr>
              <w:t>Amandine MOREL</w:t>
            </w:r>
          </w:p>
        </w:tc>
        <w:tc>
          <w:tcPr>
            <w:tcW w:w="855" w:type="dxa"/>
            <w:shd w:val="clear" w:color="auto" w:fill="auto"/>
          </w:tcPr>
          <w:p w14:paraId="24A3CDB9" w14:textId="57374F5E" w:rsidR="00B66B20" w:rsidRPr="00B66B20" w:rsidRDefault="00B66B20" w:rsidP="008B58D5">
            <w:pPr>
              <w:jc w:val="center"/>
              <w:rPr>
                <w:bCs/>
                <w:szCs w:val="18"/>
                <w:lang w:val="en-US" w:eastAsia="en-US"/>
              </w:rPr>
            </w:pPr>
            <w:r>
              <w:rPr>
                <w:bCs/>
                <w:szCs w:val="18"/>
                <w:lang w:val="en-US" w:eastAsia="en-US"/>
              </w:rPr>
              <w:t>2017</w:t>
            </w:r>
          </w:p>
        </w:tc>
        <w:tc>
          <w:tcPr>
            <w:tcW w:w="3311" w:type="dxa"/>
            <w:shd w:val="clear" w:color="auto" w:fill="auto"/>
          </w:tcPr>
          <w:p w14:paraId="3B17FE43" w14:textId="58ECF280" w:rsidR="00B66B20" w:rsidRPr="00AB1CDB" w:rsidRDefault="00B66B20">
            <w:pPr>
              <w:jc w:val="center"/>
              <w:rPr>
                <w:bCs/>
                <w:szCs w:val="18"/>
                <w:lang w:val="fr-FR" w:eastAsia="en-US"/>
              </w:rPr>
            </w:pPr>
            <w:r w:rsidRPr="00AB1CDB">
              <w:rPr>
                <w:bCs/>
                <w:szCs w:val="18"/>
                <w:lang w:val="fr-FR" w:eastAsia="en-US"/>
              </w:rPr>
              <w:t>Essai quantitative de suspension pour l’évaluation de l’activité bactericide des antiseptiques et des désinfectants chimiques utilisés dans le domaine vétérinaire</w:t>
            </w:r>
          </w:p>
        </w:tc>
        <w:tc>
          <w:tcPr>
            <w:tcW w:w="1559" w:type="dxa"/>
            <w:shd w:val="clear" w:color="auto" w:fill="auto"/>
          </w:tcPr>
          <w:p w14:paraId="228211D4" w14:textId="789DD2A0" w:rsidR="00B66B20" w:rsidRPr="00B66B20" w:rsidRDefault="00B66B20" w:rsidP="008B58D5">
            <w:pPr>
              <w:jc w:val="center"/>
              <w:rPr>
                <w:bCs/>
                <w:szCs w:val="18"/>
                <w:lang w:val="en-US" w:eastAsia="en-US"/>
              </w:rPr>
            </w:pPr>
            <w:r>
              <w:rPr>
                <w:bCs/>
                <w:szCs w:val="18"/>
                <w:lang w:val="en-US" w:eastAsia="en-US"/>
              </w:rPr>
              <w:t>Yes</w:t>
            </w:r>
          </w:p>
        </w:tc>
        <w:tc>
          <w:tcPr>
            <w:tcW w:w="2268" w:type="dxa"/>
            <w:shd w:val="clear" w:color="auto" w:fill="auto"/>
          </w:tcPr>
          <w:p w14:paraId="72F2C269" w14:textId="4592C3E3" w:rsidR="00B66B20" w:rsidRPr="00B66B20" w:rsidRDefault="00B66B20" w:rsidP="008B58D5">
            <w:pPr>
              <w:jc w:val="center"/>
              <w:rPr>
                <w:bCs/>
                <w:szCs w:val="18"/>
                <w:lang w:val="en-US" w:eastAsia="en-US"/>
              </w:rPr>
            </w:pPr>
            <w:r>
              <w:rPr>
                <w:bCs/>
                <w:szCs w:val="18"/>
                <w:lang w:val="en-US" w:eastAsia="en-US"/>
              </w:rPr>
              <w:t>CTH</w:t>
            </w:r>
          </w:p>
        </w:tc>
      </w:tr>
      <w:tr w:rsidR="00B66B20" w:rsidRPr="00760B30" w14:paraId="4FEF5F37" w14:textId="77777777" w:rsidTr="006060C9">
        <w:trPr>
          <w:trHeight w:val="1153"/>
        </w:trPr>
        <w:tc>
          <w:tcPr>
            <w:tcW w:w="1471" w:type="dxa"/>
            <w:shd w:val="clear" w:color="auto" w:fill="auto"/>
          </w:tcPr>
          <w:p w14:paraId="46F45EAB" w14:textId="1A45B9D9" w:rsidR="00B66B20" w:rsidRDefault="00B66B20" w:rsidP="00B66B20">
            <w:pPr>
              <w:jc w:val="center"/>
              <w:rPr>
                <w:bCs/>
                <w:szCs w:val="18"/>
                <w:lang w:val="en-US" w:eastAsia="en-US"/>
              </w:rPr>
            </w:pPr>
            <w:r>
              <w:rPr>
                <w:bCs/>
                <w:szCs w:val="18"/>
                <w:lang w:val="en-US" w:eastAsia="en-US"/>
              </w:rPr>
              <w:t>Amandine MOREL</w:t>
            </w:r>
          </w:p>
        </w:tc>
        <w:tc>
          <w:tcPr>
            <w:tcW w:w="855" w:type="dxa"/>
            <w:shd w:val="clear" w:color="auto" w:fill="auto"/>
          </w:tcPr>
          <w:p w14:paraId="27E09F23" w14:textId="7BB0A859" w:rsidR="00B66B20" w:rsidRPr="00B66B20" w:rsidRDefault="00B66B20" w:rsidP="00B66B20">
            <w:pPr>
              <w:jc w:val="center"/>
              <w:rPr>
                <w:bCs/>
                <w:szCs w:val="18"/>
                <w:lang w:val="en-US" w:eastAsia="en-US"/>
              </w:rPr>
            </w:pPr>
            <w:r>
              <w:rPr>
                <w:bCs/>
                <w:szCs w:val="18"/>
                <w:lang w:val="en-US" w:eastAsia="en-US"/>
              </w:rPr>
              <w:t>2017</w:t>
            </w:r>
          </w:p>
        </w:tc>
        <w:tc>
          <w:tcPr>
            <w:tcW w:w="3311" w:type="dxa"/>
            <w:shd w:val="clear" w:color="auto" w:fill="auto"/>
          </w:tcPr>
          <w:p w14:paraId="6F45D376" w14:textId="11507E46" w:rsidR="00B66B20" w:rsidRPr="00AB1CDB" w:rsidRDefault="00B66B20" w:rsidP="00B66B20">
            <w:pPr>
              <w:jc w:val="center"/>
              <w:rPr>
                <w:bCs/>
                <w:szCs w:val="18"/>
                <w:lang w:val="fr-FR" w:eastAsia="en-US"/>
              </w:rPr>
            </w:pPr>
            <w:r w:rsidRPr="00AB1CDB">
              <w:rPr>
                <w:bCs/>
                <w:szCs w:val="18"/>
                <w:lang w:val="fr-FR" w:eastAsia="en-US"/>
              </w:rPr>
              <w:t>Essai quantitative de suspension pour l’évaluation de l’activité levuricide des antiseptiques et des désinfectants chimiques utilisés dans le domaine vétérinaire</w:t>
            </w:r>
          </w:p>
        </w:tc>
        <w:tc>
          <w:tcPr>
            <w:tcW w:w="1559" w:type="dxa"/>
            <w:shd w:val="clear" w:color="auto" w:fill="auto"/>
          </w:tcPr>
          <w:p w14:paraId="64CE3639" w14:textId="3BA5FCCD" w:rsidR="00B66B20" w:rsidRPr="00B66B20" w:rsidRDefault="00B66B20" w:rsidP="00B66B20">
            <w:pPr>
              <w:jc w:val="center"/>
              <w:rPr>
                <w:bCs/>
                <w:szCs w:val="18"/>
                <w:lang w:val="en-US" w:eastAsia="en-US"/>
              </w:rPr>
            </w:pPr>
            <w:r>
              <w:rPr>
                <w:bCs/>
                <w:szCs w:val="18"/>
                <w:lang w:val="en-US" w:eastAsia="en-US"/>
              </w:rPr>
              <w:t>Yes</w:t>
            </w:r>
          </w:p>
        </w:tc>
        <w:tc>
          <w:tcPr>
            <w:tcW w:w="2268" w:type="dxa"/>
            <w:shd w:val="clear" w:color="auto" w:fill="auto"/>
          </w:tcPr>
          <w:p w14:paraId="56031953" w14:textId="77E7FF9A" w:rsidR="00B66B20" w:rsidRDefault="00B66B20" w:rsidP="00B66B20">
            <w:pPr>
              <w:jc w:val="center"/>
              <w:rPr>
                <w:bCs/>
                <w:szCs w:val="18"/>
                <w:lang w:val="en-US" w:eastAsia="en-US"/>
              </w:rPr>
            </w:pPr>
            <w:r>
              <w:rPr>
                <w:bCs/>
                <w:szCs w:val="18"/>
                <w:lang w:val="en-US" w:eastAsia="en-US"/>
              </w:rPr>
              <w:t>CTH</w:t>
            </w:r>
          </w:p>
        </w:tc>
      </w:tr>
      <w:tr w:rsidR="00B66B20" w:rsidRPr="00760B30" w14:paraId="53587B48" w14:textId="77777777" w:rsidTr="006060C9">
        <w:trPr>
          <w:trHeight w:val="1153"/>
        </w:trPr>
        <w:tc>
          <w:tcPr>
            <w:tcW w:w="1471" w:type="dxa"/>
            <w:shd w:val="clear" w:color="auto" w:fill="auto"/>
          </w:tcPr>
          <w:p w14:paraId="59B644C4" w14:textId="7B2A7D70" w:rsidR="00B66B20" w:rsidRDefault="00B66B20" w:rsidP="00B66B20">
            <w:pPr>
              <w:jc w:val="center"/>
              <w:rPr>
                <w:bCs/>
                <w:szCs w:val="18"/>
                <w:lang w:val="en-US" w:eastAsia="en-US"/>
              </w:rPr>
            </w:pPr>
            <w:r>
              <w:rPr>
                <w:bCs/>
                <w:szCs w:val="18"/>
                <w:lang w:val="en-US" w:eastAsia="en-US"/>
              </w:rPr>
              <w:t>Mélanie SORRE</w:t>
            </w:r>
          </w:p>
        </w:tc>
        <w:tc>
          <w:tcPr>
            <w:tcW w:w="855" w:type="dxa"/>
            <w:shd w:val="clear" w:color="auto" w:fill="auto"/>
          </w:tcPr>
          <w:p w14:paraId="4078F37C" w14:textId="6625747D" w:rsidR="00B66B20" w:rsidRPr="00B66B20" w:rsidRDefault="00B66B20" w:rsidP="00B66B20">
            <w:pPr>
              <w:jc w:val="center"/>
              <w:rPr>
                <w:bCs/>
                <w:szCs w:val="18"/>
                <w:lang w:val="en-US" w:eastAsia="en-US"/>
              </w:rPr>
            </w:pPr>
            <w:r>
              <w:rPr>
                <w:bCs/>
                <w:szCs w:val="18"/>
                <w:lang w:val="en-US" w:eastAsia="en-US"/>
              </w:rPr>
              <w:t>2020</w:t>
            </w:r>
          </w:p>
        </w:tc>
        <w:tc>
          <w:tcPr>
            <w:tcW w:w="3311" w:type="dxa"/>
            <w:shd w:val="clear" w:color="auto" w:fill="auto"/>
          </w:tcPr>
          <w:p w14:paraId="7B21C58B" w14:textId="32C3C12D" w:rsidR="00B66B20" w:rsidRPr="00AB1CDB" w:rsidRDefault="00B66B20" w:rsidP="00B66B20">
            <w:pPr>
              <w:jc w:val="center"/>
              <w:rPr>
                <w:bCs/>
                <w:szCs w:val="18"/>
                <w:lang w:val="fr-FR" w:eastAsia="en-US"/>
              </w:rPr>
            </w:pPr>
            <w:r w:rsidRPr="00AB1CDB">
              <w:rPr>
                <w:bCs/>
                <w:szCs w:val="18"/>
                <w:lang w:val="fr-FR" w:eastAsia="en-US"/>
              </w:rPr>
              <w:t>Test d’efficacité bactericide selon le projet de norme prEN 17422 (juin 2020)</w:t>
            </w:r>
          </w:p>
        </w:tc>
        <w:tc>
          <w:tcPr>
            <w:tcW w:w="1559" w:type="dxa"/>
            <w:shd w:val="clear" w:color="auto" w:fill="auto"/>
          </w:tcPr>
          <w:p w14:paraId="59A45C1B" w14:textId="4C2C914C" w:rsidR="00B66B20" w:rsidRPr="00B66B20" w:rsidRDefault="00F45AF6" w:rsidP="00B66B20">
            <w:pPr>
              <w:jc w:val="center"/>
              <w:rPr>
                <w:bCs/>
                <w:szCs w:val="18"/>
                <w:lang w:val="en-US" w:eastAsia="en-US"/>
              </w:rPr>
            </w:pPr>
            <w:r>
              <w:rPr>
                <w:bCs/>
                <w:szCs w:val="18"/>
                <w:lang w:val="en-US" w:eastAsia="en-US"/>
              </w:rPr>
              <w:t>Yes</w:t>
            </w:r>
          </w:p>
        </w:tc>
        <w:tc>
          <w:tcPr>
            <w:tcW w:w="2268" w:type="dxa"/>
            <w:shd w:val="clear" w:color="auto" w:fill="auto"/>
          </w:tcPr>
          <w:p w14:paraId="116E6655" w14:textId="362AB9B2" w:rsidR="00B66B20" w:rsidRDefault="00F45AF6" w:rsidP="00B66B20">
            <w:pPr>
              <w:jc w:val="center"/>
              <w:rPr>
                <w:bCs/>
                <w:szCs w:val="18"/>
                <w:lang w:val="en-US" w:eastAsia="en-US"/>
              </w:rPr>
            </w:pPr>
            <w:r>
              <w:rPr>
                <w:bCs/>
                <w:szCs w:val="18"/>
                <w:lang w:val="en-US" w:eastAsia="en-US"/>
              </w:rPr>
              <w:t>CTH</w:t>
            </w:r>
          </w:p>
        </w:tc>
      </w:tr>
      <w:tr w:rsidR="00F45AF6" w:rsidRPr="00760B30" w14:paraId="2B3373B2" w14:textId="77777777" w:rsidTr="006060C9">
        <w:trPr>
          <w:trHeight w:val="1153"/>
        </w:trPr>
        <w:tc>
          <w:tcPr>
            <w:tcW w:w="1471" w:type="dxa"/>
            <w:shd w:val="clear" w:color="auto" w:fill="auto"/>
          </w:tcPr>
          <w:p w14:paraId="16D0D2AB" w14:textId="16EA7D7F" w:rsidR="00F45AF6" w:rsidRDefault="00F45AF6" w:rsidP="00F45AF6">
            <w:pPr>
              <w:jc w:val="center"/>
              <w:rPr>
                <w:bCs/>
                <w:szCs w:val="18"/>
                <w:lang w:val="en-US" w:eastAsia="en-US"/>
              </w:rPr>
            </w:pPr>
            <w:r>
              <w:rPr>
                <w:bCs/>
                <w:szCs w:val="18"/>
                <w:lang w:val="en-US" w:eastAsia="en-US"/>
              </w:rPr>
              <w:lastRenderedPageBreak/>
              <w:t>Mélanie SORRE</w:t>
            </w:r>
          </w:p>
        </w:tc>
        <w:tc>
          <w:tcPr>
            <w:tcW w:w="855" w:type="dxa"/>
            <w:shd w:val="clear" w:color="auto" w:fill="auto"/>
          </w:tcPr>
          <w:p w14:paraId="642E9E0B" w14:textId="078D8A5A" w:rsidR="00F45AF6" w:rsidRDefault="00F45AF6" w:rsidP="00F45AF6">
            <w:pPr>
              <w:jc w:val="center"/>
              <w:rPr>
                <w:bCs/>
                <w:szCs w:val="18"/>
                <w:lang w:val="en-US" w:eastAsia="en-US"/>
              </w:rPr>
            </w:pPr>
            <w:r>
              <w:rPr>
                <w:bCs/>
                <w:szCs w:val="18"/>
                <w:lang w:val="en-US" w:eastAsia="en-US"/>
              </w:rPr>
              <w:t>2020</w:t>
            </w:r>
          </w:p>
        </w:tc>
        <w:tc>
          <w:tcPr>
            <w:tcW w:w="3311" w:type="dxa"/>
            <w:shd w:val="clear" w:color="auto" w:fill="auto"/>
          </w:tcPr>
          <w:p w14:paraId="6B72077A" w14:textId="5E4EE0EB" w:rsidR="00F45AF6" w:rsidRDefault="00F45AF6" w:rsidP="00F45AF6">
            <w:pPr>
              <w:jc w:val="center"/>
              <w:rPr>
                <w:bCs/>
                <w:szCs w:val="18"/>
                <w:lang w:val="en-US" w:eastAsia="en-US"/>
              </w:rPr>
            </w:pPr>
            <w:r>
              <w:rPr>
                <w:bCs/>
                <w:szCs w:val="18"/>
                <w:lang w:val="en-US" w:eastAsia="en-US"/>
              </w:rPr>
              <w:t>Efficacy test for bactericidal activity according to the project of the standard prNF EN 17422 (June 2020)</w:t>
            </w:r>
          </w:p>
        </w:tc>
        <w:tc>
          <w:tcPr>
            <w:tcW w:w="1559" w:type="dxa"/>
            <w:shd w:val="clear" w:color="auto" w:fill="auto"/>
          </w:tcPr>
          <w:p w14:paraId="1095BA5A" w14:textId="3A972EAF" w:rsidR="00F45AF6" w:rsidRDefault="00F45AF6" w:rsidP="00F45AF6">
            <w:pPr>
              <w:jc w:val="center"/>
              <w:rPr>
                <w:bCs/>
                <w:szCs w:val="18"/>
                <w:lang w:val="en-US" w:eastAsia="en-US"/>
              </w:rPr>
            </w:pPr>
            <w:r>
              <w:rPr>
                <w:bCs/>
                <w:szCs w:val="18"/>
                <w:lang w:val="en-US" w:eastAsia="en-US"/>
              </w:rPr>
              <w:t>Yes</w:t>
            </w:r>
          </w:p>
        </w:tc>
        <w:tc>
          <w:tcPr>
            <w:tcW w:w="2268" w:type="dxa"/>
            <w:shd w:val="clear" w:color="auto" w:fill="auto"/>
          </w:tcPr>
          <w:p w14:paraId="5B1AB8E1" w14:textId="060219C2" w:rsidR="00F45AF6" w:rsidRDefault="00F45AF6" w:rsidP="00F45AF6">
            <w:pPr>
              <w:jc w:val="center"/>
              <w:rPr>
                <w:bCs/>
                <w:szCs w:val="18"/>
                <w:lang w:val="en-US" w:eastAsia="en-US"/>
              </w:rPr>
            </w:pPr>
            <w:r>
              <w:rPr>
                <w:bCs/>
                <w:szCs w:val="18"/>
                <w:lang w:val="en-US" w:eastAsia="en-US"/>
              </w:rPr>
              <w:t>CTH</w:t>
            </w:r>
          </w:p>
        </w:tc>
      </w:tr>
      <w:tr w:rsidR="00F45AF6" w:rsidRPr="00760B30" w14:paraId="5726B3A4" w14:textId="77777777" w:rsidTr="006060C9">
        <w:trPr>
          <w:trHeight w:val="1153"/>
        </w:trPr>
        <w:tc>
          <w:tcPr>
            <w:tcW w:w="1471" w:type="dxa"/>
            <w:shd w:val="clear" w:color="auto" w:fill="auto"/>
          </w:tcPr>
          <w:p w14:paraId="612D7118" w14:textId="77614C31" w:rsidR="00F45AF6" w:rsidRDefault="00F45AF6" w:rsidP="00F45AF6">
            <w:pPr>
              <w:jc w:val="center"/>
              <w:rPr>
                <w:bCs/>
                <w:szCs w:val="18"/>
                <w:lang w:val="en-US" w:eastAsia="en-US"/>
              </w:rPr>
            </w:pPr>
            <w:r>
              <w:rPr>
                <w:bCs/>
                <w:szCs w:val="18"/>
                <w:lang w:val="en-US" w:eastAsia="en-US"/>
              </w:rPr>
              <w:t>Anne Françoise GABILLET</w:t>
            </w:r>
          </w:p>
        </w:tc>
        <w:tc>
          <w:tcPr>
            <w:tcW w:w="855" w:type="dxa"/>
            <w:shd w:val="clear" w:color="auto" w:fill="auto"/>
          </w:tcPr>
          <w:p w14:paraId="2758992F" w14:textId="619985B7" w:rsidR="00F45AF6" w:rsidRDefault="00F45AF6" w:rsidP="00F45AF6">
            <w:pPr>
              <w:jc w:val="center"/>
              <w:rPr>
                <w:bCs/>
                <w:szCs w:val="18"/>
                <w:lang w:val="en-US" w:eastAsia="en-US"/>
              </w:rPr>
            </w:pPr>
            <w:r>
              <w:rPr>
                <w:bCs/>
                <w:szCs w:val="18"/>
                <w:lang w:val="en-US" w:eastAsia="en-US"/>
              </w:rPr>
              <w:t>2021</w:t>
            </w:r>
          </w:p>
        </w:tc>
        <w:tc>
          <w:tcPr>
            <w:tcW w:w="3311" w:type="dxa"/>
            <w:shd w:val="clear" w:color="auto" w:fill="auto"/>
          </w:tcPr>
          <w:p w14:paraId="0CF97665" w14:textId="3B9590DA" w:rsidR="00F45AF6" w:rsidRDefault="00F45AF6" w:rsidP="00F45AF6">
            <w:pPr>
              <w:jc w:val="center"/>
              <w:rPr>
                <w:bCs/>
                <w:szCs w:val="18"/>
                <w:lang w:val="en-US" w:eastAsia="en-US"/>
              </w:rPr>
            </w:pPr>
            <w:r>
              <w:rPr>
                <w:bCs/>
                <w:szCs w:val="18"/>
                <w:lang w:val="en-US" w:eastAsia="en-US"/>
              </w:rPr>
              <w:t>Efficacy test for bactericidal activity according to the project of the standard prNF EN 17422 (June 2020)</w:t>
            </w:r>
          </w:p>
        </w:tc>
        <w:tc>
          <w:tcPr>
            <w:tcW w:w="1559" w:type="dxa"/>
            <w:shd w:val="clear" w:color="auto" w:fill="auto"/>
          </w:tcPr>
          <w:p w14:paraId="593FBDC2" w14:textId="1F0128E7" w:rsidR="00F45AF6" w:rsidRDefault="00F45AF6" w:rsidP="00F45AF6">
            <w:pPr>
              <w:jc w:val="center"/>
              <w:rPr>
                <w:bCs/>
                <w:szCs w:val="18"/>
                <w:lang w:val="en-US" w:eastAsia="en-US"/>
              </w:rPr>
            </w:pPr>
            <w:r>
              <w:rPr>
                <w:bCs/>
                <w:szCs w:val="18"/>
                <w:lang w:val="en-US" w:eastAsia="en-US"/>
              </w:rPr>
              <w:t>Yes</w:t>
            </w:r>
          </w:p>
        </w:tc>
        <w:tc>
          <w:tcPr>
            <w:tcW w:w="2268" w:type="dxa"/>
            <w:shd w:val="clear" w:color="auto" w:fill="auto"/>
          </w:tcPr>
          <w:p w14:paraId="7D5F96BC" w14:textId="3EF7946D" w:rsidR="00F45AF6" w:rsidRDefault="00F45AF6" w:rsidP="00F45AF6">
            <w:pPr>
              <w:jc w:val="center"/>
              <w:rPr>
                <w:bCs/>
                <w:szCs w:val="18"/>
                <w:lang w:val="en-US" w:eastAsia="en-US"/>
              </w:rPr>
            </w:pPr>
            <w:r>
              <w:rPr>
                <w:bCs/>
                <w:szCs w:val="18"/>
                <w:lang w:val="en-US" w:eastAsia="en-US"/>
              </w:rPr>
              <w:t>CTH</w:t>
            </w:r>
          </w:p>
        </w:tc>
      </w:tr>
    </w:tbl>
    <w:p w14:paraId="1159FBBF" w14:textId="77777777" w:rsidR="009D0C0B" w:rsidRDefault="009D0C0B">
      <w:pPr>
        <w:rPr>
          <w:rFonts w:eastAsia="Calibri"/>
          <w:b/>
          <w:caps/>
          <w:sz w:val="28"/>
          <w:szCs w:val="28"/>
          <w:lang w:eastAsia="en-US"/>
        </w:rPr>
      </w:pPr>
    </w:p>
    <w:p w14:paraId="4DB024DF" w14:textId="2AC44C62" w:rsidR="00E93399" w:rsidRDefault="00FA480B">
      <w:pPr>
        <w:pStyle w:val="Titre2"/>
      </w:pPr>
      <w:bookmarkStart w:id="83" w:name="_Toc74732503"/>
      <w:r>
        <w:t>Output tables from exposure assessment tools</w:t>
      </w:r>
      <w:bookmarkEnd w:id="83"/>
    </w:p>
    <w:p w14:paraId="47B30C7D" w14:textId="33BFF76D" w:rsidR="00C14716" w:rsidRDefault="00C14716" w:rsidP="00C14716">
      <w:pPr>
        <w:pStyle w:val="Absatz"/>
      </w:pPr>
    </w:p>
    <w:bookmarkStart w:id="84" w:name="_MON_1688198527"/>
    <w:bookmarkEnd w:id="84"/>
    <w:p w14:paraId="6683E14B" w14:textId="60526DBC" w:rsidR="00C14716" w:rsidRPr="00C14716" w:rsidRDefault="0032408E" w:rsidP="00C14716">
      <w:pPr>
        <w:pStyle w:val="Absatz"/>
      </w:pPr>
      <w:r>
        <w:object w:dxaOrig="1031" w:dyaOrig="671" w14:anchorId="4C18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35.45pt" o:ole="">
            <v:imagedata r:id="rId24" o:title=""/>
          </v:shape>
          <o:OLEObject Type="Embed" ProgID="Excel.Sheet.12" ShapeID="_x0000_i1025" DrawAspect="Icon" ObjectID="_1762674940" r:id="rId25"/>
        </w:object>
      </w:r>
    </w:p>
    <w:p w14:paraId="70959DD5" w14:textId="41CC300F" w:rsidR="009D0C0B" w:rsidRDefault="00FA480B">
      <w:pPr>
        <w:pStyle w:val="Titre2"/>
        <w:rPr>
          <w:lang w:val="de-DE"/>
        </w:rPr>
      </w:pPr>
      <w:bookmarkStart w:id="85" w:name="_Toc74732504"/>
      <w:r>
        <w:rPr>
          <w:lang w:val="de-DE"/>
        </w:rPr>
        <w:t>Residue behaviour</w:t>
      </w:r>
      <w:bookmarkEnd w:id="85"/>
    </w:p>
    <w:p w14:paraId="515C98F3" w14:textId="77777777" w:rsidR="00A53253" w:rsidRPr="00A53253" w:rsidRDefault="00A53253" w:rsidP="00A53253">
      <w:pPr>
        <w:pStyle w:val="Absatz"/>
        <w:ind w:left="0"/>
        <w:rPr>
          <w:lang w:val="de-DE"/>
        </w:rPr>
      </w:pPr>
    </w:p>
    <w:p w14:paraId="6069FBAE" w14:textId="77777777" w:rsidR="00A53253" w:rsidRPr="00F15A9D" w:rsidRDefault="00A53253" w:rsidP="00F15A9D">
      <w:pPr>
        <w:suppressAutoHyphens w:val="0"/>
        <w:spacing w:before="240" w:after="60" w:line="240" w:lineRule="atLeast"/>
        <w:jc w:val="both"/>
        <w:outlineLvl w:val="4"/>
        <w:rPr>
          <w:rFonts w:eastAsia="Calibri" w:cs="Times New Roman"/>
          <w:b/>
          <w:bCs/>
          <w:i/>
          <w:iCs/>
          <w:lang w:val="sv-SE" w:eastAsia="sv-SE"/>
        </w:rPr>
      </w:pPr>
      <w:r w:rsidRPr="00F15A9D">
        <w:rPr>
          <w:rFonts w:eastAsia="Calibri" w:cs="Times New Roman"/>
          <w:b/>
          <w:bCs/>
          <w:i/>
          <w:iCs/>
          <w:lang w:val="sv-SE" w:eastAsia="sv-SE"/>
        </w:rPr>
        <w:t>Iodine assessment context</w:t>
      </w:r>
    </w:p>
    <w:p w14:paraId="5CE92A6F" w14:textId="77777777" w:rsidR="00A53253" w:rsidRPr="00F15A9D" w:rsidRDefault="00A53253" w:rsidP="00F15A9D">
      <w:pPr>
        <w:suppressAutoHyphens w:val="0"/>
        <w:jc w:val="both"/>
        <w:rPr>
          <w:rFonts w:eastAsiaTheme="minorHAnsi" w:cs="Helvetica"/>
          <w:lang w:val="en-US" w:eastAsia="en-US"/>
        </w:rPr>
      </w:pPr>
      <w:r w:rsidRPr="00F15A9D">
        <w:rPr>
          <w:rFonts w:eastAsiaTheme="minorHAnsi" w:cs="Calibri"/>
          <w:lang w:val="en-US" w:eastAsia="en-US"/>
        </w:rPr>
        <w:t>Following the same approach as for the other iodine UA, which has been discussed at WG and BPC, the following has been taken into consideration for the proposed</w:t>
      </w:r>
      <w:r w:rsidRPr="00F15A9D">
        <w:rPr>
          <w:rFonts w:eastAsiaTheme="minorHAnsi" w:cs="Helvetica"/>
          <w:lang w:val="en-US" w:eastAsia="en-US"/>
        </w:rPr>
        <w:t xml:space="preserve"> decision on the authorisation of iodine teat disinfection products:</w:t>
      </w:r>
    </w:p>
    <w:p w14:paraId="780DD790" w14:textId="77777777" w:rsidR="00A53253" w:rsidRPr="00F15A9D" w:rsidRDefault="00A53253" w:rsidP="00F15A9D">
      <w:pPr>
        <w:suppressAutoHyphens w:val="0"/>
        <w:autoSpaceDE w:val="0"/>
        <w:autoSpaceDN w:val="0"/>
        <w:adjustRightInd w:val="0"/>
        <w:jc w:val="both"/>
        <w:rPr>
          <w:rFonts w:eastAsiaTheme="minorHAnsi" w:cs="Helvetica"/>
          <w:lang w:val="en-US" w:eastAsia="en-US"/>
        </w:rPr>
      </w:pPr>
      <w:r w:rsidRPr="00F15A9D">
        <w:rPr>
          <w:rFonts w:eastAsiaTheme="minorHAnsi" w:cs="Helvetica"/>
          <w:lang w:val="en-US" w:eastAsia="en-US"/>
        </w:rPr>
        <w:t xml:space="preserve">-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w:t>
      </w:r>
      <w:r w:rsidRPr="00F15A9D">
        <w:rPr>
          <w:rFonts w:eastAsiaTheme="minorHAnsi" w:cstheme="minorBidi"/>
          <w:lang w:val="en-US" w:eastAsia="en-US"/>
        </w:rPr>
        <w:t>It is further noted that WHO derived a value of 1000 µg/d for adults but no value for children was set. The UL for children is set by a normal extrapolation from adults, which is not optimal considering the different hormonal status between adults and children. At the moment, it is not possible to obtain a better setting of the UL due to data gaps.</w:t>
      </w:r>
    </w:p>
    <w:p w14:paraId="46139717" w14:textId="77777777" w:rsidR="00A53253" w:rsidRPr="00F15A9D" w:rsidRDefault="00A53253" w:rsidP="00F15A9D">
      <w:pPr>
        <w:suppressAutoHyphens w:val="0"/>
        <w:autoSpaceDE w:val="0"/>
        <w:autoSpaceDN w:val="0"/>
        <w:adjustRightInd w:val="0"/>
        <w:jc w:val="both"/>
        <w:rPr>
          <w:rFonts w:eastAsiaTheme="minorHAnsi" w:cs="Helvetica"/>
          <w:lang w:val="en-US" w:eastAsia="en-US"/>
        </w:rPr>
      </w:pPr>
    </w:p>
    <w:p w14:paraId="789816DB" w14:textId="77777777" w:rsidR="00A53253" w:rsidRPr="00F15A9D" w:rsidRDefault="00A53253" w:rsidP="00F15A9D">
      <w:pPr>
        <w:suppressAutoHyphens w:val="0"/>
        <w:jc w:val="both"/>
        <w:rPr>
          <w:rFonts w:eastAsiaTheme="minorHAnsi" w:cs="Helvetica"/>
          <w:lang w:val="en-US" w:eastAsia="en-US"/>
        </w:rPr>
      </w:pPr>
      <w:r w:rsidRPr="00F15A9D">
        <w:rPr>
          <w:rFonts w:eastAsiaTheme="minorHAnsi" w:cs="Helvetica"/>
          <w:lang w:val="en-US" w:eastAsia="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14:paraId="7DB1D707" w14:textId="77777777" w:rsidR="00A53253" w:rsidRPr="00F15A9D" w:rsidRDefault="00A53253" w:rsidP="00F15A9D">
      <w:pPr>
        <w:suppressAutoHyphens w:val="0"/>
        <w:jc w:val="both"/>
        <w:rPr>
          <w:rFonts w:eastAsiaTheme="minorHAnsi" w:cs="Helvetica"/>
          <w:lang w:val="en-US" w:eastAsia="en-US"/>
        </w:rPr>
      </w:pPr>
    </w:p>
    <w:p w14:paraId="2A9310F8" w14:textId="77777777" w:rsidR="00A53253" w:rsidRPr="00F15A9D" w:rsidRDefault="00A53253" w:rsidP="00F15A9D">
      <w:pPr>
        <w:suppressAutoHyphens w:val="0"/>
        <w:autoSpaceDE w:val="0"/>
        <w:autoSpaceDN w:val="0"/>
        <w:adjustRightInd w:val="0"/>
        <w:jc w:val="both"/>
        <w:rPr>
          <w:rFonts w:eastAsiaTheme="minorHAnsi" w:cs="Helvetica"/>
          <w:lang w:val="en-US" w:eastAsia="en-US"/>
        </w:rPr>
      </w:pPr>
      <w:r w:rsidRPr="00F15A9D">
        <w:rPr>
          <w:rFonts w:eastAsiaTheme="minorHAnsi" w:cs="Helvetica"/>
          <w:lang w:val="en-US" w:eastAsia="en-US"/>
        </w:rPr>
        <w:t xml:space="preserve">-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w:t>
      </w:r>
      <w:r w:rsidRPr="00F15A9D">
        <w:rPr>
          <w:rFonts w:eastAsiaTheme="minorHAnsi" w:cs="Helvetica"/>
          <w:lang w:eastAsia="en-US"/>
        </w:rPr>
        <w:t>recognised</w:t>
      </w:r>
      <w:r w:rsidRPr="00F15A9D">
        <w:rPr>
          <w:rFonts w:eastAsiaTheme="minorHAnsi" w:cs="Helvetica"/>
          <w:lang w:val="en-US" w:eastAsia="en-US"/>
        </w:rPr>
        <w:t xml:space="preserve"> that both insufficient and excessive iodine intakes can cause diseases.</w:t>
      </w:r>
    </w:p>
    <w:p w14:paraId="66FEC372" w14:textId="77777777" w:rsidR="00A53253" w:rsidRPr="00F15A9D" w:rsidRDefault="00A53253" w:rsidP="00F15A9D">
      <w:pPr>
        <w:suppressAutoHyphens w:val="0"/>
        <w:autoSpaceDE w:val="0"/>
        <w:autoSpaceDN w:val="0"/>
        <w:adjustRightInd w:val="0"/>
        <w:jc w:val="both"/>
        <w:rPr>
          <w:rFonts w:eastAsiaTheme="minorHAnsi" w:cs="Helvetica"/>
          <w:lang w:val="en-US" w:eastAsia="en-US"/>
        </w:rPr>
      </w:pPr>
    </w:p>
    <w:p w14:paraId="569CE5F2" w14:textId="77777777" w:rsidR="00A53253" w:rsidRPr="00F15A9D" w:rsidRDefault="00A53253" w:rsidP="00F15A9D">
      <w:pPr>
        <w:suppressAutoHyphens w:val="0"/>
        <w:autoSpaceDE w:val="0"/>
        <w:autoSpaceDN w:val="0"/>
        <w:adjustRightInd w:val="0"/>
        <w:jc w:val="both"/>
        <w:rPr>
          <w:rFonts w:eastAsiaTheme="minorHAnsi" w:cs="Helvetica"/>
          <w:lang w:val="en-US" w:eastAsia="en-US"/>
        </w:rPr>
      </w:pPr>
      <w:r w:rsidRPr="00F15A9D">
        <w:rPr>
          <w:rFonts w:eastAsiaTheme="minorHAnsi" w:cs="Helvetica"/>
          <w:lang w:val="en-US" w:eastAsia="en-US"/>
        </w:rPr>
        <w:t xml:space="preserve">- The actual amount of iodine intake in the EU is highly variable and difficult to estimate, as levels of iodine intake depend on the geographical location, the soil, people’s diet, the season, farming practices, iodine fortification of feed for dairy animals, iodine </w:t>
      </w:r>
      <w:r w:rsidRPr="00F15A9D">
        <w:rPr>
          <w:rFonts w:eastAsiaTheme="minorHAnsi" w:cs="Helvetica"/>
          <w:lang w:val="en-US" w:eastAsia="en-US"/>
        </w:rPr>
        <w:lastRenderedPageBreak/>
        <w:t>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5C2E6694" w14:textId="77777777" w:rsidR="00A53253" w:rsidRPr="00F15A9D" w:rsidRDefault="00A53253" w:rsidP="00F15A9D">
      <w:pPr>
        <w:suppressAutoHyphens w:val="0"/>
        <w:autoSpaceDE w:val="0"/>
        <w:autoSpaceDN w:val="0"/>
        <w:adjustRightInd w:val="0"/>
        <w:jc w:val="both"/>
        <w:rPr>
          <w:rFonts w:eastAsiaTheme="minorHAnsi" w:cs="Helvetica"/>
          <w:lang w:val="en-US" w:eastAsia="en-US"/>
        </w:rPr>
      </w:pPr>
    </w:p>
    <w:p w14:paraId="7B222AA8"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lang w:val="en-US" w:eastAsia="en-US"/>
        </w:rPr>
        <w:t>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important to obtain more reliable information on iodine background levels in food items in the EU, and consequently to update the data supporting the current UL. Iodine exposure pathways that are not a consequence of 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 Therefore a wider approach to the consumer risk assessments encompassing different regulatory areas would need to be considered.</w:t>
      </w:r>
    </w:p>
    <w:p w14:paraId="68CB68A3" w14:textId="77777777" w:rsidR="00A53253" w:rsidRPr="00F15A9D" w:rsidRDefault="00A53253" w:rsidP="00F15A9D">
      <w:pPr>
        <w:suppressAutoHyphens w:val="0"/>
        <w:jc w:val="both"/>
        <w:rPr>
          <w:rFonts w:eastAsiaTheme="minorHAnsi" w:cstheme="minorBidi"/>
          <w:lang w:val="en-US" w:eastAsia="en-US"/>
        </w:rPr>
      </w:pPr>
    </w:p>
    <w:p w14:paraId="5E7A2DEC" w14:textId="77777777" w:rsidR="00A53253" w:rsidRPr="00F15A9D" w:rsidRDefault="00A53253" w:rsidP="00F15A9D">
      <w:pPr>
        <w:suppressAutoHyphens w:val="0"/>
        <w:spacing w:after="200" w:line="276" w:lineRule="auto"/>
        <w:jc w:val="both"/>
        <w:rPr>
          <w:rFonts w:eastAsia="Calibri" w:cs="Times New Roman"/>
          <w:b/>
          <w:bCs/>
          <w:i/>
          <w:iCs/>
          <w:lang w:val="sv-SE" w:eastAsia="sv-SE"/>
        </w:rPr>
      </w:pPr>
      <w:r w:rsidRPr="00F15A9D">
        <w:rPr>
          <w:rFonts w:eastAsiaTheme="minorHAnsi" w:cstheme="minorBidi"/>
          <w:lang w:eastAsia="en-US"/>
        </w:rPr>
        <w:br w:type="page"/>
      </w:r>
    </w:p>
    <w:p w14:paraId="1040A87B" w14:textId="77777777" w:rsidR="00A53253" w:rsidRPr="00F15A9D" w:rsidRDefault="00A53253" w:rsidP="00F15A9D">
      <w:pPr>
        <w:suppressAutoHyphens w:val="0"/>
        <w:spacing w:before="240" w:after="60" w:line="240" w:lineRule="atLeast"/>
        <w:jc w:val="both"/>
        <w:outlineLvl w:val="4"/>
        <w:rPr>
          <w:rFonts w:eastAsia="Calibri" w:cs="Times New Roman"/>
          <w:b/>
          <w:bCs/>
          <w:i/>
          <w:iCs/>
          <w:lang w:val="sv-SE" w:eastAsia="sv-SE"/>
        </w:rPr>
      </w:pPr>
      <w:r w:rsidRPr="00F15A9D">
        <w:rPr>
          <w:rFonts w:eastAsia="Calibri" w:cs="Times New Roman"/>
          <w:b/>
          <w:bCs/>
          <w:i/>
          <w:iCs/>
          <w:lang w:val="sv-SE" w:eastAsia="sv-SE"/>
        </w:rPr>
        <w:lastRenderedPageBreak/>
        <w:t xml:space="preserve">Iodine : applicant assessment fo scenario 1: TP03 – teat dip disinfection </w:t>
      </w:r>
    </w:p>
    <w:p w14:paraId="1B8C1FD2" w14:textId="77777777" w:rsidR="00A53253" w:rsidRPr="00F15A9D" w:rsidRDefault="00A53253" w:rsidP="00F15A9D">
      <w:pPr>
        <w:suppressAutoHyphens w:val="0"/>
        <w:jc w:val="both"/>
        <w:rPr>
          <w:rFonts w:eastAsiaTheme="minorHAnsi" w:cstheme="minorBidi"/>
          <w:highlight w:val="lightGray"/>
          <w:lang w:val="en-US" w:eastAsia="de-DE"/>
        </w:rPr>
      </w:pPr>
    </w:p>
    <w:p w14:paraId="69AD8A69"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lang w:val="en-US" w:eastAsia="en-US"/>
        </w:rPr>
        <w:t>The applicant proposed to estimate the dietary exposure using ARTFood approach, the calculations are presented below:</w:t>
      </w:r>
    </w:p>
    <w:p w14:paraId="41A3D727" w14:textId="77777777" w:rsidR="00A53253" w:rsidRPr="00F15A9D" w:rsidRDefault="00A53253" w:rsidP="00F15A9D">
      <w:pPr>
        <w:suppressAutoHyphens w:val="0"/>
        <w:jc w:val="both"/>
        <w:rPr>
          <w:rFonts w:eastAsiaTheme="minorHAnsi" w:cstheme="minorBidi"/>
          <w:color w:val="00B050"/>
          <w:lang w:val="en-US" w:eastAsia="en-US"/>
        </w:rPr>
      </w:pPr>
    </w:p>
    <w:p w14:paraId="4581DA6B"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lang w:val="en-US" w:eastAsia="en-US"/>
        </w:rPr>
        <w:t xml:space="preserve">There is currently no guidance document to perform dietary exposure assessment following teat dip application. However, a draft guidance is under discussion (ARTFood, 2016). A dietary risk assessment on the basis of this draft document has been performed and is detailed hereafter. </w:t>
      </w:r>
    </w:p>
    <w:p w14:paraId="21A52040" w14:textId="77777777" w:rsidR="00A53253" w:rsidRPr="00F15A9D" w:rsidRDefault="00A53253" w:rsidP="00F15A9D">
      <w:pPr>
        <w:suppressAutoHyphens w:val="0"/>
        <w:jc w:val="both"/>
        <w:rPr>
          <w:rFonts w:eastAsiaTheme="minorHAnsi" w:cstheme="minorBidi"/>
          <w:i/>
          <w:iCs/>
          <w:lang w:val="en-US" w:eastAsia="en-US"/>
        </w:r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4130"/>
        <w:gridCol w:w="2950"/>
      </w:tblGrid>
      <w:tr w:rsidR="00A53253" w:rsidRPr="00F15A9D" w14:paraId="78E1E0EE" w14:textId="77777777" w:rsidTr="00447134">
        <w:trPr>
          <w:trHeight w:val="247"/>
          <w:tblHeader/>
        </w:trPr>
        <w:tc>
          <w:tcPr>
            <w:tcW w:w="5000" w:type="pct"/>
            <w:gridSpan w:val="3"/>
            <w:shd w:val="clear" w:color="auto" w:fill="FFFFCC"/>
            <w:tcMar>
              <w:top w:w="57" w:type="dxa"/>
              <w:bottom w:w="57" w:type="dxa"/>
            </w:tcMar>
          </w:tcPr>
          <w:p w14:paraId="56D307DF" w14:textId="77777777" w:rsidR="00A53253" w:rsidRPr="00F15A9D" w:rsidRDefault="00A53253" w:rsidP="00F15A9D">
            <w:pPr>
              <w:suppressAutoHyphens w:val="0"/>
              <w:jc w:val="both"/>
              <w:rPr>
                <w:rFonts w:eastAsiaTheme="minorHAnsi" w:cstheme="minorBidi"/>
                <w:b/>
                <w:lang w:val="en-US" w:eastAsia="en-US"/>
              </w:rPr>
            </w:pPr>
            <w:r w:rsidRPr="00F15A9D">
              <w:rPr>
                <w:rFonts w:eastAsiaTheme="minorHAnsi" w:cstheme="minorBidi"/>
                <w:b/>
                <w:lang w:val="en-US" w:eastAsia="en-US"/>
              </w:rPr>
              <w:t xml:space="preserve">Description of Scenario [1] PT03: teat dip disinfection </w:t>
            </w:r>
          </w:p>
        </w:tc>
      </w:tr>
      <w:tr w:rsidR="00A53253" w:rsidRPr="00F15A9D" w14:paraId="475C5997" w14:textId="77777777" w:rsidTr="00447134">
        <w:trPr>
          <w:trHeight w:val="262"/>
          <w:tblHeader/>
        </w:trPr>
        <w:tc>
          <w:tcPr>
            <w:tcW w:w="966" w:type="pct"/>
            <w:shd w:val="clear" w:color="auto" w:fill="auto"/>
            <w:tcMar>
              <w:top w:w="57" w:type="dxa"/>
              <w:bottom w:w="57" w:type="dxa"/>
            </w:tcMar>
          </w:tcPr>
          <w:p w14:paraId="0C7F1262" w14:textId="77777777" w:rsidR="00A53253" w:rsidRPr="00F15A9D" w:rsidRDefault="00A53253" w:rsidP="00F15A9D">
            <w:pPr>
              <w:suppressAutoHyphens w:val="0"/>
              <w:jc w:val="both"/>
              <w:rPr>
                <w:rFonts w:eastAsiaTheme="minorHAnsi" w:cstheme="minorBidi"/>
                <w:lang w:val="en-US" w:eastAsia="en-US"/>
              </w:rPr>
            </w:pPr>
          </w:p>
        </w:tc>
        <w:tc>
          <w:tcPr>
            <w:tcW w:w="2353" w:type="pct"/>
            <w:shd w:val="clear" w:color="auto" w:fill="auto"/>
            <w:tcMar>
              <w:top w:w="57" w:type="dxa"/>
              <w:bottom w:w="57" w:type="dxa"/>
            </w:tcMar>
          </w:tcPr>
          <w:p w14:paraId="01F10043"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Parameters</w:t>
            </w:r>
          </w:p>
        </w:tc>
        <w:tc>
          <w:tcPr>
            <w:tcW w:w="1681" w:type="pct"/>
            <w:shd w:val="clear" w:color="auto" w:fill="auto"/>
            <w:tcMar>
              <w:top w:w="57" w:type="dxa"/>
              <w:bottom w:w="57" w:type="dxa"/>
            </w:tcMar>
          </w:tcPr>
          <w:p w14:paraId="15A3C8D5"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Value</w:t>
            </w:r>
          </w:p>
        </w:tc>
      </w:tr>
      <w:tr w:rsidR="00A53253" w:rsidRPr="00F15A9D" w14:paraId="41A2C4FD" w14:textId="77777777" w:rsidTr="00447134">
        <w:trPr>
          <w:trHeight w:val="309"/>
          <w:tblHeader/>
        </w:trPr>
        <w:tc>
          <w:tcPr>
            <w:tcW w:w="966" w:type="pct"/>
            <w:vMerge w:val="restart"/>
            <w:tcMar>
              <w:top w:w="57" w:type="dxa"/>
              <w:bottom w:w="57" w:type="dxa"/>
            </w:tcMar>
            <w:vAlign w:val="center"/>
          </w:tcPr>
          <w:p w14:paraId="3CE5C7E7"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Tier 1</w:t>
            </w:r>
          </w:p>
        </w:tc>
        <w:tc>
          <w:tcPr>
            <w:tcW w:w="2353" w:type="pct"/>
            <w:shd w:val="clear" w:color="auto" w:fill="auto"/>
            <w:tcMar>
              <w:top w:w="57" w:type="dxa"/>
              <w:bottom w:w="57" w:type="dxa"/>
            </w:tcMar>
          </w:tcPr>
          <w:p w14:paraId="5632BEC9"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Daily milking (n</w:t>
            </w:r>
            <w:r w:rsidRPr="00F15A9D">
              <w:rPr>
                <w:rFonts w:eastAsiaTheme="minorHAnsi" w:cstheme="minorBidi"/>
                <w:vertAlign w:val="subscript"/>
                <w:lang w:val="fr-FR" w:eastAsia="en-US"/>
              </w:rPr>
              <w:t>daily</w:t>
            </w:r>
            <w:r w:rsidRPr="00F15A9D">
              <w:rPr>
                <w:rFonts w:eastAsiaTheme="minorHAnsi" w:cstheme="minorBidi"/>
                <w:lang w:val="fr-FR" w:eastAsia="en-US"/>
              </w:rPr>
              <w:t xml:space="preserve"> </w:t>
            </w:r>
            <w:r w:rsidRPr="00F15A9D">
              <w:rPr>
                <w:rFonts w:eastAsiaTheme="minorHAnsi" w:cstheme="minorBidi"/>
                <w:vertAlign w:val="subscript"/>
                <w:lang w:val="fr-FR" w:eastAsia="en-US"/>
              </w:rPr>
              <w:t>milking</w:t>
            </w:r>
            <w:r w:rsidRPr="00F15A9D">
              <w:rPr>
                <w:rFonts w:eastAsiaTheme="minorHAnsi" w:cstheme="minorBidi"/>
                <w:lang w:val="fr-FR" w:eastAsia="en-US"/>
              </w:rPr>
              <w:t>)</w:t>
            </w:r>
          </w:p>
        </w:tc>
        <w:tc>
          <w:tcPr>
            <w:tcW w:w="1681" w:type="pct"/>
            <w:shd w:val="clear" w:color="auto" w:fill="auto"/>
            <w:tcMar>
              <w:top w:w="57" w:type="dxa"/>
              <w:bottom w:w="57" w:type="dxa"/>
            </w:tcMar>
          </w:tcPr>
          <w:p w14:paraId="73CE0500"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2</w:t>
            </w:r>
          </w:p>
        </w:tc>
      </w:tr>
      <w:tr w:rsidR="00A53253" w:rsidRPr="00F15A9D" w14:paraId="2083E515" w14:textId="77777777" w:rsidTr="00447134">
        <w:trPr>
          <w:trHeight w:val="386"/>
          <w:tblHeader/>
        </w:trPr>
        <w:tc>
          <w:tcPr>
            <w:tcW w:w="966" w:type="pct"/>
            <w:vMerge/>
            <w:tcMar>
              <w:top w:w="57" w:type="dxa"/>
              <w:bottom w:w="57" w:type="dxa"/>
            </w:tcMar>
          </w:tcPr>
          <w:p w14:paraId="1C6BFEA5" w14:textId="77777777" w:rsidR="00A53253" w:rsidRPr="00F15A9D" w:rsidRDefault="00A53253" w:rsidP="00F15A9D">
            <w:pPr>
              <w:suppressAutoHyphens w:val="0"/>
              <w:jc w:val="both"/>
              <w:rPr>
                <w:rFonts w:eastAsiaTheme="minorHAnsi" w:cstheme="minorBidi"/>
                <w:lang w:val="fr-FR" w:eastAsia="en-US"/>
              </w:rPr>
            </w:pPr>
          </w:p>
        </w:tc>
        <w:tc>
          <w:tcPr>
            <w:tcW w:w="2353" w:type="pct"/>
            <w:shd w:val="clear" w:color="auto" w:fill="auto"/>
            <w:tcMar>
              <w:top w:w="57" w:type="dxa"/>
              <w:bottom w:w="57" w:type="dxa"/>
            </w:tcMar>
          </w:tcPr>
          <w:p w14:paraId="7614C685"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lang w:val="en-US" w:eastAsia="en-US"/>
              </w:rPr>
              <w:t>Volume applied (V</w:t>
            </w:r>
            <w:r w:rsidRPr="00F15A9D">
              <w:rPr>
                <w:rFonts w:eastAsiaTheme="minorHAnsi" w:cstheme="minorBidi"/>
                <w:vertAlign w:val="subscript"/>
                <w:lang w:val="en-US" w:eastAsia="en-US"/>
              </w:rPr>
              <w:t>applied</w:t>
            </w:r>
            <w:r w:rsidRPr="00F15A9D">
              <w:rPr>
                <w:rFonts w:eastAsiaTheme="minorHAnsi" w:cstheme="minorBidi"/>
                <w:lang w:val="en-US" w:eastAsia="en-US"/>
              </w:rPr>
              <w:t>)(ml/teat)</w:t>
            </w:r>
          </w:p>
        </w:tc>
        <w:tc>
          <w:tcPr>
            <w:tcW w:w="1681" w:type="pct"/>
            <w:shd w:val="clear" w:color="auto" w:fill="auto"/>
            <w:tcMar>
              <w:top w:w="57" w:type="dxa"/>
              <w:bottom w:w="57" w:type="dxa"/>
            </w:tcMar>
          </w:tcPr>
          <w:p w14:paraId="1610E091"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2</w:t>
            </w:r>
          </w:p>
        </w:tc>
      </w:tr>
      <w:tr w:rsidR="00A53253" w:rsidRPr="00F15A9D" w14:paraId="20859C53" w14:textId="77777777" w:rsidTr="00447134">
        <w:trPr>
          <w:trHeight w:val="371"/>
          <w:tblHeader/>
        </w:trPr>
        <w:tc>
          <w:tcPr>
            <w:tcW w:w="966" w:type="pct"/>
            <w:vMerge/>
            <w:tcMar>
              <w:top w:w="57" w:type="dxa"/>
              <w:bottom w:w="57" w:type="dxa"/>
            </w:tcMar>
          </w:tcPr>
          <w:p w14:paraId="7EF81843" w14:textId="77777777" w:rsidR="00A53253" w:rsidRPr="00F15A9D" w:rsidRDefault="00A53253" w:rsidP="00F15A9D">
            <w:pPr>
              <w:suppressAutoHyphens w:val="0"/>
              <w:jc w:val="both"/>
              <w:rPr>
                <w:rFonts w:eastAsiaTheme="minorHAnsi" w:cstheme="minorBidi"/>
                <w:lang w:val="fr-FR" w:eastAsia="en-US"/>
              </w:rPr>
            </w:pPr>
          </w:p>
        </w:tc>
        <w:tc>
          <w:tcPr>
            <w:tcW w:w="2353" w:type="pct"/>
            <w:shd w:val="clear" w:color="auto" w:fill="auto"/>
            <w:tcMar>
              <w:top w:w="57" w:type="dxa"/>
              <w:bottom w:w="57" w:type="dxa"/>
            </w:tcMar>
          </w:tcPr>
          <w:p w14:paraId="0EC7C70B" w14:textId="77777777" w:rsidR="00A53253" w:rsidRPr="00F15A9D" w:rsidRDefault="00A53253" w:rsidP="00F15A9D">
            <w:pPr>
              <w:suppressAutoHyphens w:val="0"/>
              <w:jc w:val="both"/>
              <w:rPr>
                <w:rFonts w:eastAsiaTheme="minorHAnsi" w:cstheme="minorBidi"/>
                <w:vertAlign w:val="superscript"/>
                <w:lang w:val="fr-FR" w:eastAsia="en-US"/>
              </w:rPr>
            </w:pPr>
            <w:r w:rsidRPr="00F15A9D">
              <w:rPr>
                <w:rFonts w:eastAsiaTheme="minorHAnsi" w:cstheme="minorBidi"/>
                <w:lang w:val="fr-FR" w:eastAsia="en-US"/>
              </w:rPr>
              <w:t>Vmilk yield (L/jour)</w:t>
            </w:r>
            <w:r w:rsidRPr="00F15A9D">
              <w:rPr>
                <w:rFonts w:eastAsiaTheme="minorHAnsi" w:cstheme="minorBidi"/>
                <w:vertAlign w:val="superscript"/>
                <w:lang w:val="fr-FR" w:eastAsia="en-US"/>
              </w:rPr>
              <w:t>1</w:t>
            </w:r>
          </w:p>
        </w:tc>
        <w:tc>
          <w:tcPr>
            <w:tcW w:w="1681" w:type="pct"/>
            <w:shd w:val="clear" w:color="auto" w:fill="auto"/>
            <w:tcMar>
              <w:top w:w="57" w:type="dxa"/>
              <w:bottom w:w="57" w:type="dxa"/>
            </w:tcMar>
          </w:tcPr>
          <w:p w14:paraId="212B987C"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20</w:t>
            </w:r>
          </w:p>
        </w:tc>
      </w:tr>
      <w:tr w:rsidR="00A53253" w:rsidRPr="00F15A9D" w14:paraId="62E043FE" w14:textId="77777777" w:rsidTr="00447134">
        <w:trPr>
          <w:trHeight w:val="386"/>
          <w:tblHeader/>
        </w:trPr>
        <w:tc>
          <w:tcPr>
            <w:tcW w:w="966" w:type="pct"/>
            <w:vMerge/>
            <w:tcMar>
              <w:top w:w="57" w:type="dxa"/>
              <w:bottom w:w="57" w:type="dxa"/>
            </w:tcMar>
          </w:tcPr>
          <w:p w14:paraId="40CAD65F" w14:textId="77777777" w:rsidR="00A53253" w:rsidRPr="00F15A9D" w:rsidRDefault="00A53253" w:rsidP="00F15A9D">
            <w:pPr>
              <w:suppressAutoHyphens w:val="0"/>
              <w:jc w:val="both"/>
              <w:rPr>
                <w:rFonts w:eastAsiaTheme="minorHAnsi" w:cstheme="minorBidi"/>
                <w:lang w:val="fr-FR" w:eastAsia="en-US"/>
              </w:rPr>
            </w:pPr>
          </w:p>
        </w:tc>
        <w:tc>
          <w:tcPr>
            <w:tcW w:w="2353" w:type="pct"/>
            <w:shd w:val="clear" w:color="auto" w:fill="auto"/>
            <w:tcMar>
              <w:top w:w="57" w:type="dxa"/>
              <w:bottom w:w="57" w:type="dxa"/>
            </w:tcMar>
          </w:tcPr>
          <w:p w14:paraId="408ED985" w14:textId="77777777" w:rsidR="00A53253" w:rsidRPr="00F15A9D" w:rsidRDefault="00A53253" w:rsidP="00F15A9D">
            <w:pPr>
              <w:suppressAutoHyphens w:val="0"/>
              <w:jc w:val="both"/>
              <w:rPr>
                <w:rFonts w:eastAsiaTheme="minorHAnsi" w:cstheme="minorBidi"/>
                <w:vertAlign w:val="superscript"/>
                <w:lang w:val="fr-FR" w:eastAsia="en-US"/>
              </w:rPr>
            </w:pPr>
            <w:r w:rsidRPr="00F15A9D">
              <w:rPr>
                <w:rFonts w:eastAsiaTheme="minorHAnsi" w:cstheme="minorBidi"/>
                <w:lang w:val="fr-FR" w:eastAsia="en-US"/>
              </w:rPr>
              <w:t>Iodine density</w:t>
            </w:r>
          </w:p>
        </w:tc>
        <w:tc>
          <w:tcPr>
            <w:tcW w:w="1681" w:type="pct"/>
            <w:shd w:val="clear" w:color="auto" w:fill="auto"/>
            <w:tcMar>
              <w:top w:w="57" w:type="dxa"/>
              <w:bottom w:w="57" w:type="dxa"/>
            </w:tcMar>
          </w:tcPr>
          <w:p w14:paraId="433BA972"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1.013</w:t>
            </w:r>
          </w:p>
        </w:tc>
      </w:tr>
      <w:tr w:rsidR="00A53253" w:rsidRPr="00F15A9D" w14:paraId="3DA8AFB1" w14:textId="77777777" w:rsidTr="00447134">
        <w:trPr>
          <w:trHeight w:val="309"/>
          <w:tblHeader/>
        </w:trPr>
        <w:tc>
          <w:tcPr>
            <w:tcW w:w="966" w:type="pct"/>
            <w:vMerge/>
            <w:tcMar>
              <w:top w:w="57" w:type="dxa"/>
              <w:bottom w:w="57" w:type="dxa"/>
            </w:tcMar>
          </w:tcPr>
          <w:p w14:paraId="509D4F59" w14:textId="77777777" w:rsidR="00A53253" w:rsidRPr="00F15A9D" w:rsidRDefault="00A53253" w:rsidP="00F15A9D">
            <w:pPr>
              <w:suppressAutoHyphens w:val="0"/>
              <w:jc w:val="both"/>
              <w:rPr>
                <w:rFonts w:eastAsiaTheme="minorHAnsi" w:cstheme="minorBidi"/>
                <w:lang w:val="fr-FR" w:eastAsia="en-US"/>
              </w:rPr>
            </w:pPr>
          </w:p>
        </w:tc>
        <w:tc>
          <w:tcPr>
            <w:tcW w:w="2353" w:type="pct"/>
            <w:shd w:val="clear" w:color="auto" w:fill="auto"/>
            <w:tcMar>
              <w:top w:w="57" w:type="dxa"/>
              <w:bottom w:w="57" w:type="dxa"/>
            </w:tcMar>
          </w:tcPr>
          <w:p w14:paraId="3DF9EEA3"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Iodine content (% w/w)</w:t>
            </w:r>
          </w:p>
        </w:tc>
        <w:tc>
          <w:tcPr>
            <w:tcW w:w="1681" w:type="pct"/>
            <w:shd w:val="clear" w:color="auto" w:fill="auto"/>
            <w:tcMar>
              <w:top w:w="57" w:type="dxa"/>
              <w:bottom w:w="57" w:type="dxa"/>
            </w:tcMar>
          </w:tcPr>
          <w:p w14:paraId="3844ACDF"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0.222</w:t>
            </w:r>
          </w:p>
        </w:tc>
      </w:tr>
      <w:tr w:rsidR="00A53253" w:rsidRPr="00F15A9D" w14:paraId="6710CF2C" w14:textId="77777777" w:rsidTr="00447134">
        <w:trPr>
          <w:trHeight w:val="303"/>
          <w:tblHeader/>
        </w:trPr>
        <w:tc>
          <w:tcPr>
            <w:tcW w:w="966" w:type="pct"/>
            <w:vMerge w:val="restart"/>
            <w:tcMar>
              <w:top w:w="57" w:type="dxa"/>
              <w:bottom w:w="57" w:type="dxa"/>
            </w:tcMar>
            <w:vAlign w:val="center"/>
          </w:tcPr>
          <w:p w14:paraId="0B68FA7C"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Tier 2</w:t>
            </w:r>
          </w:p>
        </w:tc>
        <w:tc>
          <w:tcPr>
            <w:tcW w:w="2353" w:type="pct"/>
            <w:shd w:val="clear" w:color="auto" w:fill="auto"/>
            <w:tcMar>
              <w:top w:w="57" w:type="dxa"/>
              <w:bottom w:w="57" w:type="dxa"/>
            </w:tcMar>
          </w:tcPr>
          <w:p w14:paraId="555E3113" w14:textId="77777777" w:rsidR="00A53253" w:rsidRPr="00F15A9D" w:rsidRDefault="00A53253" w:rsidP="00F15A9D">
            <w:pPr>
              <w:suppressAutoHyphens w:val="0"/>
              <w:ind w:firstLine="708"/>
              <w:jc w:val="both"/>
              <w:rPr>
                <w:rFonts w:eastAsiaTheme="minorHAnsi" w:cstheme="minorBidi"/>
                <w:vertAlign w:val="superscript"/>
                <w:lang w:val="fr-FR" w:eastAsia="en-US"/>
              </w:rPr>
            </w:pPr>
            <w:r w:rsidRPr="00F15A9D">
              <w:rPr>
                <w:rFonts w:eastAsiaTheme="minorHAnsi" w:cstheme="minorBidi"/>
                <w:lang w:val="fr-FR" w:eastAsia="en-US"/>
              </w:rPr>
              <w:t>Surface of teat end (%)</w:t>
            </w:r>
            <w:r w:rsidRPr="00F15A9D">
              <w:rPr>
                <w:rFonts w:eastAsiaTheme="minorHAnsi" w:cstheme="minorBidi"/>
                <w:vertAlign w:val="superscript"/>
                <w:lang w:val="fr-FR" w:eastAsia="en-US"/>
              </w:rPr>
              <w:t>2</w:t>
            </w:r>
          </w:p>
        </w:tc>
        <w:tc>
          <w:tcPr>
            <w:tcW w:w="1681" w:type="pct"/>
            <w:shd w:val="clear" w:color="auto" w:fill="auto"/>
            <w:tcMar>
              <w:top w:w="57" w:type="dxa"/>
              <w:bottom w:w="57" w:type="dxa"/>
            </w:tcMar>
          </w:tcPr>
          <w:p w14:paraId="198D916D"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10</w:t>
            </w:r>
          </w:p>
        </w:tc>
      </w:tr>
      <w:tr w:rsidR="00A53253" w:rsidRPr="00F15A9D" w14:paraId="3E946DD3" w14:textId="77777777" w:rsidTr="00447134">
        <w:trPr>
          <w:trHeight w:val="324"/>
          <w:tblHeader/>
        </w:trPr>
        <w:tc>
          <w:tcPr>
            <w:tcW w:w="966" w:type="pct"/>
            <w:vMerge/>
            <w:tcMar>
              <w:top w:w="57" w:type="dxa"/>
              <w:bottom w:w="57" w:type="dxa"/>
            </w:tcMar>
            <w:vAlign w:val="center"/>
          </w:tcPr>
          <w:p w14:paraId="0AE8BD41" w14:textId="77777777" w:rsidR="00A53253" w:rsidRPr="00F15A9D" w:rsidRDefault="00A53253" w:rsidP="00F15A9D">
            <w:pPr>
              <w:suppressAutoHyphens w:val="0"/>
              <w:jc w:val="both"/>
              <w:rPr>
                <w:rFonts w:eastAsiaTheme="minorHAnsi" w:cstheme="minorBidi"/>
                <w:lang w:val="fr-FR" w:eastAsia="en-US"/>
              </w:rPr>
            </w:pPr>
          </w:p>
        </w:tc>
        <w:tc>
          <w:tcPr>
            <w:tcW w:w="2353" w:type="pct"/>
            <w:shd w:val="clear" w:color="auto" w:fill="auto"/>
            <w:tcMar>
              <w:top w:w="57" w:type="dxa"/>
              <w:bottom w:w="57" w:type="dxa"/>
            </w:tcMar>
          </w:tcPr>
          <w:p w14:paraId="1DB11A2B" w14:textId="77777777" w:rsidR="00A53253" w:rsidRPr="00F15A9D" w:rsidRDefault="00A53253" w:rsidP="00F15A9D">
            <w:pPr>
              <w:suppressAutoHyphens w:val="0"/>
              <w:jc w:val="both"/>
              <w:rPr>
                <w:rFonts w:eastAsiaTheme="minorHAnsi" w:cstheme="minorBidi"/>
                <w:vertAlign w:val="superscript"/>
                <w:lang w:val="fr-FR" w:eastAsia="en-US"/>
              </w:rPr>
            </w:pPr>
            <w:r w:rsidRPr="00F15A9D">
              <w:rPr>
                <w:rFonts w:eastAsiaTheme="minorHAnsi" w:cstheme="minorBidi"/>
                <w:lang w:val="fr-FR" w:eastAsia="en-US"/>
              </w:rPr>
              <w:t>Dermal absorption (%)</w:t>
            </w:r>
            <w:r w:rsidRPr="00F15A9D">
              <w:rPr>
                <w:rFonts w:eastAsiaTheme="minorHAnsi" w:cstheme="minorBidi"/>
                <w:vertAlign w:val="superscript"/>
                <w:lang w:val="fr-FR" w:eastAsia="en-US"/>
              </w:rPr>
              <w:t>3</w:t>
            </w:r>
          </w:p>
        </w:tc>
        <w:tc>
          <w:tcPr>
            <w:tcW w:w="1681" w:type="pct"/>
            <w:shd w:val="clear" w:color="auto" w:fill="auto"/>
            <w:tcMar>
              <w:top w:w="57" w:type="dxa"/>
              <w:bottom w:w="57" w:type="dxa"/>
            </w:tcMar>
          </w:tcPr>
          <w:p w14:paraId="2E4595E6" w14:textId="77777777" w:rsidR="00A53253" w:rsidRPr="00F15A9D" w:rsidRDefault="00A53253" w:rsidP="00F15A9D">
            <w:pPr>
              <w:suppressAutoHyphens w:val="0"/>
              <w:jc w:val="both"/>
              <w:rPr>
                <w:rFonts w:eastAsiaTheme="minorHAnsi" w:cstheme="minorBidi"/>
                <w:lang w:val="fr-FR" w:eastAsia="en-US"/>
              </w:rPr>
            </w:pPr>
            <w:r w:rsidRPr="00F15A9D">
              <w:rPr>
                <w:rFonts w:eastAsiaTheme="minorHAnsi" w:cstheme="minorBidi"/>
                <w:lang w:val="fr-FR" w:eastAsia="en-US"/>
              </w:rPr>
              <w:t>50</w:t>
            </w:r>
          </w:p>
        </w:tc>
      </w:tr>
    </w:tbl>
    <w:p w14:paraId="5F460640" w14:textId="77777777" w:rsidR="00A53253" w:rsidRPr="00F15A9D" w:rsidRDefault="00A53253" w:rsidP="00F15A9D">
      <w:pPr>
        <w:suppressAutoHyphens w:val="0"/>
        <w:jc w:val="both"/>
        <w:rPr>
          <w:rFonts w:eastAsiaTheme="minorHAnsi" w:cstheme="minorBidi"/>
          <w:bCs/>
          <w:lang w:val="en-US" w:eastAsia="en-US"/>
        </w:rPr>
      </w:pPr>
      <w:r w:rsidRPr="00F15A9D">
        <w:rPr>
          <w:rFonts w:eastAsiaTheme="minorHAnsi" w:cstheme="minorBidi"/>
          <w:bCs/>
          <w:vertAlign w:val="superscript"/>
          <w:lang w:val="en-US" w:eastAsia="en-US"/>
        </w:rPr>
        <w:t xml:space="preserve">1 </w:t>
      </w:r>
      <w:r w:rsidRPr="00F15A9D">
        <w:rPr>
          <w:rFonts w:eastAsiaTheme="minorHAnsi" w:cstheme="minorBidi"/>
          <w:iCs/>
          <w:lang w:val="en-US" w:eastAsia="en-US"/>
        </w:rPr>
        <w:t>ARTFood draft Guidance on teat dip scenario, 2016</w:t>
      </w:r>
    </w:p>
    <w:p w14:paraId="1C6AB3D9" w14:textId="77777777" w:rsidR="00A53253" w:rsidRPr="00F15A9D" w:rsidRDefault="00A53253" w:rsidP="00F15A9D">
      <w:pPr>
        <w:suppressAutoHyphens w:val="0"/>
        <w:jc w:val="both"/>
        <w:rPr>
          <w:rFonts w:eastAsiaTheme="minorHAnsi" w:cstheme="minorBidi"/>
          <w:iCs/>
          <w:lang w:val="en-US" w:eastAsia="en-US"/>
        </w:rPr>
      </w:pPr>
      <w:r w:rsidRPr="00F15A9D">
        <w:rPr>
          <w:rFonts w:eastAsiaTheme="minorHAnsi" w:cstheme="minorBidi"/>
          <w:bCs/>
          <w:vertAlign w:val="superscript"/>
          <w:lang w:val="en-US" w:eastAsia="en-US"/>
        </w:rPr>
        <w:t>2</w:t>
      </w:r>
      <w:r w:rsidRPr="00F15A9D">
        <w:rPr>
          <w:rFonts w:eastAsiaTheme="minorHAnsi" w:cstheme="minorBidi"/>
          <w:bCs/>
          <w:lang w:val="en-US" w:eastAsia="en-US"/>
        </w:rPr>
        <w:t xml:space="preserve"> </w:t>
      </w:r>
      <w:r w:rsidRPr="00F15A9D">
        <w:rPr>
          <w:rFonts w:eastAsiaTheme="minorHAnsi" w:cstheme="minorBidi"/>
          <w:iCs/>
          <w:lang w:val="en-US" w:eastAsia="en-US"/>
        </w:rPr>
        <w:t>Teat surface calculation: teat is assumed to be a cylinder of 6 cm length (lteat) and 1.2 cm radius (rteat)  teat surface (single teat) covered with teat dip: Steat = 2</w:t>
      </w:r>
      <w:r w:rsidRPr="00F15A9D">
        <w:rPr>
          <w:rFonts w:eastAsiaTheme="minorHAnsi" w:cstheme="minorBidi"/>
          <w:iCs/>
          <w:lang w:val="fr-FR" w:eastAsia="en-US"/>
        </w:rPr>
        <w:t>π</w:t>
      </w:r>
      <w:r w:rsidRPr="00F15A9D">
        <w:rPr>
          <w:rFonts w:eastAsiaTheme="minorHAnsi" w:cstheme="minorBidi"/>
          <w:iCs/>
          <w:lang w:val="en-US" w:eastAsia="en-US"/>
        </w:rPr>
        <w:t xml:space="preserve"> rteat * lteat + </w:t>
      </w:r>
      <w:r w:rsidRPr="00F15A9D">
        <w:rPr>
          <w:rFonts w:eastAsiaTheme="minorHAnsi" w:cstheme="minorBidi"/>
          <w:iCs/>
          <w:lang w:val="fr-FR" w:eastAsia="en-US"/>
        </w:rPr>
        <w:t>π</w:t>
      </w:r>
      <w:r w:rsidRPr="00F15A9D">
        <w:rPr>
          <w:rFonts w:eastAsiaTheme="minorHAnsi" w:cstheme="minorBidi"/>
          <w:iCs/>
          <w:lang w:val="en-US" w:eastAsia="en-US"/>
        </w:rPr>
        <w:t xml:space="preserve"> *rteat2 = 45.23 cm2 + 4.52 cm2 = 49.75 cm2  only substance covering the bottom of the teat will be directly transferred into the milk (estimated surface of teat end: Steat end = </w:t>
      </w:r>
      <w:r w:rsidRPr="00F15A9D">
        <w:rPr>
          <w:rFonts w:eastAsiaTheme="minorHAnsi" w:cstheme="minorBidi"/>
          <w:iCs/>
          <w:lang w:val="fr-FR" w:eastAsia="en-US"/>
        </w:rPr>
        <w:t>π</w:t>
      </w:r>
      <w:r w:rsidRPr="00F15A9D">
        <w:rPr>
          <w:rFonts w:eastAsiaTheme="minorHAnsi" w:cstheme="minorBidi"/>
          <w:iCs/>
          <w:lang w:val="en-US" w:eastAsia="en-US"/>
        </w:rPr>
        <w:t xml:space="preserve"> *rteat2 = 4.52 cm2)</w:t>
      </w:r>
    </w:p>
    <w:p w14:paraId="44824334" w14:textId="77777777" w:rsidR="00A53253" w:rsidRPr="00F15A9D" w:rsidRDefault="00A53253" w:rsidP="00F15A9D">
      <w:pPr>
        <w:suppressAutoHyphens w:val="0"/>
        <w:jc w:val="both"/>
        <w:rPr>
          <w:rFonts w:eastAsiaTheme="minorHAnsi" w:cstheme="minorBidi"/>
          <w:iCs/>
          <w:lang w:eastAsia="en-US"/>
        </w:rPr>
      </w:pPr>
      <w:r w:rsidRPr="00F15A9D">
        <w:rPr>
          <w:rFonts w:eastAsiaTheme="minorHAnsi" w:cstheme="minorBidi"/>
          <w:iCs/>
          <w:vertAlign w:val="superscript"/>
          <w:lang w:val="en-US" w:eastAsia="en-US"/>
        </w:rPr>
        <w:t>3</w:t>
      </w:r>
      <w:r w:rsidRPr="00F15A9D">
        <w:rPr>
          <w:rFonts w:eastAsiaTheme="minorHAnsi" w:cstheme="minorBidi"/>
          <w:iCs/>
          <w:lang w:val="en-US" w:eastAsia="en-US"/>
        </w:rPr>
        <w:t xml:space="preserve"> </w:t>
      </w:r>
      <w:r w:rsidRPr="00F15A9D">
        <w:rPr>
          <w:rFonts w:eastAsiaTheme="minorHAnsi" w:cstheme="minorBidi"/>
          <w:iCs/>
          <w:lang w:eastAsia="en-US"/>
        </w:rPr>
        <w:t xml:space="preserve"> Default dermal absorption value of 50% for dilutions water-based coming from Guidance on dermal absorption, EFSA, 2017.</w:t>
      </w:r>
    </w:p>
    <w:p w14:paraId="545904A5" w14:textId="77777777" w:rsidR="00A53253" w:rsidRPr="00F15A9D" w:rsidRDefault="00A53253" w:rsidP="00F15A9D">
      <w:pPr>
        <w:suppressAutoHyphens w:val="0"/>
        <w:jc w:val="both"/>
        <w:rPr>
          <w:rFonts w:eastAsiaTheme="minorHAnsi" w:cstheme="minorBidi"/>
          <w:lang w:val="en-US" w:eastAsia="en-US"/>
        </w:rPr>
      </w:pPr>
    </w:p>
    <w:p w14:paraId="76141736" w14:textId="77777777" w:rsidR="00A53253" w:rsidRPr="00F15A9D" w:rsidRDefault="00A53253" w:rsidP="00F15A9D">
      <w:pPr>
        <w:suppressAutoHyphens w:val="0"/>
        <w:jc w:val="both"/>
        <w:rPr>
          <w:rFonts w:eastAsiaTheme="minorHAnsi" w:cstheme="minorBidi"/>
          <w:i/>
          <w:u w:val="single"/>
          <w:lang w:val="en-US" w:eastAsia="en-US"/>
        </w:rPr>
      </w:pPr>
    </w:p>
    <w:p w14:paraId="7BCB7AAF" w14:textId="77777777" w:rsidR="00A53253" w:rsidRPr="00F15A9D" w:rsidRDefault="00A53253" w:rsidP="00F15A9D">
      <w:pPr>
        <w:suppressAutoHyphens w:val="0"/>
        <w:jc w:val="both"/>
        <w:rPr>
          <w:rFonts w:eastAsiaTheme="minorHAnsi" w:cstheme="minorBidi"/>
          <w:i/>
          <w:u w:val="single"/>
          <w:lang w:val="en-US" w:eastAsia="en-US"/>
        </w:rPr>
      </w:pPr>
      <w:r w:rsidRPr="00F15A9D">
        <w:rPr>
          <w:rFonts w:eastAsiaTheme="minorHAnsi" w:cstheme="minorBidi"/>
          <w:i/>
          <w:u w:val="single"/>
          <w:lang w:val="en-US" w:eastAsia="en-US"/>
        </w:rPr>
        <w:t>Calculations for estimating livestock exposure (concentration of iodine in milk) for Scenario 1:</w:t>
      </w:r>
    </w:p>
    <w:p w14:paraId="482E8662" w14:textId="77777777" w:rsidR="00A53253" w:rsidRPr="00F15A9D" w:rsidRDefault="00A53253" w:rsidP="00F15A9D">
      <w:pPr>
        <w:suppressAutoHyphens w:val="0"/>
        <w:jc w:val="both"/>
        <w:rPr>
          <w:rFonts w:eastAsiaTheme="minorHAnsi" w:cstheme="minorBidi"/>
          <w:b/>
          <w:u w:val="single"/>
          <w:lang w:val="en-US" w:eastAsia="en-US"/>
        </w:rPr>
      </w:pPr>
    </w:p>
    <w:p w14:paraId="3BE62C5A"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i/>
          <w:u w:val="single"/>
          <w:lang w:val="en-US" w:eastAsia="en-US"/>
        </w:rPr>
        <w:t>For Tier 1</w:t>
      </w:r>
      <w:r w:rsidRPr="00F15A9D">
        <w:rPr>
          <w:rFonts w:eastAsiaTheme="minorHAnsi" w:cstheme="minorBidi"/>
          <w:lang w:val="en-US" w:eastAsia="en-US"/>
        </w:rPr>
        <w:t xml:space="preserve"> (screening), concentration of iodine in milk was estimated with the following calculation:</w:t>
      </w:r>
    </w:p>
    <w:p w14:paraId="08404EDE" w14:textId="77777777" w:rsidR="00A53253" w:rsidRPr="00F15A9D" w:rsidRDefault="00A53253" w:rsidP="00F15A9D">
      <w:pPr>
        <w:suppressAutoHyphens w:val="0"/>
        <w:jc w:val="both"/>
        <w:rPr>
          <w:rFonts w:eastAsiaTheme="minorHAnsi" w:cstheme="minorBidi"/>
          <w:lang w:val="de-DE" w:eastAsia="en-US"/>
        </w:rPr>
      </w:pPr>
    </w:p>
    <w:p w14:paraId="261E49C8" w14:textId="77777777" w:rsidR="00A53253" w:rsidRPr="00F15A9D" w:rsidRDefault="00A53253" w:rsidP="00F15A9D">
      <w:pPr>
        <w:pBdr>
          <w:top w:val="single" w:sz="4" w:space="1" w:color="auto"/>
          <w:left w:val="single" w:sz="4" w:space="4" w:color="auto"/>
          <w:bottom w:val="single" w:sz="4" w:space="1" w:color="auto"/>
          <w:right w:val="single" w:sz="4" w:space="4" w:color="auto"/>
        </w:pBdr>
        <w:suppressAutoHyphens w:val="0"/>
        <w:jc w:val="both"/>
        <w:rPr>
          <w:rFonts w:eastAsiaTheme="minorHAnsi" w:cstheme="minorBidi"/>
          <w:lang w:val="en-US" w:eastAsia="en-US"/>
        </w:rPr>
      </w:pPr>
      <w:r w:rsidRPr="00F15A9D">
        <w:rPr>
          <w:rFonts w:eastAsiaTheme="minorHAnsi" w:cstheme="minorBidi"/>
          <w:lang w:val="de-DE" w:eastAsia="en-US"/>
        </w:rPr>
        <w:t xml:space="preserve">Concentration </w:t>
      </w:r>
      <w:r w:rsidRPr="00F15A9D">
        <w:rPr>
          <w:rFonts w:eastAsiaTheme="minorHAnsi" w:cstheme="minorBidi"/>
          <w:vertAlign w:val="subscript"/>
          <w:lang w:val="de-DE" w:eastAsia="en-US"/>
        </w:rPr>
        <w:t>a.s. in milk</w:t>
      </w:r>
      <w:r w:rsidRPr="00F15A9D">
        <w:rPr>
          <w:rFonts w:eastAsiaTheme="minorHAnsi" w:cstheme="minorBidi"/>
          <w:lang w:val="de-DE" w:eastAsia="en-US"/>
        </w:rPr>
        <w:t xml:space="preserve"> = n</w:t>
      </w:r>
      <w:r w:rsidRPr="00F15A9D">
        <w:rPr>
          <w:rFonts w:eastAsiaTheme="minorHAnsi" w:cstheme="minorBidi"/>
          <w:vertAlign w:val="subscript"/>
          <w:lang w:val="de-DE" w:eastAsia="en-US"/>
        </w:rPr>
        <w:t>daily</w:t>
      </w:r>
      <w:r w:rsidRPr="00F15A9D">
        <w:rPr>
          <w:rFonts w:eastAsiaTheme="minorHAnsi" w:cstheme="minorBidi"/>
          <w:lang w:val="de-DE" w:eastAsia="en-US"/>
        </w:rPr>
        <w:t xml:space="preserve"> </w:t>
      </w:r>
      <w:r w:rsidRPr="00F15A9D">
        <w:rPr>
          <w:rFonts w:eastAsiaTheme="minorHAnsi" w:cstheme="minorBidi"/>
          <w:vertAlign w:val="subscript"/>
          <w:lang w:val="de-DE" w:eastAsia="en-US"/>
        </w:rPr>
        <w:t>milking</w:t>
      </w:r>
      <w:r w:rsidRPr="00F15A9D">
        <w:rPr>
          <w:rFonts w:eastAsiaTheme="minorHAnsi" w:cstheme="minorBidi"/>
          <w:lang w:val="de-DE" w:eastAsia="en-US"/>
        </w:rPr>
        <w:t xml:space="preserve"> x (c </w:t>
      </w:r>
      <w:r w:rsidRPr="00F15A9D">
        <w:rPr>
          <w:rFonts w:eastAsiaTheme="minorHAnsi" w:cstheme="minorBidi"/>
          <w:vertAlign w:val="subscript"/>
          <w:lang w:val="de-DE" w:eastAsia="en-US"/>
        </w:rPr>
        <w:t>a.s. in biocidal product</w:t>
      </w:r>
      <w:r w:rsidRPr="00F15A9D">
        <w:rPr>
          <w:rFonts w:eastAsiaTheme="minorHAnsi" w:cstheme="minorBidi"/>
          <w:lang w:val="de-DE" w:eastAsia="en-US"/>
        </w:rPr>
        <w:t xml:space="preserve"> x V</w:t>
      </w:r>
      <w:r w:rsidRPr="00F15A9D">
        <w:rPr>
          <w:rFonts w:eastAsiaTheme="minorHAnsi" w:cstheme="minorBidi"/>
          <w:vertAlign w:val="subscript"/>
          <w:lang w:val="de-DE" w:eastAsia="en-US"/>
        </w:rPr>
        <w:t>applied</w:t>
      </w:r>
      <w:r w:rsidRPr="00F15A9D">
        <w:rPr>
          <w:rFonts w:eastAsiaTheme="minorHAnsi" w:cstheme="minorBidi"/>
          <w:lang w:val="de-DE" w:eastAsia="en-US"/>
        </w:rPr>
        <w:t>) ÷ V</w:t>
      </w:r>
      <w:r w:rsidRPr="00F15A9D">
        <w:rPr>
          <w:rFonts w:eastAsiaTheme="minorHAnsi" w:cstheme="minorBidi"/>
          <w:vertAlign w:val="subscript"/>
          <w:lang w:val="de-DE" w:eastAsia="en-US"/>
        </w:rPr>
        <w:t>milk yield</w:t>
      </w:r>
    </w:p>
    <w:p w14:paraId="73013ACC" w14:textId="77777777" w:rsidR="00A53253" w:rsidRPr="00F15A9D" w:rsidRDefault="00A53253" w:rsidP="00F15A9D">
      <w:pPr>
        <w:suppressAutoHyphens w:val="0"/>
        <w:jc w:val="both"/>
        <w:rPr>
          <w:rFonts w:eastAsiaTheme="minorHAnsi" w:cstheme="minorBidi"/>
          <w:lang w:val="en-US" w:eastAsia="en-US"/>
        </w:rPr>
      </w:pPr>
    </w:p>
    <w:p w14:paraId="11398658"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lang w:val="en-US" w:eastAsia="en-US"/>
        </w:rPr>
        <w:t>In tier 1, it is considered that the entire amount of the product applied on the teats is directly transferred into milk (assuming 0% dermal absorption and 0% degradation of the active substance).</w:t>
      </w:r>
    </w:p>
    <w:p w14:paraId="66E3968A" w14:textId="77777777" w:rsidR="00A53253" w:rsidRPr="00F15A9D" w:rsidRDefault="00A53253" w:rsidP="00F15A9D">
      <w:pPr>
        <w:suppressAutoHyphens w:val="0"/>
        <w:jc w:val="both"/>
        <w:rPr>
          <w:rFonts w:eastAsiaTheme="minorHAnsi" w:cstheme="minorBidi"/>
          <w:lang w:val="en-US" w:eastAsia="en-US"/>
        </w:rPr>
      </w:pPr>
    </w:p>
    <w:p w14:paraId="44130B4B" w14:textId="77777777" w:rsidR="00A53253" w:rsidRPr="00F15A9D" w:rsidRDefault="00A53253" w:rsidP="00F15A9D">
      <w:pPr>
        <w:suppressAutoHyphens w:val="0"/>
        <w:spacing w:after="200" w:line="276" w:lineRule="auto"/>
        <w:jc w:val="both"/>
        <w:rPr>
          <w:rFonts w:eastAsiaTheme="minorHAnsi" w:cstheme="minorBidi"/>
          <w:lang w:eastAsia="en-US"/>
        </w:rPr>
      </w:pPr>
      <w:r w:rsidRPr="00F15A9D">
        <w:rPr>
          <w:rFonts w:eastAsiaTheme="minorHAnsi" w:cstheme="minorBidi"/>
          <w:lang w:eastAsia="en-US"/>
        </w:rPr>
        <w:t xml:space="preserve">concentration </w:t>
      </w:r>
      <w:r w:rsidRPr="00F15A9D">
        <w:rPr>
          <w:rFonts w:eastAsiaTheme="minorHAnsi" w:cstheme="minorBidi"/>
          <w:vertAlign w:val="subscript"/>
          <w:lang w:eastAsia="en-US"/>
        </w:rPr>
        <w:t>a.s. in milk</w:t>
      </w:r>
      <w:r w:rsidRPr="00F15A9D">
        <w:rPr>
          <w:rFonts w:eastAsiaTheme="minorHAnsi" w:cstheme="minorBidi"/>
          <w:lang w:eastAsia="en-US"/>
        </w:rPr>
        <w:t xml:space="preserve"> = 2 x (0.222/100x8)/20</w:t>
      </w:r>
    </w:p>
    <w:p w14:paraId="29A509F3" w14:textId="77777777" w:rsidR="00A53253" w:rsidRPr="00F15A9D" w:rsidRDefault="00A53253" w:rsidP="00F15A9D">
      <w:pPr>
        <w:suppressAutoHyphens w:val="0"/>
        <w:spacing w:after="200" w:line="276" w:lineRule="auto"/>
        <w:jc w:val="both"/>
        <w:rPr>
          <w:rFonts w:eastAsiaTheme="minorHAnsi" w:cstheme="minorBidi"/>
          <w:lang w:eastAsia="en-US"/>
        </w:rPr>
      </w:pPr>
      <w:r w:rsidRPr="00F15A9D">
        <w:rPr>
          <w:rFonts w:eastAsiaTheme="minorHAnsi" w:cstheme="minorBidi"/>
          <w:lang w:eastAsia="en-US"/>
        </w:rPr>
        <w:tab/>
        <w:t xml:space="preserve">     = 0.00178 g/ L = 1.78 mg of iodine/ L of milk</w:t>
      </w:r>
    </w:p>
    <w:p w14:paraId="3B7B709E" w14:textId="77777777" w:rsidR="00A53253" w:rsidRPr="00F15A9D" w:rsidRDefault="00A53253" w:rsidP="00F15A9D">
      <w:pPr>
        <w:suppressAutoHyphens w:val="0"/>
        <w:jc w:val="both"/>
        <w:rPr>
          <w:rFonts w:eastAsiaTheme="minorHAnsi" w:cstheme="minorBidi"/>
          <w:lang w:eastAsia="en-US"/>
        </w:rPr>
      </w:pPr>
    </w:p>
    <w:p w14:paraId="099C1FDD"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i/>
          <w:u w:val="single"/>
          <w:lang w:val="en-US" w:eastAsia="en-US"/>
        </w:rPr>
        <w:lastRenderedPageBreak/>
        <w:t>For Tier 2,</w:t>
      </w:r>
      <w:r w:rsidRPr="00F15A9D">
        <w:rPr>
          <w:rFonts w:eastAsiaTheme="minorHAnsi" w:cstheme="minorBidi"/>
          <w:lang w:val="en-US" w:eastAsia="en-US"/>
        </w:rPr>
        <w:t xml:space="preserve"> it is assumed that only the product covering the bottom of the teat will be transferred directly into the milk. Considering the surface of teat end, it has been estimated that 10%</w:t>
      </w:r>
      <w:r w:rsidRPr="00F15A9D">
        <w:rPr>
          <w:rFonts w:eastAsiaTheme="minorHAnsi" w:cstheme="minorBidi"/>
          <w:vertAlign w:val="superscript"/>
          <w:lang w:val="fr-FR" w:eastAsia="en-US"/>
        </w:rPr>
        <w:footnoteReference w:id="9"/>
      </w:r>
      <w:r w:rsidRPr="00F15A9D">
        <w:rPr>
          <w:rFonts w:eastAsiaTheme="minorHAnsi" w:cstheme="minorBidi"/>
          <w:lang w:val="en-US" w:eastAsia="en-US"/>
        </w:rPr>
        <w:t xml:space="preserve"> of the volume of the applied product is transferred directly into the milk whereas the other 90 % are considered to be transferred indirectly into milk via dermal absorption. It is assumed that the amount absorbed is excreted entirely in milk (as a worst case). Concentration in milk was estimated with the following calculation: </w:t>
      </w:r>
    </w:p>
    <w:p w14:paraId="457F192F" w14:textId="77777777" w:rsidR="00A53253" w:rsidRPr="00F15A9D" w:rsidRDefault="00A53253" w:rsidP="00F15A9D">
      <w:pPr>
        <w:suppressAutoHyphens w:val="0"/>
        <w:jc w:val="both"/>
        <w:rPr>
          <w:rFonts w:eastAsiaTheme="minorHAnsi" w:cstheme="minorBidi"/>
          <w:lang w:val="en-US" w:eastAsia="en-US"/>
        </w:rPr>
      </w:pPr>
    </w:p>
    <w:p w14:paraId="37F5E6E2" w14:textId="77777777" w:rsidR="00A53253" w:rsidRPr="00F15A9D" w:rsidRDefault="00A53253" w:rsidP="00F15A9D">
      <w:pPr>
        <w:pBdr>
          <w:top w:val="single" w:sz="4" w:space="1" w:color="auto"/>
          <w:left w:val="single" w:sz="4" w:space="4" w:color="auto"/>
          <w:bottom w:val="single" w:sz="4" w:space="1" w:color="auto"/>
          <w:right w:val="single" w:sz="4" w:space="4" w:color="auto"/>
        </w:pBdr>
        <w:suppressAutoHyphens w:val="0"/>
        <w:jc w:val="both"/>
        <w:rPr>
          <w:rFonts w:eastAsiaTheme="minorHAnsi" w:cstheme="minorBidi"/>
          <w:u w:val="single"/>
          <w:lang w:val="en-US" w:eastAsia="en-US"/>
        </w:rPr>
      </w:pPr>
      <w:r w:rsidRPr="00F15A9D">
        <w:rPr>
          <w:rFonts w:eastAsiaTheme="minorHAnsi" w:cstheme="minorBidi"/>
          <w:lang w:val="en-US" w:eastAsia="en-US"/>
        </w:rPr>
        <w:t xml:space="preserve">Concentration </w:t>
      </w:r>
      <w:r w:rsidRPr="00F15A9D">
        <w:rPr>
          <w:rFonts w:eastAsiaTheme="minorHAnsi" w:cstheme="minorBidi"/>
          <w:vertAlign w:val="subscript"/>
          <w:lang w:val="en-US" w:eastAsia="en-US"/>
        </w:rPr>
        <w:t>a.s.</w:t>
      </w:r>
      <w:r w:rsidRPr="00F15A9D">
        <w:rPr>
          <w:rFonts w:eastAsiaTheme="minorHAnsi" w:cstheme="minorBidi"/>
          <w:lang w:val="en-US" w:eastAsia="en-US"/>
        </w:rPr>
        <w:t xml:space="preserve"> </w:t>
      </w:r>
      <w:r w:rsidRPr="00F15A9D">
        <w:rPr>
          <w:rFonts w:eastAsiaTheme="minorHAnsi" w:cstheme="minorBidi"/>
          <w:vertAlign w:val="subscript"/>
          <w:lang w:val="en-US" w:eastAsia="en-US"/>
        </w:rPr>
        <w:t>in milk</w:t>
      </w:r>
      <w:r w:rsidRPr="00F15A9D" w:rsidDel="00E66FFA">
        <w:rPr>
          <w:rFonts w:eastAsiaTheme="minorHAnsi" w:cstheme="minorBidi"/>
          <w:lang w:val="en-US" w:eastAsia="en-US"/>
        </w:rPr>
        <w:t xml:space="preserve"> </w:t>
      </w:r>
      <w:r w:rsidRPr="00F15A9D">
        <w:rPr>
          <w:rFonts w:eastAsiaTheme="minorHAnsi" w:cstheme="minorBidi"/>
          <w:lang w:val="en-US" w:eastAsia="en-US"/>
        </w:rPr>
        <w:t>= {[10% (n</w:t>
      </w:r>
      <w:r w:rsidRPr="00F15A9D">
        <w:rPr>
          <w:rFonts w:eastAsiaTheme="minorHAnsi" w:cstheme="minorBidi"/>
          <w:vertAlign w:val="subscript"/>
          <w:lang w:val="en-US" w:eastAsia="en-US"/>
        </w:rPr>
        <w:t>daily milking</w:t>
      </w:r>
      <w:r w:rsidRPr="00F15A9D">
        <w:rPr>
          <w:rFonts w:eastAsiaTheme="minorHAnsi" w:cstheme="minorBidi"/>
          <w:lang w:val="en-US" w:eastAsia="en-US"/>
        </w:rPr>
        <w:t xml:space="preserve"> x (c </w:t>
      </w:r>
      <w:r w:rsidRPr="00F15A9D">
        <w:rPr>
          <w:rFonts w:eastAsiaTheme="minorHAnsi" w:cstheme="minorBidi"/>
          <w:vertAlign w:val="subscript"/>
          <w:lang w:val="en-US" w:eastAsia="en-US"/>
        </w:rPr>
        <w:t>a.s. in biocidal prod</w:t>
      </w:r>
      <w:r w:rsidRPr="00F15A9D">
        <w:rPr>
          <w:rFonts w:eastAsiaTheme="minorHAnsi" w:cstheme="minorBidi"/>
          <w:lang w:val="en-US" w:eastAsia="en-US"/>
        </w:rPr>
        <w:t xml:space="preserve"> x V</w:t>
      </w:r>
      <w:r w:rsidRPr="00F15A9D">
        <w:rPr>
          <w:rFonts w:eastAsiaTheme="minorHAnsi" w:cstheme="minorBidi"/>
          <w:vertAlign w:val="subscript"/>
          <w:lang w:val="en-US" w:eastAsia="en-US"/>
        </w:rPr>
        <w:t>applied</w:t>
      </w:r>
      <w:r w:rsidRPr="00F15A9D">
        <w:rPr>
          <w:rFonts w:eastAsiaTheme="minorHAnsi" w:cstheme="minorBidi"/>
          <w:lang w:val="en-US" w:eastAsia="en-US"/>
        </w:rPr>
        <w:t>)] + [90% (n</w:t>
      </w:r>
      <w:r w:rsidRPr="00F15A9D">
        <w:rPr>
          <w:rFonts w:eastAsiaTheme="minorHAnsi" w:cstheme="minorBidi"/>
          <w:vertAlign w:val="subscript"/>
          <w:lang w:val="en-US" w:eastAsia="en-US"/>
        </w:rPr>
        <w:t>daily milking</w:t>
      </w:r>
      <w:r w:rsidRPr="00F15A9D">
        <w:rPr>
          <w:rFonts w:eastAsiaTheme="minorHAnsi" w:cstheme="minorBidi"/>
          <w:lang w:val="en-US" w:eastAsia="en-US"/>
        </w:rPr>
        <w:t xml:space="preserve"> x (c </w:t>
      </w:r>
      <w:r w:rsidRPr="00F15A9D">
        <w:rPr>
          <w:rFonts w:eastAsiaTheme="minorHAnsi" w:cstheme="minorBidi"/>
          <w:vertAlign w:val="subscript"/>
          <w:lang w:val="en-US" w:eastAsia="en-US"/>
        </w:rPr>
        <w:t>a.s. in biocidal prod</w:t>
      </w:r>
      <w:r w:rsidRPr="00F15A9D">
        <w:rPr>
          <w:rFonts w:eastAsiaTheme="minorHAnsi" w:cstheme="minorBidi"/>
          <w:lang w:val="en-US" w:eastAsia="en-US"/>
        </w:rPr>
        <w:t xml:space="preserve"> x V</w:t>
      </w:r>
      <w:r w:rsidRPr="00F15A9D">
        <w:rPr>
          <w:rFonts w:eastAsiaTheme="minorHAnsi" w:cstheme="minorBidi"/>
          <w:vertAlign w:val="subscript"/>
          <w:lang w:val="en-US" w:eastAsia="en-US"/>
        </w:rPr>
        <w:t>applied</w:t>
      </w:r>
      <w:r w:rsidRPr="00F15A9D">
        <w:rPr>
          <w:rFonts w:eastAsiaTheme="minorHAnsi" w:cstheme="minorBidi"/>
          <w:lang w:val="en-US" w:eastAsia="en-US"/>
        </w:rPr>
        <w:t>)xdermal absorption] } ÷V</w:t>
      </w:r>
      <w:r w:rsidRPr="00F15A9D">
        <w:rPr>
          <w:rFonts w:eastAsiaTheme="minorHAnsi" w:cstheme="minorBidi"/>
          <w:vertAlign w:val="subscript"/>
          <w:lang w:val="en-US" w:eastAsia="en-US"/>
        </w:rPr>
        <w:t>milk yield</w:t>
      </w:r>
    </w:p>
    <w:p w14:paraId="6FA73887" w14:textId="77777777" w:rsidR="00A53253" w:rsidRPr="00F15A9D" w:rsidRDefault="00A53253" w:rsidP="00F15A9D">
      <w:pPr>
        <w:suppressAutoHyphens w:val="0"/>
        <w:jc w:val="both"/>
        <w:rPr>
          <w:rFonts w:eastAsiaTheme="minorHAnsi" w:cstheme="minorBidi"/>
          <w:lang w:val="en-US" w:eastAsia="en-US"/>
        </w:rPr>
      </w:pPr>
    </w:p>
    <w:p w14:paraId="7D30775E" w14:textId="77777777" w:rsidR="00A53253" w:rsidRPr="00F15A9D" w:rsidRDefault="00A53253" w:rsidP="00F15A9D">
      <w:pPr>
        <w:suppressAutoHyphens w:val="0"/>
        <w:jc w:val="both"/>
        <w:rPr>
          <w:rFonts w:eastAsiaTheme="minorHAnsi" w:cstheme="minorBidi"/>
          <w:lang w:val="en-US" w:eastAsia="en-US"/>
        </w:rPr>
      </w:pPr>
    </w:p>
    <w:p w14:paraId="476059BE" w14:textId="77777777" w:rsidR="00A53253" w:rsidRPr="00F15A9D" w:rsidRDefault="00A53253" w:rsidP="00F15A9D">
      <w:pPr>
        <w:suppressAutoHyphens w:val="0"/>
        <w:spacing w:after="200" w:line="276" w:lineRule="auto"/>
        <w:jc w:val="both"/>
        <w:rPr>
          <w:rFonts w:eastAsiaTheme="minorHAnsi" w:cstheme="minorBidi"/>
          <w:lang w:val="de-DE" w:eastAsia="en-US"/>
        </w:rPr>
      </w:pPr>
      <w:r w:rsidRPr="00F15A9D">
        <w:rPr>
          <w:rFonts w:eastAsiaTheme="minorHAnsi" w:cstheme="minorBidi"/>
          <w:lang w:eastAsia="en-US"/>
        </w:rPr>
        <w:t xml:space="preserve">Concentration </w:t>
      </w:r>
      <w:r w:rsidRPr="00F15A9D">
        <w:rPr>
          <w:rFonts w:eastAsiaTheme="minorHAnsi" w:cstheme="minorBidi"/>
          <w:vertAlign w:val="subscript"/>
          <w:lang w:eastAsia="en-US"/>
        </w:rPr>
        <w:t>a.s. in milk</w:t>
      </w:r>
      <w:r w:rsidRPr="00F15A9D">
        <w:rPr>
          <w:rFonts w:eastAsiaTheme="minorHAnsi" w:cstheme="minorBidi"/>
          <w:lang w:eastAsia="en-US"/>
        </w:rPr>
        <w:t xml:space="preserve"> = </w:t>
      </w:r>
      <w:r w:rsidRPr="00F15A9D">
        <w:rPr>
          <w:rFonts w:eastAsiaTheme="minorHAnsi" w:cstheme="minorBidi"/>
          <w:lang w:val="de-DE" w:eastAsia="en-US"/>
        </w:rPr>
        <w:t>{[10% x 2 x (0.222/100x8)] +[90% x 2 x (0.222/100x8) x 50%]} / 20 L</w:t>
      </w:r>
    </w:p>
    <w:p w14:paraId="565FACF5" w14:textId="77777777" w:rsidR="00A53253" w:rsidRPr="00F15A9D" w:rsidRDefault="00A53253" w:rsidP="00F15A9D">
      <w:pPr>
        <w:suppressAutoHyphens w:val="0"/>
        <w:spacing w:after="200" w:line="276" w:lineRule="auto"/>
        <w:jc w:val="both"/>
        <w:rPr>
          <w:rFonts w:eastAsiaTheme="minorHAnsi" w:cstheme="minorBidi"/>
          <w:lang w:eastAsia="en-US"/>
        </w:rPr>
      </w:pPr>
      <w:r w:rsidRPr="00F15A9D">
        <w:rPr>
          <w:rFonts w:eastAsiaTheme="minorHAnsi" w:cstheme="minorBidi"/>
          <w:lang w:eastAsia="en-US"/>
        </w:rPr>
        <w:tab/>
        <w:t xml:space="preserve">     = 0.000977 g of iodine/pL of milk = 0.977 mg of iodine/L of milk</w:t>
      </w:r>
    </w:p>
    <w:p w14:paraId="2F7B122A" w14:textId="77777777" w:rsidR="00A53253" w:rsidRPr="00F15A9D" w:rsidRDefault="00A53253" w:rsidP="00F15A9D">
      <w:pPr>
        <w:suppressAutoHyphens w:val="0"/>
        <w:jc w:val="both"/>
        <w:rPr>
          <w:rFonts w:eastAsiaTheme="minorHAnsi" w:cstheme="minorBidi"/>
          <w:lang w:eastAsia="en-US"/>
        </w:rPr>
      </w:pPr>
    </w:p>
    <w:p w14:paraId="1F74A2F6" w14:textId="77777777" w:rsidR="00A53253" w:rsidRPr="00F15A9D" w:rsidRDefault="00A53253" w:rsidP="00F15A9D">
      <w:pPr>
        <w:suppressAutoHyphens w:val="0"/>
        <w:jc w:val="both"/>
        <w:rPr>
          <w:rFonts w:eastAsiaTheme="minorHAnsi" w:cstheme="minorBidi"/>
          <w:i/>
          <w:u w:val="single"/>
          <w:lang w:val="en-US" w:eastAsia="en-US"/>
        </w:rPr>
      </w:pPr>
      <w:r w:rsidRPr="00F15A9D">
        <w:rPr>
          <w:rFonts w:eastAsiaTheme="minorHAnsi" w:cstheme="minorBidi"/>
          <w:i/>
          <w:u w:val="single"/>
          <w:lang w:val="en-US" w:eastAsia="en-US"/>
        </w:rPr>
        <w:t>Conclusion:</w:t>
      </w:r>
    </w:p>
    <w:p w14:paraId="589C78B4" w14:textId="085674E4"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lang w:val="en-US" w:eastAsia="en-US"/>
        </w:rPr>
        <w:t xml:space="preserve">The calculations are performed considering a worst case situation of 10% of the applied iodine dose transferred directly in milk and 90% of the applied iodine dose transferred indirectly into milk via dermal absorption. Furthermore, in the absence of data, no wiping factor was taken into account. Regarding monitoring and available </w:t>
      </w:r>
      <w:r w:rsidR="00354826" w:rsidRPr="00F15A9D">
        <w:rPr>
          <w:rFonts w:eastAsiaTheme="minorHAnsi" w:cstheme="minorBidi"/>
          <w:lang w:val="en-US" w:eastAsia="en-US"/>
        </w:rPr>
        <w:t>knowledge</w:t>
      </w:r>
      <w:r w:rsidRPr="00F15A9D">
        <w:rPr>
          <w:rFonts w:eastAsiaTheme="minorHAnsi" w:cstheme="minorBidi"/>
          <w:lang w:val="en-US" w:eastAsia="en-US"/>
        </w:rPr>
        <w:t xml:space="preserve"> on iodine uses, an increase of iodine in milk due to the teat dip biocidal uses is expected to range from 0.05 to 0.174 mg/L (ref iodine CAR). So the calculation presented in framework of this dossier is expected to overestimate the iodine exposure, and the level of contamination in milk.</w:t>
      </w:r>
    </w:p>
    <w:p w14:paraId="05CF7A38" w14:textId="77777777" w:rsidR="00A53253" w:rsidRPr="00F15A9D" w:rsidRDefault="00A53253" w:rsidP="00F15A9D">
      <w:pPr>
        <w:suppressAutoHyphens w:val="0"/>
        <w:jc w:val="both"/>
        <w:rPr>
          <w:rFonts w:eastAsiaTheme="minorHAnsi" w:cstheme="minorBidi"/>
          <w:lang w:val="en-US" w:eastAsia="en-US"/>
        </w:rPr>
      </w:pPr>
    </w:p>
    <w:p w14:paraId="03906E3F"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lang w:val="en-US" w:eastAsia="en-US"/>
        </w:rPr>
        <w:t xml:space="preserve">It can be noted that it is a conservative approach that might overestimate the human dietary exposure. </w:t>
      </w:r>
    </w:p>
    <w:p w14:paraId="56E20754" w14:textId="77777777" w:rsidR="00A53253" w:rsidRPr="00F15A9D" w:rsidRDefault="00A53253" w:rsidP="00F15A9D">
      <w:pPr>
        <w:tabs>
          <w:tab w:val="center" w:pos="4153"/>
          <w:tab w:val="right" w:pos="8306"/>
        </w:tabs>
        <w:suppressAutoHyphens w:val="0"/>
        <w:jc w:val="both"/>
        <w:rPr>
          <w:rFonts w:eastAsiaTheme="minorHAnsi" w:cstheme="minorBidi"/>
          <w:lang w:val="en-US" w:eastAsia="en-US"/>
        </w:rPr>
      </w:pPr>
    </w:p>
    <w:p w14:paraId="3840144E" w14:textId="77777777" w:rsidR="00A53253" w:rsidRPr="00F15A9D" w:rsidRDefault="00A53253" w:rsidP="00F15A9D">
      <w:pPr>
        <w:tabs>
          <w:tab w:val="center" w:pos="4153"/>
          <w:tab w:val="right" w:pos="8306"/>
        </w:tabs>
        <w:suppressAutoHyphens w:val="0"/>
        <w:jc w:val="both"/>
        <w:rPr>
          <w:rFonts w:eastAsiaTheme="minorHAnsi" w:cstheme="minorBidi"/>
          <w:lang w:val="en-US" w:eastAsia="en-US"/>
        </w:rPr>
      </w:pPr>
    </w:p>
    <w:p w14:paraId="0D57D8AB" w14:textId="77777777" w:rsidR="00A53253" w:rsidRPr="00F15A9D" w:rsidRDefault="00A53253" w:rsidP="00F15A9D">
      <w:pPr>
        <w:tabs>
          <w:tab w:val="center" w:pos="4153"/>
          <w:tab w:val="right" w:pos="8306"/>
        </w:tabs>
        <w:suppressAutoHyphens w:val="0"/>
        <w:jc w:val="both"/>
        <w:rPr>
          <w:rFonts w:eastAsiaTheme="minorHAnsi" w:cstheme="minorBidi"/>
          <w:lang w:val="en-US" w:eastAsia="en-US"/>
        </w:rPr>
      </w:pPr>
      <w:r w:rsidRPr="00F15A9D">
        <w:rPr>
          <w:rFonts w:eastAsiaTheme="minorHAnsi" w:cstheme="minorBidi"/>
          <w:lang w:val="en-US" w:eastAsia="en-US"/>
        </w:rPr>
        <w:t>First, consumer exposure for adult was estimated using EU consumption values for food of animal origin (Consumer standard food basket)</w:t>
      </w:r>
      <w:r w:rsidRPr="00F15A9D">
        <w:rPr>
          <w:rFonts w:eastAsiaTheme="minorHAnsi" w:cstheme="minorBidi"/>
          <w:vertAlign w:val="superscript"/>
          <w:lang w:val="fr-FR" w:eastAsia="en-US"/>
        </w:rPr>
        <w:footnoteReference w:id="10"/>
      </w:r>
      <w:r w:rsidRPr="00F15A9D">
        <w:rPr>
          <w:rFonts w:eastAsiaTheme="minorHAnsi" w:cstheme="minorBidi"/>
          <w:lang w:val="en-US" w:eastAsia="en-US"/>
        </w:rPr>
        <w:t>. It is assumed that the average person consumes 1.5 L of milk per day for an adult of 60 kg bw.</w:t>
      </w:r>
    </w:p>
    <w:p w14:paraId="7E1FD3E9" w14:textId="77777777" w:rsidR="00A53253" w:rsidRPr="00F15A9D" w:rsidRDefault="00A53253" w:rsidP="00F15A9D">
      <w:pPr>
        <w:suppressAutoHyphens w:val="0"/>
        <w:jc w:val="both"/>
        <w:rPr>
          <w:rFonts w:eastAsiaTheme="minorHAnsi" w:cstheme="minorBidi"/>
          <w:lang w:val="en-US" w:eastAsia="en-US"/>
        </w:rPr>
      </w:pPr>
    </w:p>
    <w:p w14:paraId="26118FE7" w14:textId="77777777" w:rsidR="00A53253" w:rsidRPr="00F15A9D" w:rsidRDefault="00A53253" w:rsidP="00F15A9D">
      <w:pPr>
        <w:suppressAutoHyphens w:val="0"/>
        <w:jc w:val="both"/>
        <w:rPr>
          <w:rFonts w:eastAsiaTheme="minorHAnsi" w:cstheme="minorBidi"/>
          <w:lang w:val="sv-SE" w:eastAsia="en-US"/>
        </w:rPr>
      </w:pPr>
      <w:r w:rsidRPr="00F15A9D">
        <w:rPr>
          <w:rFonts w:eastAsiaTheme="minorHAnsi" w:cstheme="minorBidi"/>
          <w:bCs/>
          <w:lang w:val="en-US" w:eastAsia="en-US"/>
        </w:rPr>
        <w:t>No value of milk consumption is available in EMA food basket for children, infants and toddlers, thus, values from the EFSA comprehensive European Food Consumption Database</w:t>
      </w:r>
      <w:r w:rsidRPr="00F15A9D">
        <w:rPr>
          <w:rFonts w:eastAsiaTheme="minorHAnsi" w:cstheme="minorBidi"/>
          <w:bCs/>
          <w:vertAlign w:val="superscript"/>
          <w:lang w:val="fr-FR" w:eastAsia="en-US"/>
        </w:rPr>
        <w:footnoteReference w:id="11"/>
      </w:r>
      <w:r w:rsidRPr="00F15A9D">
        <w:rPr>
          <w:rFonts w:eastAsiaTheme="minorHAnsi" w:cstheme="minorBidi"/>
          <w:bCs/>
          <w:lang w:val="en-US" w:eastAsia="en-US"/>
        </w:rPr>
        <w:t xml:space="preserve"> were used to assess dietary exposure for these classes of population. A</w:t>
      </w:r>
      <w:r w:rsidRPr="00F15A9D">
        <w:rPr>
          <w:rFonts w:eastAsiaTheme="minorHAnsi" w:cstheme="minorBidi"/>
          <w:bCs/>
          <w:lang w:val="sv-SE" w:eastAsia="en-US"/>
        </w:rPr>
        <w:t>verage daily food consumption values are used in predicting pesticide intake for long-term hazard (EFSA, 200</w:t>
      </w:r>
      <w:r w:rsidRPr="00F15A9D">
        <w:rPr>
          <w:rFonts w:eastAsiaTheme="minorHAnsi" w:cstheme="minorBidi"/>
          <w:lang w:val="en-US" w:eastAsia="en-US"/>
        </w:rPr>
        <w:t>7)</w:t>
      </w:r>
      <w:r w:rsidRPr="00F15A9D">
        <w:rPr>
          <w:rFonts w:eastAsiaTheme="minorHAnsi" w:cstheme="minorBidi"/>
          <w:vertAlign w:val="superscript"/>
          <w:lang w:val="en-US" w:eastAsia="en-US"/>
        </w:rPr>
        <w:footnoteReference w:id="12"/>
      </w:r>
      <w:r w:rsidRPr="00F15A9D">
        <w:rPr>
          <w:rFonts w:eastAsiaTheme="minorHAnsi" w:cstheme="minorBidi"/>
          <w:lang w:val="en-US" w:eastAsia="en-US"/>
        </w:rPr>
        <w:t>.</w:t>
      </w:r>
      <w:r w:rsidRPr="00F15A9D">
        <w:rPr>
          <w:rFonts w:eastAsiaTheme="minorHAnsi" w:cstheme="minorBidi"/>
          <w:bCs/>
          <w:lang w:val="en-US" w:eastAsia="en-US"/>
        </w:rPr>
        <w:t xml:space="preserve"> Then, mean consumption of milk from the EFSA Database were taken into account to assess chronic exposure.</w:t>
      </w:r>
      <w:r w:rsidRPr="00F15A9D">
        <w:rPr>
          <w:rFonts w:eastAsiaTheme="minorHAnsi" w:cstheme="minorBidi"/>
          <w:lang w:val="en-US" w:eastAsia="en-US"/>
        </w:rPr>
        <w:t xml:space="preserve"> </w:t>
      </w:r>
      <w:r w:rsidRPr="00F15A9D">
        <w:rPr>
          <w:rFonts w:eastAsiaTheme="minorHAnsi" w:cstheme="minorBidi"/>
          <w:lang w:val="sv-SE" w:eastAsia="en-US"/>
        </w:rPr>
        <w:t>For each population class</w:t>
      </w:r>
      <w:r w:rsidRPr="00F15A9D">
        <w:rPr>
          <w:rFonts w:eastAsiaTheme="minorHAnsi" w:cstheme="minorBidi"/>
          <w:lang w:val="en-US" w:eastAsia="en-US"/>
        </w:rPr>
        <w:t xml:space="preserve">, the critical European consumer of milk was identified. </w:t>
      </w:r>
      <w:r w:rsidRPr="00F15A9D">
        <w:rPr>
          <w:rFonts w:eastAsiaTheme="minorHAnsi" w:cstheme="minorBidi"/>
          <w:bCs/>
          <w:lang w:val="en-US" w:eastAsia="en-US"/>
        </w:rPr>
        <w:t xml:space="preserve">These values are presented in the table below. </w:t>
      </w:r>
    </w:p>
    <w:p w14:paraId="0ACA46F2" w14:textId="77777777" w:rsidR="00A53253" w:rsidRPr="00F15A9D" w:rsidRDefault="00A53253" w:rsidP="00F15A9D">
      <w:pPr>
        <w:suppressAutoHyphens w:val="0"/>
        <w:jc w:val="both"/>
        <w:rPr>
          <w:rFonts w:eastAsiaTheme="minorHAnsi" w:cstheme="minorBidi"/>
          <w:bCs/>
          <w:lang w:val="en-US" w:eastAsia="en-US"/>
        </w:rPr>
      </w:pPr>
    </w:p>
    <w:p w14:paraId="0D1063F8" w14:textId="77777777" w:rsidR="00A53253" w:rsidRPr="00F15A9D" w:rsidRDefault="00A53253" w:rsidP="00F15A9D">
      <w:pPr>
        <w:suppressAutoHyphens w:val="0"/>
        <w:jc w:val="both"/>
        <w:rPr>
          <w:rFonts w:eastAsiaTheme="minorHAnsi" w:cstheme="minorBidi"/>
          <w:bCs/>
          <w:lang w:val="en-US" w:eastAsia="en-US"/>
        </w:rPr>
      </w:pPr>
      <w:r w:rsidRPr="00F15A9D">
        <w:rPr>
          <w:rFonts w:eastAsiaTheme="minorHAnsi" w:cstheme="minorBidi"/>
          <w:bCs/>
          <w:lang w:val="en-US" w:eastAsia="en-US"/>
        </w:rPr>
        <w:t>Mean consumption of milk and dairy products in grams/kg body weight per day</w:t>
      </w:r>
    </w:p>
    <w:tbl>
      <w:tblPr>
        <w:tblStyle w:val="Grilledutableau2"/>
        <w:tblW w:w="0" w:type="auto"/>
        <w:jc w:val="center"/>
        <w:tblLook w:val="04A0" w:firstRow="1" w:lastRow="0" w:firstColumn="1" w:lastColumn="0" w:noHBand="0" w:noVBand="1"/>
      </w:tblPr>
      <w:tblGrid>
        <w:gridCol w:w="2093"/>
        <w:gridCol w:w="1276"/>
        <w:gridCol w:w="3685"/>
      </w:tblGrid>
      <w:tr w:rsidR="00A53253" w:rsidRPr="00F15A9D" w14:paraId="24125554" w14:textId="77777777" w:rsidTr="00447134">
        <w:trPr>
          <w:jc w:val="center"/>
        </w:trPr>
        <w:tc>
          <w:tcPr>
            <w:tcW w:w="2093" w:type="dxa"/>
          </w:tcPr>
          <w:p w14:paraId="48D7E175"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Population class</w:t>
            </w:r>
          </w:p>
        </w:tc>
        <w:tc>
          <w:tcPr>
            <w:tcW w:w="1276" w:type="dxa"/>
          </w:tcPr>
          <w:p w14:paraId="1CF12078"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 xml:space="preserve">Country </w:t>
            </w:r>
          </w:p>
        </w:tc>
        <w:tc>
          <w:tcPr>
            <w:tcW w:w="3685" w:type="dxa"/>
          </w:tcPr>
          <w:p w14:paraId="697762B3" w14:textId="77777777" w:rsidR="00A53253" w:rsidRPr="00F15A9D" w:rsidRDefault="00A53253" w:rsidP="00F15A9D">
            <w:pPr>
              <w:suppressAutoHyphens w:val="0"/>
              <w:jc w:val="both"/>
              <w:rPr>
                <w:rFonts w:cstheme="minorBidi"/>
                <w:bCs/>
                <w:sz w:val="20"/>
                <w:szCs w:val="20"/>
                <w:lang w:val="en-US" w:eastAsia="en-US"/>
              </w:rPr>
            </w:pPr>
            <w:r w:rsidRPr="00F15A9D">
              <w:rPr>
                <w:rFonts w:cstheme="minorBidi"/>
                <w:bCs/>
                <w:sz w:val="20"/>
                <w:szCs w:val="20"/>
                <w:lang w:val="en-US" w:eastAsia="en-US"/>
              </w:rPr>
              <w:t>Mean consumption g/ kg bw /d</w:t>
            </w:r>
          </w:p>
        </w:tc>
      </w:tr>
      <w:tr w:rsidR="00A53253" w:rsidRPr="00F15A9D" w14:paraId="07CB99FA" w14:textId="77777777" w:rsidTr="00447134">
        <w:trPr>
          <w:jc w:val="center"/>
        </w:trPr>
        <w:tc>
          <w:tcPr>
            <w:tcW w:w="2093" w:type="dxa"/>
          </w:tcPr>
          <w:p w14:paraId="6E604B5C"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Adult</w:t>
            </w:r>
          </w:p>
        </w:tc>
        <w:tc>
          <w:tcPr>
            <w:tcW w:w="1276" w:type="dxa"/>
          </w:tcPr>
          <w:p w14:paraId="7F37EC13"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Finland</w:t>
            </w:r>
          </w:p>
        </w:tc>
        <w:tc>
          <w:tcPr>
            <w:tcW w:w="3685" w:type="dxa"/>
          </w:tcPr>
          <w:p w14:paraId="1F688539"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6.0</w:t>
            </w:r>
          </w:p>
        </w:tc>
      </w:tr>
      <w:tr w:rsidR="00A53253" w:rsidRPr="00F15A9D" w14:paraId="03F94235" w14:textId="77777777" w:rsidTr="00447134">
        <w:trPr>
          <w:jc w:val="center"/>
        </w:trPr>
        <w:tc>
          <w:tcPr>
            <w:tcW w:w="2093" w:type="dxa"/>
          </w:tcPr>
          <w:p w14:paraId="28DEBD20"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lastRenderedPageBreak/>
              <w:t>Child</w:t>
            </w:r>
          </w:p>
        </w:tc>
        <w:tc>
          <w:tcPr>
            <w:tcW w:w="1276" w:type="dxa"/>
          </w:tcPr>
          <w:p w14:paraId="040A3C09"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Finland</w:t>
            </w:r>
          </w:p>
        </w:tc>
        <w:tc>
          <w:tcPr>
            <w:tcW w:w="3685" w:type="dxa"/>
          </w:tcPr>
          <w:p w14:paraId="17ADDCB8"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32.9</w:t>
            </w:r>
          </w:p>
        </w:tc>
      </w:tr>
      <w:tr w:rsidR="00A53253" w:rsidRPr="00F15A9D" w14:paraId="4277BBDF" w14:textId="77777777" w:rsidTr="00447134">
        <w:trPr>
          <w:jc w:val="center"/>
        </w:trPr>
        <w:tc>
          <w:tcPr>
            <w:tcW w:w="2093" w:type="dxa"/>
          </w:tcPr>
          <w:p w14:paraId="0C6DAA0C"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toddler</w:t>
            </w:r>
          </w:p>
        </w:tc>
        <w:tc>
          <w:tcPr>
            <w:tcW w:w="1276" w:type="dxa"/>
          </w:tcPr>
          <w:p w14:paraId="66214A13"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Finland</w:t>
            </w:r>
          </w:p>
        </w:tc>
        <w:tc>
          <w:tcPr>
            <w:tcW w:w="3685" w:type="dxa"/>
          </w:tcPr>
          <w:p w14:paraId="2623B231"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40.5</w:t>
            </w:r>
          </w:p>
        </w:tc>
      </w:tr>
      <w:tr w:rsidR="00A53253" w:rsidRPr="00F15A9D" w14:paraId="49A8E722" w14:textId="77777777" w:rsidTr="00447134">
        <w:trPr>
          <w:jc w:val="center"/>
        </w:trPr>
        <w:tc>
          <w:tcPr>
            <w:tcW w:w="2093" w:type="dxa"/>
          </w:tcPr>
          <w:p w14:paraId="066F2B17"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Infant</w:t>
            </w:r>
          </w:p>
        </w:tc>
        <w:tc>
          <w:tcPr>
            <w:tcW w:w="1276" w:type="dxa"/>
          </w:tcPr>
          <w:p w14:paraId="71D4B2FF"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Italy</w:t>
            </w:r>
          </w:p>
        </w:tc>
        <w:tc>
          <w:tcPr>
            <w:tcW w:w="3685" w:type="dxa"/>
          </w:tcPr>
          <w:p w14:paraId="07E3CFD6" w14:textId="77777777" w:rsidR="00A53253" w:rsidRPr="00F15A9D" w:rsidRDefault="00A53253" w:rsidP="00F15A9D">
            <w:pPr>
              <w:suppressAutoHyphens w:val="0"/>
              <w:jc w:val="both"/>
              <w:rPr>
                <w:rFonts w:cstheme="minorBidi"/>
                <w:bCs/>
                <w:sz w:val="20"/>
                <w:szCs w:val="20"/>
                <w:lang w:val="fr-FR" w:eastAsia="en-US"/>
              </w:rPr>
            </w:pPr>
            <w:r w:rsidRPr="00F15A9D">
              <w:rPr>
                <w:rFonts w:cstheme="minorBidi"/>
                <w:bCs/>
                <w:sz w:val="20"/>
                <w:szCs w:val="20"/>
                <w:lang w:val="fr-FR" w:eastAsia="en-US"/>
              </w:rPr>
              <w:t>80.35</w:t>
            </w:r>
          </w:p>
        </w:tc>
      </w:tr>
    </w:tbl>
    <w:p w14:paraId="6FB7EB80" w14:textId="77777777" w:rsidR="00A53253" w:rsidRPr="00F15A9D" w:rsidRDefault="00A53253" w:rsidP="00F15A9D">
      <w:pPr>
        <w:suppressAutoHyphens w:val="0"/>
        <w:jc w:val="both"/>
        <w:rPr>
          <w:rFonts w:eastAsiaTheme="minorHAnsi" w:cstheme="minorBidi"/>
          <w:bCs/>
          <w:lang w:val="fr-FR" w:eastAsia="en-US"/>
        </w:rPr>
      </w:pPr>
    </w:p>
    <w:p w14:paraId="7DD279C5" w14:textId="77777777" w:rsidR="00A53253" w:rsidRPr="00F15A9D" w:rsidRDefault="00A53253" w:rsidP="00F15A9D">
      <w:pPr>
        <w:suppressAutoHyphens w:val="0"/>
        <w:jc w:val="both"/>
        <w:rPr>
          <w:rFonts w:eastAsiaTheme="minorHAnsi" w:cstheme="minorBidi"/>
          <w:bCs/>
          <w:lang w:val="en-US" w:eastAsia="en-US"/>
        </w:rPr>
      </w:pPr>
      <w:r w:rsidRPr="00F15A9D">
        <w:rPr>
          <w:rFonts w:eastAsiaTheme="minorHAnsi" w:cstheme="minorBidi"/>
          <w:bCs/>
          <w:lang w:val="en-US" w:eastAsia="en-US"/>
        </w:rPr>
        <w:t>Body weights (</w:t>
      </w:r>
      <w:r w:rsidRPr="00F15A9D">
        <w:rPr>
          <w:rFonts w:eastAsiaTheme="minorHAnsi" w:cstheme="minorBidi"/>
          <w:iCs/>
          <w:lang w:val="en-US" w:eastAsia="en-US"/>
        </w:rPr>
        <w:t>Recommendation n°14 of the BPC Ad hoc Working Group on Human Exposure : Default human factor values for use in exposure assessments for biocidal products (revision of HEEG opinion 17 agreed at the HH WG III on 12 June 2017)</w:t>
      </w:r>
      <w:r w:rsidRPr="00F15A9D">
        <w:rPr>
          <w:rFonts w:eastAsiaTheme="minorHAnsi" w:cstheme="minorBidi"/>
          <w:bCs/>
          <w:lang w:val="en-US" w:eastAsia="en-US"/>
        </w:rPr>
        <w:t>)</w:t>
      </w:r>
      <w:r w:rsidRPr="00F15A9D">
        <w:rPr>
          <w:rFonts w:eastAsiaTheme="minorHAnsi" w:cstheme="minorBidi"/>
          <w:bCs/>
          <w:vertAlign w:val="superscript"/>
          <w:lang w:val="fr-FR" w:eastAsia="en-US"/>
        </w:rPr>
        <w:footnoteReference w:id="13"/>
      </w:r>
      <w:r w:rsidRPr="00F15A9D">
        <w:rPr>
          <w:rFonts w:eastAsiaTheme="minorHAnsi" w:cstheme="minorBidi"/>
          <w:bCs/>
          <w:lang w:val="en-US" w:eastAsia="en-US"/>
        </w:rPr>
        <w:t xml:space="preserve"> used for risk consumer calculations are reported in table below.</w:t>
      </w:r>
    </w:p>
    <w:tbl>
      <w:tblPr>
        <w:tblW w:w="6566" w:type="dxa"/>
        <w:jc w:val="center"/>
        <w:tblCellMar>
          <w:left w:w="0" w:type="dxa"/>
          <w:right w:w="0" w:type="dxa"/>
        </w:tblCellMar>
        <w:tblLook w:val="04A0" w:firstRow="1" w:lastRow="0" w:firstColumn="1" w:lastColumn="0" w:noHBand="0" w:noVBand="1"/>
      </w:tblPr>
      <w:tblGrid>
        <w:gridCol w:w="1359"/>
        <w:gridCol w:w="1359"/>
        <w:gridCol w:w="1359"/>
        <w:gridCol w:w="1359"/>
        <w:gridCol w:w="1130"/>
      </w:tblGrid>
      <w:tr w:rsidR="00A53253" w:rsidRPr="00F15A9D" w14:paraId="02809005" w14:textId="77777777" w:rsidTr="00447134">
        <w:trPr>
          <w:trHeight w:val="300"/>
          <w:jc w:val="center"/>
        </w:trPr>
        <w:tc>
          <w:tcPr>
            <w:tcW w:w="13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96668B" w14:textId="77777777" w:rsidR="00A53253" w:rsidRPr="00F15A9D" w:rsidRDefault="00A53253" w:rsidP="00F15A9D">
            <w:pPr>
              <w:suppressAutoHyphens w:val="0"/>
              <w:jc w:val="both"/>
              <w:rPr>
                <w:rFonts w:eastAsiaTheme="minorHAnsi" w:cstheme="minorBidi"/>
                <w:lang w:val="en-US" w:eastAsia="fr-FR"/>
              </w:rPr>
            </w:pPr>
          </w:p>
        </w:tc>
        <w:tc>
          <w:tcPr>
            <w:tcW w:w="1359"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AE88C3B"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infant (6 weeks to &lt;12 months)</w:t>
            </w:r>
          </w:p>
        </w:tc>
        <w:tc>
          <w:tcPr>
            <w:tcW w:w="13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65893F2"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toddler (1 to &lt; 2 years)</w:t>
            </w:r>
          </w:p>
        </w:tc>
        <w:tc>
          <w:tcPr>
            <w:tcW w:w="13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F305C98"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child (2-6 years)</w:t>
            </w:r>
          </w:p>
        </w:tc>
        <w:tc>
          <w:tcPr>
            <w:tcW w:w="1130" w:type="dxa"/>
            <w:tcBorders>
              <w:top w:val="single" w:sz="8" w:space="0" w:color="auto"/>
              <w:left w:val="nil"/>
              <w:bottom w:val="single" w:sz="8" w:space="0" w:color="auto"/>
              <w:right w:val="single" w:sz="8" w:space="0" w:color="auto"/>
            </w:tcBorders>
            <w:vAlign w:val="center"/>
          </w:tcPr>
          <w:p w14:paraId="4D5CF71A"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Adult</w:t>
            </w:r>
          </w:p>
        </w:tc>
      </w:tr>
      <w:tr w:rsidR="00A53253" w:rsidRPr="00F15A9D" w14:paraId="63AD246A" w14:textId="77777777" w:rsidTr="00447134">
        <w:trPr>
          <w:trHeight w:val="345"/>
          <w:jc w:val="center"/>
        </w:trPr>
        <w:tc>
          <w:tcPr>
            <w:tcW w:w="13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21AEB1"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body weight (kg)</w:t>
            </w:r>
          </w:p>
        </w:tc>
        <w:tc>
          <w:tcPr>
            <w:tcW w:w="135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C37697C"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8</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D698D5"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10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B1F49A"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15.6</w:t>
            </w:r>
          </w:p>
        </w:tc>
        <w:tc>
          <w:tcPr>
            <w:tcW w:w="1130" w:type="dxa"/>
            <w:tcBorders>
              <w:top w:val="nil"/>
              <w:left w:val="nil"/>
              <w:bottom w:val="single" w:sz="8" w:space="0" w:color="auto"/>
              <w:right w:val="single" w:sz="8" w:space="0" w:color="auto"/>
            </w:tcBorders>
            <w:vAlign w:val="center"/>
          </w:tcPr>
          <w:p w14:paraId="71018DE3" w14:textId="77777777" w:rsidR="00A53253" w:rsidRPr="00F15A9D" w:rsidRDefault="00A53253" w:rsidP="00F15A9D">
            <w:pPr>
              <w:suppressAutoHyphens w:val="0"/>
              <w:jc w:val="both"/>
              <w:rPr>
                <w:rFonts w:eastAsiaTheme="minorHAnsi" w:cstheme="minorBidi"/>
                <w:lang w:val="fr-FR" w:eastAsia="fr-FR"/>
              </w:rPr>
            </w:pPr>
            <w:r w:rsidRPr="00F15A9D">
              <w:rPr>
                <w:rFonts w:eastAsiaTheme="minorHAnsi" w:cstheme="minorBidi"/>
                <w:lang w:val="fr-FR" w:eastAsia="fr-FR"/>
              </w:rPr>
              <w:t>60</w:t>
            </w:r>
          </w:p>
        </w:tc>
      </w:tr>
    </w:tbl>
    <w:p w14:paraId="045AE688" w14:textId="77777777" w:rsidR="00A53253" w:rsidRPr="00F15A9D" w:rsidRDefault="00A53253" w:rsidP="00F15A9D">
      <w:pPr>
        <w:suppressAutoHyphens w:val="0"/>
        <w:jc w:val="both"/>
        <w:rPr>
          <w:rFonts w:eastAsiaTheme="minorHAnsi" w:cstheme="minorBidi"/>
          <w:lang w:val="fr-FR" w:eastAsia="en-US"/>
        </w:rPr>
      </w:pPr>
    </w:p>
    <w:p w14:paraId="2E4A91BA" w14:textId="77777777" w:rsidR="00A53253" w:rsidRPr="00F15A9D" w:rsidRDefault="00A53253" w:rsidP="00F15A9D">
      <w:pPr>
        <w:pBdr>
          <w:top w:val="single" w:sz="4" w:space="1" w:color="auto"/>
          <w:left w:val="single" w:sz="4" w:space="4" w:color="auto"/>
          <w:bottom w:val="single" w:sz="4" w:space="1" w:color="auto"/>
          <w:right w:val="single" w:sz="4" w:space="4" w:color="auto"/>
        </w:pBdr>
        <w:suppressAutoHyphens w:val="0"/>
        <w:jc w:val="both"/>
        <w:rPr>
          <w:rFonts w:eastAsiaTheme="minorHAnsi" w:cstheme="minorBidi"/>
          <w:lang w:val="en-US" w:eastAsia="en-US"/>
        </w:rPr>
      </w:pPr>
      <w:r w:rsidRPr="00F15A9D">
        <w:rPr>
          <w:rFonts w:eastAsiaTheme="minorHAnsi" w:cstheme="minorBidi"/>
          <w:lang w:val="en-US" w:eastAsia="en-US"/>
        </w:rPr>
        <w:t>WCCE</w:t>
      </w:r>
      <w:r w:rsidRPr="00F15A9D">
        <w:rPr>
          <w:rFonts w:eastAsiaTheme="minorHAnsi" w:cstheme="minorBidi"/>
          <w:vertAlign w:val="superscript"/>
          <w:lang w:val="en-US" w:eastAsia="en-US"/>
        </w:rPr>
        <w:footnoteReference w:id="14"/>
      </w:r>
      <w:r w:rsidRPr="00F15A9D">
        <w:rPr>
          <w:rFonts w:eastAsiaTheme="minorHAnsi" w:cstheme="minorBidi"/>
          <w:lang w:val="en-US" w:eastAsia="en-US"/>
        </w:rPr>
        <w:tab/>
      </w:r>
      <w:r w:rsidRPr="00F15A9D">
        <w:rPr>
          <w:rFonts w:eastAsiaTheme="minorHAnsi" w:cstheme="minorBidi"/>
          <w:lang w:val="en-US" w:eastAsia="en-US"/>
        </w:rPr>
        <w:tab/>
        <w:t xml:space="preserve">= concentration </w:t>
      </w:r>
      <w:r w:rsidRPr="00F15A9D">
        <w:rPr>
          <w:rFonts w:eastAsiaTheme="minorHAnsi" w:cstheme="minorBidi"/>
          <w:vertAlign w:val="subscript"/>
          <w:lang w:val="en-US" w:eastAsia="en-US"/>
        </w:rPr>
        <w:t>a.s.</w:t>
      </w:r>
      <w:r w:rsidRPr="00F15A9D">
        <w:rPr>
          <w:rFonts w:eastAsiaTheme="minorHAnsi" w:cstheme="minorBidi"/>
          <w:lang w:val="en-US" w:eastAsia="en-US"/>
        </w:rPr>
        <w:t xml:space="preserve"> in</w:t>
      </w:r>
      <w:r w:rsidRPr="00F15A9D">
        <w:rPr>
          <w:rFonts w:eastAsiaTheme="minorHAnsi" w:cstheme="minorBidi"/>
          <w:vertAlign w:val="subscript"/>
          <w:lang w:val="en-US" w:eastAsia="en-US"/>
        </w:rPr>
        <w:t xml:space="preserve"> milk</w:t>
      </w:r>
      <w:r w:rsidRPr="00F15A9D">
        <w:rPr>
          <w:rFonts w:eastAsiaTheme="minorHAnsi" w:cstheme="minorBidi"/>
          <w:lang w:val="en-US" w:eastAsia="en-US"/>
        </w:rPr>
        <w:t xml:space="preserve"> * I</w:t>
      </w:r>
      <w:r w:rsidRPr="00F15A9D">
        <w:rPr>
          <w:rFonts w:eastAsiaTheme="minorHAnsi" w:cstheme="minorBidi"/>
          <w:vertAlign w:val="subscript"/>
          <w:lang w:val="en-US" w:eastAsia="en-US"/>
        </w:rPr>
        <w:t>milk</w:t>
      </w:r>
      <w:r w:rsidRPr="00F15A9D">
        <w:rPr>
          <w:rFonts w:eastAsiaTheme="minorHAnsi" w:cstheme="minorBidi"/>
          <w:lang w:val="en-US" w:eastAsia="en-US"/>
        </w:rPr>
        <w:t xml:space="preserve"> ÷ bw</w:t>
      </w:r>
      <w:r w:rsidRPr="00F15A9D">
        <w:rPr>
          <w:rFonts w:eastAsiaTheme="minorHAnsi" w:cstheme="minorBidi"/>
          <w:vertAlign w:val="subscript"/>
          <w:lang w:val="en-US" w:eastAsia="en-US"/>
        </w:rPr>
        <w:t>human</w:t>
      </w:r>
    </w:p>
    <w:p w14:paraId="7DC54763" w14:textId="77777777" w:rsidR="00A53253" w:rsidRPr="00F15A9D" w:rsidRDefault="00A53253" w:rsidP="00F15A9D">
      <w:pPr>
        <w:suppressAutoHyphens w:val="0"/>
        <w:jc w:val="both"/>
        <w:rPr>
          <w:rFonts w:eastAsiaTheme="minorHAnsi" w:cstheme="minorBidi"/>
          <w:lang w:val="de-DE" w:eastAsia="en-US"/>
        </w:rPr>
      </w:pPr>
    </w:p>
    <w:p w14:paraId="1450915C" w14:textId="77777777" w:rsidR="00A53253" w:rsidRPr="00F15A9D" w:rsidRDefault="00A53253" w:rsidP="00F15A9D">
      <w:pPr>
        <w:suppressAutoHyphens w:val="0"/>
        <w:jc w:val="both"/>
        <w:rPr>
          <w:rFonts w:eastAsiaTheme="minorHAnsi" w:cstheme="minorBidi"/>
          <w:u w:val="single"/>
          <w:lang w:val="en-US" w:eastAsia="en-US"/>
        </w:rPr>
      </w:pPr>
      <w:r w:rsidRPr="00F15A9D">
        <w:rPr>
          <w:rFonts w:eastAsiaTheme="minorHAnsi" w:cstheme="minorBidi"/>
          <w:u w:val="single"/>
          <w:lang w:val="en-US" w:eastAsia="en-US"/>
        </w:rPr>
        <w:t xml:space="preserve">Tier 1 calculation with EMA food basket data consumption: </w:t>
      </w:r>
    </w:p>
    <w:p w14:paraId="71E53B94" w14:textId="77777777" w:rsidR="00A53253" w:rsidRPr="00F15A9D" w:rsidRDefault="00A53253" w:rsidP="00F15A9D">
      <w:pPr>
        <w:suppressAutoHyphens w:val="0"/>
        <w:jc w:val="both"/>
        <w:rPr>
          <w:rFonts w:eastAsiaTheme="minorHAnsi" w:cstheme="minorBidi"/>
          <w:u w:val="single"/>
          <w:lang w:val="en-US" w:eastAsia="en-US"/>
        </w:rPr>
      </w:pPr>
    </w:p>
    <w:p w14:paraId="022B8FB6" w14:textId="77777777" w:rsidR="00A53253" w:rsidRPr="00F15A9D" w:rsidRDefault="00A53253" w:rsidP="00F15A9D">
      <w:pPr>
        <w:suppressAutoHyphens w:val="0"/>
        <w:spacing w:after="200" w:line="276" w:lineRule="auto"/>
        <w:jc w:val="both"/>
        <w:rPr>
          <w:rFonts w:eastAsiaTheme="minorHAnsi" w:cstheme="minorBidi"/>
          <w:lang w:val="de-DE" w:eastAsia="en-US"/>
        </w:rPr>
      </w:pPr>
      <w:r w:rsidRPr="00F15A9D">
        <w:rPr>
          <w:rFonts w:eastAsiaTheme="minorHAnsi" w:cstheme="minorBidi"/>
          <w:lang w:val="de-DE" w:eastAsia="en-US"/>
        </w:rPr>
        <w:t xml:space="preserve">WCCE </w:t>
      </w:r>
      <w:r w:rsidRPr="00F15A9D">
        <w:rPr>
          <w:rFonts w:eastAsiaTheme="minorHAnsi" w:cstheme="minorBidi"/>
          <w:vertAlign w:val="subscript"/>
          <w:lang w:val="de-DE" w:eastAsia="en-US"/>
        </w:rPr>
        <w:t>adult</w:t>
      </w:r>
      <w:r w:rsidRPr="00F15A9D">
        <w:rPr>
          <w:rFonts w:eastAsiaTheme="minorHAnsi" w:cstheme="minorBidi"/>
          <w:lang w:val="de-DE" w:eastAsia="en-US"/>
        </w:rPr>
        <w:t>= (1.78 x 1.5 L of milk)/60 kg bw</w:t>
      </w:r>
    </w:p>
    <w:p w14:paraId="5C34DECE" w14:textId="77777777" w:rsidR="00A53253" w:rsidRPr="00F15A9D" w:rsidRDefault="00A53253" w:rsidP="00F15A9D">
      <w:pPr>
        <w:suppressAutoHyphens w:val="0"/>
        <w:spacing w:after="200" w:line="276" w:lineRule="auto"/>
        <w:jc w:val="both"/>
        <w:rPr>
          <w:rFonts w:eastAsiaTheme="minorHAnsi" w:cstheme="minorBidi"/>
          <w:lang w:val="de-DE" w:eastAsia="en-US"/>
        </w:rPr>
      </w:pPr>
      <w:r w:rsidRPr="00F15A9D">
        <w:rPr>
          <w:rFonts w:eastAsiaTheme="minorHAnsi" w:cstheme="minorBidi"/>
          <w:lang w:val="de-DE" w:eastAsia="en-US"/>
        </w:rPr>
        <w:t xml:space="preserve">WCCE </w:t>
      </w:r>
      <w:r w:rsidRPr="00F15A9D">
        <w:rPr>
          <w:rFonts w:eastAsiaTheme="minorHAnsi" w:cstheme="minorBidi"/>
          <w:vertAlign w:val="subscript"/>
          <w:lang w:val="de-DE" w:eastAsia="en-US"/>
        </w:rPr>
        <w:t>adult</w:t>
      </w:r>
      <w:r w:rsidRPr="00F15A9D">
        <w:rPr>
          <w:rFonts w:eastAsiaTheme="minorHAnsi" w:cstheme="minorBidi"/>
          <w:lang w:val="de-DE" w:eastAsia="en-US"/>
        </w:rPr>
        <w:t xml:space="preserve"> = 0.044</w:t>
      </w:r>
      <w:r w:rsidRPr="00F15A9D">
        <w:rPr>
          <w:rFonts w:eastAsiaTheme="minorHAnsi" w:cstheme="minorBidi"/>
          <w:vertAlign w:val="superscript"/>
          <w:lang w:val="de-DE" w:eastAsia="en-US"/>
        </w:rPr>
        <w:t xml:space="preserve"> </w:t>
      </w:r>
      <w:r w:rsidRPr="00F15A9D">
        <w:rPr>
          <w:rFonts w:eastAsiaTheme="minorHAnsi" w:cstheme="minorBidi"/>
          <w:lang w:val="de-DE" w:eastAsia="en-US"/>
        </w:rPr>
        <w:t>mg/kg bw/d &gt;0.01 mg/kg bw/d</w:t>
      </w:r>
    </w:p>
    <w:p w14:paraId="73546CB0" w14:textId="77777777" w:rsidR="00A53253" w:rsidRPr="00F15A9D" w:rsidRDefault="00A53253" w:rsidP="00F15A9D">
      <w:pPr>
        <w:suppressAutoHyphens w:val="0"/>
        <w:spacing w:after="200" w:line="276" w:lineRule="auto"/>
        <w:jc w:val="both"/>
        <w:rPr>
          <w:rFonts w:eastAsiaTheme="minorHAnsi" w:cstheme="minorBidi"/>
          <w:lang w:val="de-DE" w:eastAsia="en-US"/>
        </w:rPr>
      </w:pPr>
    </w:p>
    <w:p w14:paraId="08DA8358" w14:textId="77777777" w:rsidR="00A53253" w:rsidRPr="00F15A9D" w:rsidRDefault="00A53253" w:rsidP="00F15A9D">
      <w:pPr>
        <w:suppressAutoHyphens w:val="0"/>
        <w:spacing w:after="200" w:line="276" w:lineRule="auto"/>
        <w:jc w:val="both"/>
        <w:rPr>
          <w:rFonts w:eastAsiaTheme="minorHAnsi" w:cstheme="minorBidi"/>
          <w:u w:val="single"/>
          <w:lang w:eastAsia="en-US"/>
        </w:rPr>
      </w:pPr>
      <w:r w:rsidRPr="00F15A9D">
        <w:rPr>
          <w:rFonts w:eastAsiaTheme="minorHAnsi" w:cstheme="minorBidi"/>
          <w:u w:val="single"/>
          <w:lang w:eastAsia="en-US"/>
        </w:rPr>
        <w:t xml:space="preserve">Tier 2 calculation with EMA food basket data consumption: </w:t>
      </w:r>
    </w:p>
    <w:p w14:paraId="41ED6D8F" w14:textId="77777777" w:rsidR="00A53253" w:rsidRPr="00F15A9D" w:rsidRDefault="00A53253" w:rsidP="00F15A9D">
      <w:pPr>
        <w:suppressAutoHyphens w:val="0"/>
        <w:spacing w:after="200" w:line="276" w:lineRule="auto"/>
        <w:jc w:val="both"/>
        <w:rPr>
          <w:rFonts w:eastAsiaTheme="minorHAnsi" w:cstheme="minorBidi"/>
          <w:lang w:val="de-DE" w:eastAsia="en-US"/>
        </w:rPr>
      </w:pPr>
      <w:r w:rsidRPr="00F15A9D">
        <w:rPr>
          <w:rFonts w:eastAsiaTheme="minorHAnsi" w:cstheme="minorBidi"/>
          <w:lang w:val="de-DE" w:eastAsia="en-US"/>
        </w:rPr>
        <w:t xml:space="preserve">WCCE </w:t>
      </w:r>
      <w:r w:rsidRPr="00F15A9D">
        <w:rPr>
          <w:rFonts w:eastAsiaTheme="minorHAnsi" w:cstheme="minorBidi"/>
          <w:vertAlign w:val="subscript"/>
          <w:lang w:val="de-DE" w:eastAsia="en-US"/>
        </w:rPr>
        <w:t>adult</w:t>
      </w:r>
      <w:r w:rsidRPr="00F15A9D">
        <w:rPr>
          <w:rFonts w:eastAsiaTheme="minorHAnsi" w:cstheme="minorBidi"/>
          <w:lang w:val="de-DE" w:eastAsia="en-US"/>
        </w:rPr>
        <w:t xml:space="preserve"> = (0.975 x 1.5 L of milk)/60 kg bw</w:t>
      </w:r>
    </w:p>
    <w:p w14:paraId="4C90CF54" w14:textId="77777777" w:rsidR="00A53253" w:rsidRPr="00F15A9D" w:rsidRDefault="00A53253" w:rsidP="00F15A9D">
      <w:pPr>
        <w:suppressAutoHyphens w:val="0"/>
        <w:spacing w:after="200" w:line="276" w:lineRule="auto"/>
        <w:jc w:val="both"/>
        <w:rPr>
          <w:rFonts w:eastAsiaTheme="minorHAnsi" w:cstheme="minorBidi"/>
          <w:lang w:val="de-DE" w:eastAsia="en-US"/>
        </w:rPr>
      </w:pPr>
      <w:r w:rsidRPr="00F15A9D">
        <w:rPr>
          <w:rFonts w:eastAsiaTheme="minorHAnsi" w:cstheme="minorBidi"/>
          <w:lang w:val="de-DE" w:eastAsia="en-US"/>
        </w:rPr>
        <w:t xml:space="preserve">WCCE </w:t>
      </w:r>
      <w:r w:rsidRPr="00F15A9D">
        <w:rPr>
          <w:rFonts w:eastAsiaTheme="minorHAnsi" w:cstheme="minorBidi"/>
          <w:vertAlign w:val="subscript"/>
          <w:lang w:val="de-DE" w:eastAsia="en-US"/>
        </w:rPr>
        <w:t>adult</w:t>
      </w:r>
      <w:r w:rsidRPr="00F15A9D">
        <w:rPr>
          <w:rFonts w:eastAsiaTheme="minorHAnsi" w:cstheme="minorBidi"/>
          <w:lang w:val="de-DE" w:eastAsia="en-US"/>
        </w:rPr>
        <w:t xml:space="preserve">  = 0.024 mg/kg bw/d &gt;0.01 mg/kg bw/d</w:t>
      </w:r>
    </w:p>
    <w:p w14:paraId="6A6EB52F" w14:textId="77777777" w:rsidR="00A53253" w:rsidRPr="00F15A9D" w:rsidRDefault="00A53253" w:rsidP="00F15A9D">
      <w:pPr>
        <w:suppressAutoHyphens w:val="0"/>
        <w:spacing w:after="200" w:line="276" w:lineRule="auto"/>
        <w:jc w:val="both"/>
        <w:rPr>
          <w:rFonts w:eastAsiaTheme="minorHAnsi" w:cstheme="minorBidi"/>
          <w:lang w:eastAsia="en-US"/>
        </w:rPr>
      </w:pPr>
      <w:r w:rsidRPr="00F15A9D">
        <w:rPr>
          <w:rFonts w:eastAsiaTheme="minorHAnsi" w:cstheme="minorBidi"/>
          <w:lang w:eastAsia="en-US"/>
        </w:rPr>
        <w:t xml:space="preserve">These results show an exceedance of the Upper Intake Level (UL) for adult in tier 1 and in tier 2. </w:t>
      </w:r>
    </w:p>
    <w:p w14:paraId="3429CCF4" w14:textId="77777777" w:rsidR="00A53253" w:rsidRPr="00F15A9D" w:rsidRDefault="00A53253" w:rsidP="00F15A9D">
      <w:pPr>
        <w:suppressAutoHyphens w:val="0"/>
        <w:jc w:val="both"/>
        <w:rPr>
          <w:rFonts w:eastAsiaTheme="minorHAnsi" w:cstheme="minorBidi"/>
          <w:lang w:eastAsia="en-US"/>
        </w:rPr>
      </w:pPr>
    </w:p>
    <w:p w14:paraId="42A8704D" w14:textId="77777777" w:rsidR="00A53253" w:rsidRPr="00F15A9D" w:rsidRDefault="00A53253" w:rsidP="00F15A9D">
      <w:pPr>
        <w:suppressAutoHyphens w:val="0"/>
        <w:jc w:val="both"/>
        <w:rPr>
          <w:rFonts w:eastAsiaTheme="minorHAnsi" w:cstheme="minorBidi"/>
          <w:lang w:val="en-US" w:eastAsia="en-US"/>
        </w:rPr>
      </w:pPr>
      <w:r w:rsidRPr="00F15A9D">
        <w:rPr>
          <w:rFonts w:eastAsiaTheme="minorHAnsi" w:cstheme="minorBidi"/>
          <w:lang w:val="en-US" w:eastAsia="en-US"/>
        </w:rPr>
        <w:t>These results show an exceedance of the Upper Intake Level (UL) for adult in tier 1. However, no exceedance is shown in Tier 2.</w:t>
      </w:r>
    </w:p>
    <w:p w14:paraId="52E914A3" w14:textId="77777777" w:rsidR="00A53253" w:rsidRPr="00F15A9D" w:rsidRDefault="00A53253" w:rsidP="00F15A9D">
      <w:pPr>
        <w:suppressAutoHyphens w:val="0"/>
        <w:jc w:val="both"/>
        <w:rPr>
          <w:rFonts w:eastAsiaTheme="minorHAnsi" w:cstheme="minorBidi"/>
          <w:lang w:val="en-US" w:eastAsia="en-US"/>
        </w:rPr>
      </w:pPr>
    </w:p>
    <w:p w14:paraId="52C982D0" w14:textId="77777777" w:rsidR="00A53253" w:rsidRPr="00F15A9D" w:rsidRDefault="00A53253" w:rsidP="00F15A9D">
      <w:pPr>
        <w:suppressAutoHyphens w:val="0"/>
        <w:jc w:val="both"/>
        <w:rPr>
          <w:rFonts w:eastAsiaTheme="minorHAnsi" w:cstheme="minorBidi"/>
          <w:u w:val="single"/>
          <w:lang w:val="en-US" w:eastAsia="en-US"/>
        </w:rPr>
      </w:pPr>
      <w:r w:rsidRPr="00F15A9D">
        <w:rPr>
          <w:rFonts w:eastAsiaTheme="minorHAnsi" w:cstheme="minorBidi"/>
          <w:u w:val="single"/>
          <w:lang w:val="en-US" w:eastAsia="en-US"/>
        </w:rPr>
        <w:t xml:space="preserve">Tier 1 calculation with EFSA Concise Database: </w:t>
      </w:r>
    </w:p>
    <w:p w14:paraId="17AC37FD" w14:textId="77777777" w:rsidR="00A53253" w:rsidRPr="00F15A9D" w:rsidRDefault="00A53253" w:rsidP="00F15A9D">
      <w:pPr>
        <w:suppressAutoHyphens w:val="0"/>
        <w:jc w:val="both"/>
        <w:rPr>
          <w:rFonts w:eastAsiaTheme="minorHAnsi" w:cstheme="minorBidi"/>
          <w:lang w:val="en-US" w:eastAsia="en-US"/>
        </w:rPr>
      </w:pPr>
    </w:p>
    <w:p w14:paraId="44EC90E5"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adult</w:t>
      </w:r>
      <w:r w:rsidRPr="00F15A9D">
        <w:rPr>
          <w:rFonts w:cs="Times New Roman"/>
          <w:lang w:eastAsia="de-DE"/>
        </w:rPr>
        <w:t>= 1.78 mg/kg of milk x (6.05 g/kg bw d/ 1000)</w:t>
      </w:r>
    </w:p>
    <w:p w14:paraId="427F6C92"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adult</w:t>
      </w:r>
      <w:r w:rsidRPr="00F15A9D">
        <w:rPr>
          <w:rFonts w:cs="Times New Roman"/>
          <w:lang w:eastAsia="de-DE"/>
        </w:rPr>
        <w:t xml:space="preserve"> = 0.011 mg/kg bw/d </w:t>
      </w:r>
      <w:r w:rsidRPr="00F15A9D">
        <w:rPr>
          <w:rFonts w:cs="Times New Roman"/>
          <w:lang w:eastAsia="de-DE"/>
        </w:rPr>
        <w:sym w:font="Wingdings" w:char="F0F3"/>
      </w:r>
      <w:r w:rsidRPr="00F15A9D">
        <w:rPr>
          <w:rFonts w:cs="Times New Roman"/>
          <w:lang w:eastAsia="de-DE"/>
        </w:rPr>
        <w:t xml:space="preserve"> 646.14 µg/d &gt;600 µg/d</w:t>
      </w:r>
    </w:p>
    <w:p w14:paraId="2D74EC8A" w14:textId="77777777" w:rsidR="00A53253" w:rsidRPr="00F15A9D" w:rsidRDefault="00A53253" w:rsidP="00F15A9D">
      <w:pPr>
        <w:suppressAutoHyphens w:val="0"/>
        <w:jc w:val="both"/>
        <w:rPr>
          <w:rFonts w:cs="Times New Roman"/>
          <w:lang w:eastAsia="de-DE"/>
        </w:rPr>
      </w:pPr>
    </w:p>
    <w:p w14:paraId="79A33941"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children </w:t>
      </w:r>
      <w:r w:rsidRPr="00F15A9D">
        <w:rPr>
          <w:rFonts w:cs="Times New Roman"/>
          <w:lang w:eastAsia="de-DE"/>
        </w:rPr>
        <w:t>= 1.78 mg/kg of milk x (32.86 g/kg bw d /1000)</w:t>
      </w:r>
    </w:p>
    <w:p w14:paraId="05D86BA0"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children </w:t>
      </w:r>
      <w:r w:rsidRPr="00F15A9D">
        <w:rPr>
          <w:rFonts w:cs="Times New Roman"/>
          <w:lang w:eastAsia="de-DE"/>
        </w:rPr>
        <w:t xml:space="preserve">= 0.058 mg/kg bw/d </w:t>
      </w:r>
      <w:r w:rsidRPr="00F15A9D">
        <w:rPr>
          <w:rFonts w:cs="Times New Roman"/>
          <w:lang w:eastAsia="de-DE"/>
        </w:rPr>
        <w:sym w:font="Wingdings" w:char="F0F3"/>
      </w:r>
      <w:r w:rsidRPr="00F15A9D">
        <w:rPr>
          <w:rFonts w:cs="Times New Roman"/>
          <w:lang w:eastAsia="de-DE"/>
        </w:rPr>
        <w:t xml:space="preserve"> 912.46 µg/d &gt;250 µg/d</w:t>
      </w:r>
    </w:p>
    <w:p w14:paraId="5AA59A16" w14:textId="77777777" w:rsidR="00A53253" w:rsidRPr="00F15A9D" w:rsidRDefault="00A53253" w:rsidP="00F15A9D">
      <w:pPr>
        <w:suppressAutoHyphens w:val="0"/>
        <w:jc w:val="both"/>
        <w:rPr>
          <w:rFonts w:cs="Times New Roman"/>
          <w:lang w:eastAsia="de-DE"/>
        </w:rPr>
      </w:pPr>
    </w:p>
    <w:p w14:paraId="1E152A57"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toddlers </w:t>
      </w:r>
      <w:r w:rsidRPr="00F15A9D">
        <w:rPr>
          <w:rFonts w:cs="Times New Roman"/>
          <w:lang w:eastAsia="de-DE"/>
        </w:rPr>
        <w:t>=1.78 mg/kg of milk x (40.51 g/kg bw d/1000)</w:t>
      </w:r>
    </w:p>
    <w:p w14:paraId="2D06181C"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toddlers </w:t>
      </w:r>
      <w:r w:rsidRPr="00F15A9D">
        <w:rPr>
          <w:rFonts w:cs="Times New Roman"/>
          <w:lang w:eastAsia="de-DE"/>
        </w:rPr>
        <w:t xml:space="preserve">= 0.072 mg/kg bw/d </w:t>
      </w:r>
      <w:r w:rsidRPr="00F15A9D">
        <w:rPr>
          <w:rFonts w:cs="Times New Roman"/>
          <w:lang w:eastAsia="de-DE"/>
        </w:rPr>
        <w:sym w:font="Wingdings" w:char="F0F3"/>
      </w:r>
      <w:r w:rsidRPr="00F15A9D">
        <w:rPr>
          <w:rFonts w:cs="Times New Roman"/>
          <w:lang w:eastAsia="de-DE"/>
        </w:rPr>
        <w:t xml:space="preserve"> 721.08 µg/d &gt;250 µg/d</w:t>
      </w:r>
    </w:p>
    <w:p w14:paraId="5DD7AF1B" w14:textId="77777777" w:rsidR="00A53253" w:rsidRPr="00F15A9D" w:rsidRDefault="00A53253" w:rsidP="00F15A9D">
      <w:pPr>
        <w:suppressAutoHyphens w:val="0"/>
        <w:jc w:val="both"/>
        <w:rPr>
          <w:rFonts w:cs="Times New Roman"/>
          <w:lang w:eastAsia="de-DE"/>
        </w:rPr>
      </w:pPr>
    </w:p>
    <w:p w14:paraId="36657CD8"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infants </w:t>
      </w:r>
      <w:r w:rsidRPr="00F15A9D">
        <w:rPr>
          <w:rFonts w:cs="Times New Roman"/>
          <w:lang w:eastAsia="de-DE"/>
        </w:rPr>
        <w:t>= 1.78 mg/kg of milk x (80.35 g/kg bw d/ 1000)</w:t>
      </w:r>
    </w:p>
    <w:p w14:paraId="6E7342BB" w14:textId="77777777" w:rsidR="00A53253" w:rsidRPr="00F15A9D" w:rsidRDefault="00A53253" w:rsidP="00F15A9D">
      <w:pPr>
        <w:suppressAutoHyphens w:val="0"/>
        <w:jc w:val="both"/>
        <w:rPr>
          <w:rFonts w:cs="Times New Roman"/>
          <w:lang w:eastAsia="de-DE"/>
        </w:rPr>
      </w:pPr>
      <w:r w:rsidRPr="00F15A9D">
        <w:rPr>
          <w:rFonts w:cs="Times New Roman"/>
          <w:lang w:val="en-US" w:eastAsia="de-DE"/>
        </w:rPr>
        <w:t xml:space="preserve">WCCE </w:t>
      </w:r>
      <w:r w:rsidRPr="00F15A9D">
        <w:rPr>
          <w:rFonts w:cs="Times New Roman"/>
          <w:vertAlign w:val="subscript"/>
          <w:lang w:val="en-US" w:eastAsia="de-DE"/>
        </w:rPr>
        <w:t xml:space="preserve">infants </w:t>
      </w:r>
      <w:r w:rsidRPr="00F15A9D">
        <w:rPr>
          <w:rFonts w:cs="Times New Roman"/>
          <w:lang w:val="en-US" w:eastAsia="de-DE"/>
        </w:rPr>
        <w:t xml:space="preserve">= 0.143 mg/kg bw/d </w:t>
      </w:r>
      <w:r w:rsidRPr="00F15A9D">
        <w:rPr>
          <w:rFonts w:cs="Times New Roman"/>
          <w:lang w:eastAsia="de-DE"/>
        </w:rPr>
        <w:sym w:font="Wingdings" w:char="F0F3"/>
      </w:r>
      <w:r w:rsidRPr="00F15A9D">
        <w:rPr>
          <w:rFonts w:cs="Times New Roman"/>
          <w:lang w:val="en-US" w:eastAsia="de-DE"/>
        </w:rPr>
        <w:t xml:space="preserve"> 1144.18 </w:t>
      </w:r>
      <w:r w:rsidRPr="00F15A9D">
        <w:rPr>
          <w:rFonts w:cs="Times New Roman"/>
          <w:lang w:eastAsia="de-DE"/>
        </w:rPr>
        <w:t>µg/d &gt;200 µg/d</w:t>
      </w:r>
    </w:p>
    <w:p w14:paraId="56D3FF16" w14:textId="77777777" w:rsidR="00A53253" w:rsidRPr="00F15A9D" w:rsidRDefault="00A53253" w:rsidP="00F15A9D">
      <w:pPr>
        <w:suppressAutoHyphens w:val="0"/>
        <w:jc w:val="both"/>
        <w:rPr>
          <w:rFonts w:cs="Times New Roman"/>
          <w:lang w:eastAsia="de-DE"/>
        </w:rPr>
      </w:pPr>
    </w:p>
    <w:p w14:paraId="1DEDD246"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These results show an exceedance of the Upper Intake Level (UL) in tier 1. </w:t>
      </w:r>
    </w:p>
    <w:p w14:paraId="47A894C1" w14:textId="77777777" w:rsidR="00A53253" w:rsidRPr="00F15A9D" w:rsidRDefault="00A53253" w:rsidP="00F15A9D">
      <w:pPr>
        <w:suppressAutoHyphens w:val="0"/>
        <w:jc w:val="both"/>
        <w:rPr>
          <w:rFonts w:eastAsiaTheme="minorHAnsi" w:cstheme="minorBidi"/>
          <w:lang w:eastAsia="en-US"/>
        </w:rPr>
      </w:pPr>
    </w:p>
    <w:p w14:paraId="295F9B56" w14:textId="77777777" w:rsidR="00A53253" w:rsidRPr="00F15A9D" w:rsidRDefault="00A53253" w:rsidP="00F15A9D">
      <w:pPr>
        <w:suppressAutoHyphens w:val="0"/>
        <w:jc w:val="both"/>
        <w:rPr>
          <w:rFonts w:eastAsiaTheme="minorHAnsi" w:cstheme="minorBidi"/>
          <w:lang w:val="en-US" w:eastAsia="en-US"/>
        </w:rPr>
      </w:pPr>
    </w:p>
    <w:p w14:paraId="53D7094F" w14:textId="77777777" w:rsidR="00A53253" w:rsidRPr="00F15A9D" w:rsidRDefault="00A53253" w:rsidP="00F15A9D">
      <w:pPr>
        <w:suppressAutoHyphens w:val="0"/>
        <w:jc w:val="both"/>
        <w:rPr>
          <w:rFonts w:eastAsiaTheme="minorHAnsi" w:cstheme="minorBidi"/>
          <w:u w:val="single"/>
          <w:lang w:val="en-US" w:eastAsia="en-US"/>
        </w:rPr>
      </w:pPr>
      <w:r w:rsidRPr="00F15A9D">
        <w:rPr>
          <w:rFonts w:eastAsiaTheme="minorHAnsi" w:cstheme="minorBidi"/>
          <w:u w:val="single"/>
          <w:lang w:val="en-US" w:eastAsia="en-US"/>
        </w:rPr>
        <w:t xml:space="preserve">Tier 2 calculation with EFSA Concise Database: </w:t>
      </w:r>
    </w:p>
    <w:p w14:paraId="7B8CF815"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adult</w:t>
      </w:r>
      <w:r w:rsidRPr="00F15A9D">
        <w:rPr>
          <w:rFonts w:cs="Times New Roman"/>
          <w:lang w:eastAsia="de-DE"/>
        </w:rPr>
        <w:t>= 0.977 mg/kg of milk x (6.05 g/kg bw d/ 1000)</w:t>
      </w:r>
    </w:p>
    <w:p w14:paraId="6A163C68"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adult</w:t>
      </w:r>
      <w:r w:rsidRPr="00F15A9D">
        <w:rPr>
          <w:rFonts w:cs="Times New Roman"/>
          <w:lang w:eastAsia="de-DE"/>
        </w:rPr>
        <w:t xml:space="preserve"> = 0.006 mg/kg bw/d </w:t>
      </w:r>
      <w:r w:rsidRPr="00F15A9D">
        <w:rPr>
          <w:rFonts w:cs="Times New Roman"/>
          <w:lang w:eastAsia="de-DE"/>
        </w:rPr>
        <w:sym w:font="Wingdings" w:char="F0F3"/>
      </w:r>
      <w:r w:rsidRPr="00F15A9D">
        <w:rPr>
          <w:rFonts w:cs="Times New Roman"/>
          <w:lang w:eastAsia="de-DE"/>
        </w:rPr>
        <w:t xml:space="preserve"> 354.65 µg/d &lt;600 µg/d</w:t>
      </w:r>
    </w:p>
    <w:p w14:paraId="72184881" w14:textId="77777777" w:rsidR="00A53253" w:rsidRPr="00F15A9D" w:rsidRDefault="00A53253" w:rsidP="00F15A9D">
      <w:pPr>
        <w:suppressAutoHyphens w:val="0"/>
        <w:jc w:val="both"/>
        <w:rPr>
          <w:rFonts w:cs="Times New Roman"/>
          <w:lang w:eastAsia="de-DE"/>
        </w:rPr>
      </w:pPr>
    </w:p>
    <w:p w14:paraId="28A27E31"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children </w:t>
      </w:r>
      <w:r w:rsidRPr="00F15A9D">
        <w:rPr>
          <w:rFonts w:cs="Times New Roman"/>
          <w:lang w:eastAsia="de-DE"/>
        </w:rPr>
        <w:t>= 0.977 mg/kg of milk x (32.86 g/kg bw d /1000)</w:t>
      </w:r>
    </w:p>
    <w:p w14:paraId="7CCFE50E"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children </w:t>
      </w:r>
      <w:r w:rsidRPr="00F15A9D">
        <w:rPr>
          <w:rFonts w:cs="Times New Roman"/>
          <w:lang w:eastAsia="de-DE"/>
        </w:rPr>
        <w:t xml:space="preserve">= 0.032 mg/kg bw/d </w:t>
      </w:r>
      <w:r w:rsidRPr="00F15A9D">
        <w:rPr>
          <w:rFonts w:cs="Times New Roman"/>
          <w:lang w:eastAsia="de-DE"/>
        </w:rPr>
        <w:sym w:font="Wingdings" w:char="F0F3"/>
      </w:r>
      <w:r w:rsidRPr="00F15A9D">
        <w:rPr>
          <w:rFonts w:cs="Times New Roman"/>
          <w:lang w:eastAsia="de-DE"/>
        </w:rPr>
        <w:t xml:space="preserve"> 500.83 µg/d &gt;250 µg/d</w:t>
      </w:r>
    </w:p>
    <w:p w14:paraId="4E934052" w14:textId="77777777" w:rsidR="00A53253" w:rsidRPr="00F15A9D" w:rsidRDefault="00A53253" w:rsidP="00F15A9D">
      <w:pPr>
        <w:suppressAutoHyphens w:val="0"/>
        <w:jc w:val="both"/>
        <w:rPr>
          <w:rFonts w:cs="Times New Roman"/>
          <w:lang w:eastAsia="de-DE"/>
        </w:rPr>
      </w:pPr>
    </w:p>
    <w:p w14:paraId="02177BE9"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toddlers </w:t>
      </w:r>
      <w:r w:rsidRPr="00F15A9D">
        <w:rPr>
          <w:rFonts w:cs="Times New Roman"/>
          <w:lang w:eastAsia="de-DE"/>
        </w:rPr>
        <w:t>=</w:t>
      </w:r>
      <w:r w:rsidRPr="00F15A9D">
        <w:rPr>
          <w:rFonts w:cs="Times New Roman"/>
          <w:vertAlign w:val="subscript"/>
          <w:lang w:eastAsia="de-DE"/>
        </w:rPr>
        <w:t xml:space="preserve"> </w:t>
      </w:r>
      <w:r w:rsidRPr="00F15A9D">
        <w:rPr>
          <w:rFonts w:cs="Times New Roman"/>
          <w:lang w:eastAsia="de-DE"/>
        </w:rPr>
        <w:t>0.977 mg/kg of milk x (40.51 g/kg bw d/1000)</w:t>
      </w:r>
    </w:p>
    <w:p w14:paraId="59F93F42"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toddlers </w:t>
      </w:r>
      <w:r w:rsidRPr="00F15A9D">
        <w:rPr>
          <w:rFonts w:cs="Times New Roman"/>
          <w:lang w:eastAsia="de-DE"/>
        </w:rPr>
        <w:t xml:space="preserve">= 0.040 mg/kg bw/d </w:t>
      </w:r>
      <w:r w:rsidRPr="00F15A9D">
        <w:rPr>
          <w:rFonts w:cs="Times New Roman"/>
          <w:lang w:eastAsia="de-DE"/>
        </w:rPr>
        <w:sym w:font="Wingdings" w:char="F0F3"/>
      </w:r>
      <w:r w:rsidRPr="00F15A9D">
        <w:rPr>
          <w:rFonts w:cs="Times New Roman"/>
          <w:lang w:eastAsia="de-DE"/>
        </w:rPr>
        <w:t xml:space="preserve"> 395.78 µg/d &gt;250 µg/d</w:t>
      </w:r>
    </w:p>
    <w:p w14:paraId="49FCA7DC" w14:textId="77777777" w:rsidR="00A53253" w:rsidRPr="00F15A9D" w:rsidRDefault="00A53253" w:rsidP="00F15A9D">
      <w:pPr>
        <w:suppressAutoHyphens w:val="0"/>
        <w:jc w:val="both"/>
        <w:rPr>
          <w:rFonts w:cs="Times New Roman"/>
          <w:lang w:eastAsia="de-DE"/>
        </w:rPr>
      </w:pPr>
    </w:p>
    <w:p w14:paraId="7CC08E71"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WCCE </w:t>
      </w:r>
      <w:r w:rsidRPr="00F15A9D">
        <w:rPr>
          <w:rFonts w:cs="Times New Roman"/>
          <w:vertAlign w:val="subscript"/>
          <w:lang w:eastAsia="de-DE"/>
        </w:rPr>
        <w:t xml:space="preserve">infants </w:t>
      </w:r>
      <w:r w:rsidRPr="00F15A9D">
        <w:rPr>
          <w:rFonts w:cs="Times New Roman"/>
          <w:lang w:eastAsia="de-DE"/>
        </w:rPr>
        <w:t>=</w:t>
      </w:r>
      <w:r w:rsidRPr="00F15A9D">
        <w:rPr>
          <w:rFonts w:cs="Times New Roman"/>
          <w:vertAlign w:val="subscript"/>
          <w:lang w:eastAsia="de-DE"/>
        </w:rPr>
        <w:t xml:space="preserve"> </w:t>
      </w:r>
      <w:r w:rsidRPr="00F15A9D">
        <w:rPr>
          <w:rFonts w:cs="Times New Roman"/>
          <w:lang w:eastAsia="de-DE"/>
        </w:rPr>
        <w:t>0.977 mg/kg of milk x (80.35 g/kg bw d /1000)</w:t>
      </w:r>
    </w:p>
    <w:p w14:paraId="022577FF" w14:textId="77777777" w:rsidR="00A53253" w:rsidRPr="00F15A9D" w:rsidRDefault="00A53253" w:rsidP="00F15A9D">
      <w:pPr>
        <w:suppressAutoHyphens w:val="0"/>
        <w:jc w:val="both"/>
        <w:rPr>
          <w:rFonts w:cs="Times New Roman"/>
          <w:u w:val="single"/>
          <w:lang w:eastAsia="de-DE"/>
        </w:rPr>
      </w:pPr>
      <w:r w:rsidRPr="00F15A9D">
        <w:rPr>
          <w:rFonts w:cs="Times New Roman"/>
          <w:lang w:eastAsia="de-DE"/>
        </w:rPr>
        <w:t xml:space="preserve">WCCE </w:t>
      </w:r>
      <w:r w:rsidRPr="00F15A9D">
        <w:rPr>
          <w:rFonts w:cs="Times New Roman"/>
          <w:vertAlign w:val="subscript"/>
          <w:lang w:eastAsia="de-DE"/>
        </w:rPr>
        <w:t xml:space="preserve">infants </w:t>
      </w:r>
      <w:r w:rsidRPr="00F15A9D">
        <w:rPr>
          <w:rFonts w:cs="Times New Roman"/>
          <w:lang w:eastAsia="de-DE"/>
        </w:rPr>
        <w:t>=</w:t>
      </w:r>
      <w:r w:rsidRPr="00F15A9D">
        <w:rPr>
          <w:rFonts w:cs="Times New Roman"/>
          <w:vertAlign w:val="subscript"/>
          <w:lang w:eastAsia="de-DE"/>
        </w:rPr>
        <w:t xml:space="preserve"> </w:t>
      </w:r>
      <w:r w:rsidRPr="00F15A9D">
        <w:rPr>
          <w:rFonts w:cs="Times New Roman"/>
          <w:lang w:eastAsia="de-DE"/>
        </w:rPr>
        <w:t xml:space="preserve">0.079 mg/kg bw/d </w:t>
      </w:r>
      <w:r w:rsidRPr="00F15A9D">
        <w:rPr>
          <w:rFonts w:cs="Times New Roman"/>
          <w:lang w:eastAsia="de-DE"/>
        </w:rPr>
        <w:sym w:font="Wingdings" w:char="F0F3"/>
      </w:r>
      <w:r w:rsidRPr="00F15A9D">
        <w:rPr>
          <w:rFonts w:cs="Times New Roman"/>
          <w:lang w:eastAsia="de-DE"/>
        </w:rPr>
        <w:t xml:space="preserve"> 628.02 µg/d &gt;200 µg/d</w:t>
      </w:r>
      <w:r w:rsidRPr="00F15A9D">
        <w:rPr>
          <w:rFonts w:cs="Times New Roman"/>
          <w:lang w:eastAsia="de-DE"/>
        </w:rPr>
        <w:tab/>
        <w:t xml:space="preserve">      </w:t>
      </w:r>
    </w:p>
    <w:p w14:paraId="72791753" w14:textId="77777777" w:rsidR="00A53253" w:rsidRPr="00F15A9D" w:rsidRDefault="00A53253" w:rsidP="00F15A9D">
      <w:pPr>
        <w:suppressAutoHyphens w:val="0"/>
        <w:jc w:val="both"/>
        <w:rPr>
          <w:rFonts w:cs="Times New Roman"/>
          <w:lang w:eastAsia="de-DE"/>
        </w:rPr>
      </w:pPr>
    </w:p>
    <w:p w14:paraId="2A80B302" w14:textId="77777777" w:rsidR="00A53253" w:rsidRPr="00F15A9D" w:rsidRDefault="00A53253" w:rsidP="00F15A9D">
      <w:pPr>
        <w:suppressAutoHyphens w:val="0"/>
        <w:jc w:val="both"/>
        <w:rPr>
          <w:rFonts w:cs="Times New Roman"/>
          <w:lang w:eastAsia="de-DE"/>
        </w:rPr>
      </w:pPr>
      <w:r w:rsidRPr="00F15A9D">
        <w:rPr>
          <w:rFonts w:cs="Times New Roman"/>
          <w:lang w:eastAsia="de-DE"/>
        </w:rPr>
        <w:t xml:space="preserve">An exceedance of the Upper Intake Level (UL) for children, toddlers and infants cannot be excluded based on the available data. </w:t>
      </w:r>
    </w:p>
    <w:p w14:paraId="266014D7" w14:textId="77777777" w:rsidR="00A53253" w:rsidRPr="00F15A9D" w:rsidRDefault="00A53253" w:rsidP="00F15A9D">
      <w:pPr>
        <w:suppressAutoHyphens w:val="0"/>
        <w:jc w:val="both"/>
        <w:rPr>
          <w:rFonts w:cs="Times New Roman"/>
          <w:lang w:eastAsia="de-DE"/>
        </w:rPr>
      </w:pPr>
    </w:p>
    <w:p w14:paraId="4F0C5006" w14:textId="77777777" w:rsidR="00A53253" w:rsidRPr="00F15A9D" w:rsidRDefault="00A53253" w:rsidP="00F15A9D">
      <w:pPr>
        <w:suppressAutoHyphens w:val="0"/>
        <w:jc w:val="both"/>
        <w:rPr>
          <w:rFonts w:cs="Times New Roman"/>
          <w:highlight w:val="yellow"/>
        </w:rPr>
      </w:pPr>
      <w:r w:rsidRPr="00F15A9D">
        <w:rPr>
          <w:rFonts w:cs="Times New Roman"/>
          <w:lang w:eastAsia="de-DE"/>
        </w:rPr>
        <w:t>The Upper Intake Level (UL) is a reference value considered to compare the exposure via food estimated for the uses of ALGOFILM. As stated above, the UL is an indicative upper value exposure, but does not represent a threshold directly linked to a toxicological risk.</w:t>
      </w:r>
    </w:p>
    <w:p w14:paraId="1FD29870" w14:textId="3025E09C" w:rsidR="00A53253" w:rsidRPr="00F15A9D" w:rsidRDefault="00A53253" w:rsidP="00F15A9D">
      <w:pPr>
        <w:suppressAutoHyphens w:val="0"/>
        <w:jc w:val="both"/>
        <w:rPr>
          <w:rFonts w:eastAsiaTheme="minorHAnsi" w:cstheme="minorBidi"/>
          <w:lang w:eastAsia="en-US"/>
        </w:rPr>
      </w:pPr>
    </w:p>
    <w:p w14:paraId="6D2EC0C0" w14:textId="77777777" w:rsidR="00A53253" w:rsidRPr="00F15A9D" w:rsidRDefault="00A53253" w:rsidP="00F15A9D">
      <w:pPr>
        <w:suppressAutoHyphens w:val="0"/>
        <w:jc w:val="both"/>
        <w:rPr>
          <w:rFonts w:eastAsiaTheme="minorHAnsi" w:cstheme="minorBidi"/>
          <w:lang w:val="en-US" w:eastAsia="en-US"/>
        </w:rPr>
      </w:pPr>
    </w:p>
    <w:p w14:paraId="35A56B34" w14:textId="77777777" w:rsidR="00A53253" w:rsidRPr="00F15A9D" w:rsidRDefault="00A53253" w:rsidP="00F15A9D">
      <w:pPr>
        <w:suppressAutoHyphens w:val="0"/>
        <w:jc w:val="both"/>
        <w:rPr>
          <w:rFonts w:eastAsiaTheme="minorHAnsi" w:cstheme="minorBidi"/>
          <w:highlight w:val="yellow"/>
          <w:lang w:val="en-US" w:eastAsia="en-US"/>
        </w:rPr>
      </w:pPr>
      <w:r w:rsidRPr="00F15A9D">
        <w:rPr>
          <w:rFonts w:eastAsiaTheme="minorHAnsi" w:cstheme="minorBidi"/>
          <w:b/>
          <w:bCs/>
          <w:lang w:val="en-US" w:eastAsia="en-US"/>
        </w:rPr>
        <w:t>Conclusion</w:t>
      </w:r>
    </w:p>
    <w:p w14:paraId="260E81A2" w14:textId="77777777" w:rsidR="00A53253" w:rsidRPr="00F15A9D" w:rsidRDefault="00A53253" w:rsidP="00F15A9D">
      <w:pPr>
        <w:suppressAutoHyphens w:val="0"/>
        <w:spacing w:after="200" w:line="276" w:lineRule="auto"/>
        <w:jc w:val="both"/>
        <w:rPr>
          <w:rFonts w:eastAsiaTheme="minorHAnsi" w:cstheme="minorBidi"/>
          <w:lang w:eastAsia="en-US"/>
        </w:rPr>
      </w:pPr>
      <w:bookmarkStart w:id="86" w:name="_Hlk55222900"/>
      <w:r w:rsidRPr="00F15A9D">
        <w:rPr>
          <w:rFonts w:eastAsiaTheme="minorHAnsi" w:cstheme="minorBidi"/>
          <w:lang w:eastAsia="en-US"/>
        </w:rPr>
        <w:t>No exceedance of the Upper Intake Level (UL) is observed for adults with EFSA Concise Database. However, an exceedance is observed for children, toddlers and infants. Nevertheless, as the estimation of iodine contamination in milk is performed considering the worst-case situation, the dietary exposure calculation is probably overestimated and an exceedance of UL might be unlikely.</w:t>
      </w:r>
    </w:p>
    <w:p w14:paraId="158FF23B" w14:textId="77777777" w:rsidR="00A53253" w:rsidRPr="00F15A9D" w:rsidRDefault="00A53253" w:rsidP="00F15A9D">
      <w:pPr>
        <w:suppressAutoHyphens w:val="0"/>
        <w:spacing w:after="200" w:line="276" w:lineRule="auto"/>
        <w:jc w:val="both"/>
        <w:rPr>
          <w:rFonts w:eastAsiaTheme="minorHAnsi" w:cstheme="minorBidi"/>
          <w:lang w:eastAsia="en-US"/>
        </w:rPr>
      </w:pPr>
      <w:r w:rsidRPr="00F15A9D">
        <w:rPr>
          <w:rFonts w:eastAsiaTheme="minorHAnsi" w:cstheme="minorBidi"/>
          <w:lang w:eastAsia="en-US"/>
        </w:rPr>
        <w:t>Furthermore, it has to be noted that several iodine based products have been authorised under BPR (via union authorisation process) with a total concentration iodine greater than 0.222% and despite an exceedance of the UL (Deosan Activate BPF, IODIGUARD, TEAT DISINFECTANTS BIOCIDAL PRODUCT FAMILY OF CVAS, etc). In conclusion, ALGOFILM does not bring a greater risk than the other iodine based biocidal products already authorized on the European market.</w:t>
      </w:r>
      <w:bookmarkEnd w:id="86"/>
    </w:p>
    <w:p w14:paraId="36D4D9C2" w14:textId="77777777" w:rsidR="009D0C0B" w:rsidRPr="00A53253" w:rsidRDefault="009D0C0B">
      <w:pPr>
        <w:rPr>
          <w:rFonts w:eastAsia="Calibri"/>
          <w:b/>
          <w:caps/>
          <w:sz w:val="28"/>
          <w:szCs w:val="28"/>
          <w:lang w:eastAsia="en-US"/>
        </w:rPr>
      </w:pPr>
    </w:p>
    <w:p w14:paraId="1EB2B82D" w14:textId="5C49A25A" w:rsidR="009D0C0B" w:rsidRDefault="00FA480B">
      <w:pPr>
        <w:pStyle w:val="Titre2"/>
        <w:rPr>
          <w:caps/>
          <w:sz w:val="28"/>
          <w:szCs w:val="28"/>
          <w:lang w:eastAsia="en-US"/>
        </w:rPr>
      </w:pPr>
      <w:bookmarkStart w:id="87" w:name="_Toc74732505"/>
      <w:r>
        <w:t>Summaries of the efficacy studies</w:t>
      </w:r>
      <w:bookmarkEnd w:id="87"/>
      <w:r>
        <w:t xml:space="preserve"> </w:t>
      </w:r>
    </w:p>
    <w:p w14:paraId="483E4ADD" w14:textId="77777777" w:rsidR="00F15A9D" w:rsidRPr="008A6721" w:rsidRDefault="00F15A9D" w:rsidP="00F15A9D">
      <w:pPr>
        <w:rPr>
          <w:b/>
          <w:lang w:val="en-US" w:eastAsia="sv-SE"/>
        </w:rPr>
      </w:pPr>
      <w:r w:rsidRPr="008A6721">
        <w:rPr>
          <w:lang w:val="en-US" w:eastAsia="sv-SE"/>
        </w:rPr>
        <w:t>See IUCLID files</w:t>
      </w:r>
    </w:p>
    <w:p w14:paraId="495061E0" w14:textId="77777777" w:rsidR="009D0C0B" w:rsidRDefault="009D0C0B">
      <w:pPr>
        <w:rPr>
          <w:rFonts w:eastAsia="Calibri"/>
          <w:b/>
          <w:caps/>
          <w:sz w:val="28"/>
          <w:szCs w:val="28"/>
          <w:lang w:eastAsia="en-US"/>
        </w:rPr>
      </w:pPr>
    </w:p>
    <w:p w14:paraId="2BC7ABD0" w14:textId="77777777" w:rsidR="009D0C0B" w:rsidRDefault="00FA480B">
      <w:pPr>
        <w:pStyle w:val="Titre2"/>
        <w:rPr>
          <w:rFonts w:eastAsia="Verdana"/>
          <w:caps/>
          <w:sz w:val="28"/>
          <w:szCs w:val="28"/>
          <w:lang w:val="de-DE" w:eastAsia="en-US"/>
        </w:rPr>
      </w:pPr>
      <w:bookmarkStart w:id="88" w:name="_Toc74732506"/>
      <w:r>
        <w:rPr>
          <w:lang w:val="de-DE"/>
        </w:rPr>
        <w:t>Confidential annex</w:t>
      </w:r>
      <w:bookmarkEnd w:id="88"/>
      <w:r>
        <w:rPr>
          <w:lang w:val="de-DE"/>
        </w:rPr>
        <w:t xml:space="preserve"> </w:t>
      </w:r>
    </w:p>
    <w:p w14:paraId="775F73A4" w14:textId="2E7789A2" w:rsidR="00F15A9D" w:rsidRPr="008A6721" w:rsidRDefault="00F15A9D" w:rsidP="00F15A9D">
      <w:pPr>
        <w:rPr>
          <w:b/>
          <w:lang w:val="en-US" w:eastAsia="sv-SE"/>
        </w:rPr>
      </w:pPr>
      <w:r w:rsidRPr="008A6721">
        <w:rPr>
          <w:lang w:val="en-US" w:eastAsia="sv-SE"/>
        </w:rPr>
        <w:t xml:space="preserve">See </w:t>
      </w:r>
      <w:r>
        <w:rPr>
          <w:lang w:val="en-US" w:eastAsia="sv-SE"/>
        </w:rPr>
        <w:t>separated confidential PAR.</w:t>
      </w:r>
    </w:p>
    <w:p w14:paraId="26171172" w14:textId="77777777" w:rsidR="009D0C0B" w:rsidRDefault="009D0C0B">
      <w:pPr>
        <w:rPr>
          <w:lang w:val="de-DE"/>
        </w:rPr>
      </w:pPr>
    </w:p>
    <w:p w14:paraId="5E0515CF" w14:textId="489BEE68" w:rsidR="009D0C0B" w:rsidRDefault="009D0C0B" w:rsidP="00AB1CDB">
      <w:pPr>
        <w:pStyle w:val="Titre2"/>
        <w:numPr>
          <w:ilvl w:val="0"/>
          <w:numId w:val="0"/>
        </w:numPr>
        <w:rPr>
          <w:sz w:val="28"/>
          <w:szCs w:val="28"/>
        </w:rPr>
      </w:pPr>
    </w:p>
    <w:sectPr w:rsidR="009D0C0B" w:rsidSect="002A0B13">
      <w:pgSz w:w="11906" w:h="16838"/>
      <w:pgMar w:top="1474" w:right="1247" w:bottom="2013" w:left="1446" w:header="851" w:footer="851"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CB8F" w16cid:durableId="24A4FC54"/>
  <w16cid:commentId w16cid:paraId="25E178FA" w16cid:durableId="24A4FC70"/>
  <w16cid:commentId w16cid:paraId="4235BD7D" w16cid:durableId="24A4FC7A"/>
  <w16cid:commentId w16cid:paraId="485A6AC5" w16cid:durableId="24A4FC80"/>
  <w16cid:commentId w16cid:paraId="23A71EAF" w16cid:durableId="24A4FC93"/>
  <w16cid:commentId w16cid:paraId="228C59D5" w16cid:durableId="24A4FC9B"/>
  <w16cid:commentId w16cid:paraId="636AB79A" w16cid:durableId="24A4FCA5"/>
  <w16cid:commentId w16cid:paraId="483AD99E" w16cid:durableId="24B28221"/>
  <w16cid:commentId w16cid:paraId="164CBA7E" w16cid:durableId="24B28341"/>
  <w16cid:commentId w16cid:paraId="29AB55F4" w16cid:durableId="24B285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8605" w14:textId="77777777" w:rsidR="007D001C" w:rsidRDefault="007D001C">
      <w:r>
        <w:separator/>
      </w:r>
    </w:p>
  </w:endnote>
  <w:endnote w:type="continuationSeparator" w:id="0">
    <w:p w14:paraId="07847C00" w14:textId="77777777" w:rsidR="007D001C" w:rsidRDefault="007D001C">
      <w:r>
        <w:continuationSeparator/>
      </w:r>
    </w:p>
  </w:endnote>
  <w:endnote w:type="continuationNotice" w:id="1">
    <w:p w14:paraId="09951761" w14:textId="77777777" w:rsidR="007D001C" w:rsidRDefault="007D0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Calibri"/>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B510" w14:textId="55E544CA" w:rsidR="007D001C" w:rsidRDefault="007D001C">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3140E">
      <w:rPr>
        <w:rFonts w:cs="Verdana"/>
        <w:noProof/>
        <w:sz w:val="18"/>
      </w:rPr>
      <w:t>4</w:t>
    </w:r>
    <w:r>
      <w:rPr>
        <w:rFonts w:cs="Verdana"/>
        <w:sz w:val="18"/>
      </w:rPr>
      <w:fldChar w:fldCharType="end"/>
    </w:r>
  </w:p>
  <w:p w14:paraId="1A98000E" w14:textId="77777777" w:rsidR="007D001C" w:rsidRDefault="007D001C">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CF32" w14:textId="77777777" w:rsidR="007D001C" w:rsidRDefault="007D00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4E92" w14:textId="1502331A" w:rsidR="007D001C" w:rsidRPr="007E0648" w:rsidRDefault="007D001C">
    <w:pPr>
      <w:pStyle w:val="Pieddepage"/>
      <w:jc w:val="right"/>
      <w:rPr>
        <w:rFonts w:ascii="Verdana" w:hAnsi="Verdana" w:cs="Verdana"/>
      </w:rPr>
    </w:pPr>
    <w:r w:rsidRPr="007E0648">
      <w:rPr>
        <w:rFonts w:ascii="Verdana" w:hAnsi="Verdana" w:cs="Verdana"/>
      </w:rPr>
      <w:fldChar w:fldCharType="begin"/>
    </w:r>
    <w:r w:rsidRPr="007E0648">
      <w:rPr>
        <w:rFonts w:ascii="Verdana" w:hAnsi="Verdana" w:cs="Verdana"/>
      </w:rPr>
      <w:instrText xml:space="preserve"> PAGE </w:instrText>
    </w:r>
    <w:r w:rsidRPr="007E0648">
      <w:rPr>
        <w:rFonts w:ascii="Verdana" w:hAnsi="Verdana" w:cs="Verdana"/>
      </w:rPr>
      <w:fldChar w:fldCharType="separate"/>
    </w:r>
    <w:r w:rsidR="00D3140E">
      <w:rPr>
        <w:rFonts w:ascii="Verdana" w:hAnsi="Verdana" w:cs="Verdana"/>
        <w:noProof/>
      </w:rPr>
      <w:t>21</w:t>
    </w:r>
    <w:r w:rsidRPr="007E0648">
      <w:rPr>
        <w:rFonts w:ascii="Verdana" w:hAnsi="Verdana" w:cs="Verdana"/>
      </w:rPr>
      <w:fldChar w:fldCharType="end"/>
    </w:r>
  </w:p>
  <w:p w14:paraId="635E258E" w14:textId="77777777" w:rsidR="007D001C" w:rsidRDefault="007D001C">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1F6F" w14:textId="77777777" w:rsidR="007D001C" w:rsidRDefault="007D00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FCE5" w14:textId="77777777" w:rsidR="007D001C" w:rsidRDefault="007D001C">
      <w:r>
        <w:separator/>
      </w:r>
    </w:p>
  </w:footnote>
  <w:footnote w:type="continuationSeparator" w:id="0">
    <w:p w14:paraId="73B069AE" w14:textId="77777777" w:rsidR="007D001C" w:rsidRDefault="007D001C">
      <w:r>
        <w:continuationSeparator/>
      </w:r>
    </w:p>
  </w:footnote>
  <w:footnote w:type="continuationNotice" w:id="1">
    <w:p w14:paraId="2C848A93" w14:textId="77777777" w:rsidR="007D001C" w:rsidRDefault="007D001C"/>
  </w:footnote>
  <w:footnote w:id="2">
    <w:p w14:paraId="69582DCB" w14:textId="77777777" w:rsidR="007D001C" w:rsidRDefault="007D001C">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76E1A70D" w14:textId="77777777" w:rsidR="007D001C" w:rsidRDefault="007D001C">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4">
    <w:p w14:paraId="2C252B63" w14:textId="74538FB2" w:rsidR="007D001C" w:rsidRPr="00756D90" w:rsidRDefault="007D001C" w:rsidP="00AB1CDB">
      <w:pPr>
        <w:jc w:val="both"/>
        <w:rPr>
          <w:sz w:val="18"/>
          <w:lang w:val="en-US" w:eastAsia="fr-FR"/>
        </w:rPr>
      </w:pPr>
      <w:r w:rsidRPr="00E574A2">
        <w:rPr>
          <w:rStyle w:val="Appelnotedebasdep"/>
        </w:rPr>
        <w:footnoteRef/>
      </w:r>
      <w:r w:rsidRPr="00E574A2">
        <w:t xml:space="preserve"> </w:t>
      </w:r>
      <w:r w:rsidRPr="00756D90">
        <w:rPr>
          <w:sz w:val="18"/>
          <w:lang w:val="en-US" w:eastAsia="fr-FR"/>
        </w:rPr>
        <w:t xml:space="preserve">SCF (Scientific Committee on Food), 2002. Opinion of the Scientific Committee on Food on the Tolerable Upper Intake Level of Iodine. 15 pp. </w:t>
      </w:r>
    </w:p>
    <w:p w14:paraId="28FE4E0E" w14:textId="77777777" w:rsidR="007D001C" w:rsidRPr="00756D90" w:rsidRDefault="007D001C" w:rsidP="00452E09">
      <w:pPr>
        <w:pStyle w:val="Notedebasdepage"/>
        <w:rPr>
          <w:sz w:val="18"/>
          <w:lang w:val="en-US"/>
        </w:rPr>
      </w:pPr>
    </w:p>
  </w:footnote>
  <w:footnote w:id="5">
    <w:p w14:paraId="3D2EE717" w14:textId="77777777" w:rsidR="007D001C" w:rsidRPr="00CC1ECF" w:rsidRDefault="007D001C" w:rsidP="002039E1">
      <w:pPr>
        <w:autoSpaceDE w:val="0"/>
        <w:autoSpaceDN w:val="0"/>
        <w:adjustRightInd w:val="0"/>
        <w:rPr>
          <w:lang w:val="en-US"/>
        </w:rPr>
      </w:pPr>
      <w:r w:rsidRPr="00CC1ECF">
        <w:rPr>
          <w:rStyle w:val="Appelnotedebasdep"/>
        </w:rPr>
        <w:footnoteRef/>
      </w:r>
      <w:r>
        <w:rPr>
          <w:rFonts w:cs="Arial"/>
          <w:sz w:val="16"/>
          <w:szCs w:val="18"/>
          <w:lang w:val="en-US"/>
        </w:rPr>
        <w:t xml:space="preserve"> </w:t>
      </w:r>
      <w:r w:rsidRPr="00CC1ECF">
        <w:rPr>
          <w:rFonts w:cs="Arial"/>
          <w:sz w:val="16"/>
          <w:szCs w:val="18"/>
          <w:lang w:val="en-US"/>
        </w:rPr>
        <w:t>EFSA Journal 2013 ; 11(2) :3099 : Scientific opinion on the safety and efficacy of iodine compounds (E2) as feed additives for all animal species : calcium iodate anhydrous and potassium iodide, based on a dossier submitted by Ajay Europe SARL</w:t>
      </w:r>
    </w:p>
  </w:footnote>
  <w:footnote w:id="6">
    <w:p w14:paraId="4B6436BF" w14:textId="77777777" w:rsidR="007D001C" w:rsidRPr="00CC1ECF" w:rsidRDefault="007D001C" w:rsidP="002039E1">
      <w:pPr>
        <w:autoSpaceDE w:val="0"/>
        <w:autoSpaceDN w:val="0"/>
        <w:adjustRightInd w:val="0"/>
        <w:rPr>
          <w:lang w:val="en-US"/>
        </w:rPr>
      </w:pPr>
      <w:r w:rsidRPr="00CC1ECF">
        <w:rPr>
          <w:rStyle w:val="Appelnotedebasdep"/>
        </w:rPr>
        <w:footnoteRef/>
      </w:r>
      <w:r w:rsidRPr="00AA74C6">
        <w:rPr>
          <w:lang w:val="en-US"/>
        </w:rPr>
        <w:t xml:space="preserve"> </w:t>
      </w:r>
      <w:r w:rsidRPr="00CC1ECF">
        <w:rPr>
          <w:rFonts w:cs="Arial"/>
          <w:sz w:val="16"/>
          <w:szCs w:val="18"/>
          <w:lang w:val="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7">
    <w:p w14:paraId="5E950B9C" w14:textId="77777777" w:rsidR="007D001C" w:rsidRPr="00AA74C6" w:rsidRDefault="007D001C" w:rsidP="002039E1">
      <w:pPr>
        <w:autoSpaceDE w:val="0"/>
        <w:autoSpaceDN w:val="0"/>
        <w:adjustRightInd w:val="0"/>
        <w:rPr>
          <w:lang w:val="en-US"/>
        </w:rPr>
      </w:pPr>
      <w:r w:rsidRPr="00CC1ECF">
        <w:rPr>
          <w:rStyle w:val="Appelnotedebasdep"/>
        </w:rPr>
        <w:footnoteRef/>
      </w:r>
      <w:r w:rsidRPr="00AA74C6">
        <w:rPr>
          <w:lang w:val="en-US"/>
        </w:rPr>
        <w:t xml:space="preserve"> </w:t>
      </w:r>
      <w:r w:rsidRPr="00CC1ECF">
        <w:rPr>
          <w:rFonts w:cs="Arial"/>
          <w:sz w:val="16"/>
          <w:szCs w:val="18"/>
          <w:lang w:val="en-US"/>
        </w:rPr>
        <w:t>Commission Regulation (EU) No 37/2010 of 22 December 2009 on pharmacologically active substances and their classification regarding maximum residue limits in foodstuffs of animal origin. Official Journal of the European Union, L 15/1.</w:t>
      </w:r>
    </w:p>
  </w:footnote>
  <w:footnote w:id="8">
    <w:p w14:paraId="151EF7CD" w14:textId="77777777" w:rsidR="007D001C" w:rsidRDefault="007D001C">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9">
    <w:p w14:paraId="2C768909" w14:textId="12D19837" w:rsidR="007D001C" w:rsidRPr="008147CA" w:rsidRDefault="007D001C" w:rsidP="00F15A9D">
      <w:r w:rsidRPr="00411C91">
        <w:rPr>
          <w:rStyle w:val="Appelnotedebasdep"/>
        </w:rPr>
        <w:footnoteRef/>
      </w:r>
      <w:r w:rsidRPr="00AA74C6">
        <w:rPr>
          <w:sz w:val="16"/>
          <w:lang w:val="en-US"/>
        </w:rPr>
        <w:t xml:space="preserve"> ARTFood draft Guidance on teat dip scenario, 2016. </w:t>
      </w:r>
    </w:p>
  </w:footnote>
  <w:footnote w:id="10">
    <w:p w14:paraId="5A73EBBE" w14:textId="77777777" w:rsidR="007D001C" w:rsidRPr="00EA386E" w:rsidRDefault="007D001C" w:rsidP="00A53253">
      <w:pPr>
        <w:pStyle w:val="Notedebasdepage"/>
        <w:rPr>
          <w:rFonts w:eastAsiaTheme="minorHAnsi" w:cs="Arial"/>
          <w:sz w:val="16"/>
          <w:szCs w:val="16"/>
          <w:lang w:val="en-US" w:eastAsia="en-US"/>
        </w:rPr>
      </w:pPr>
      <w:r w:rsidRPr="00EA386E">
        <w:rPr>
          <w:rStyle w:val="Appelnotedebasdep"/>
          <w:szCs w:val="16"/>
        </w:rPr>
        <w:footnoteRef/>
      </w:r>
      <w:r w:rsidRPr="00EA386E">
        <w:rPr>
          <w:sz w:val="16"/>
          <w:szCs w:val="16"/>
          <w:vertAlign w:val="superscript"/>
        </w:rPr>
        <w:t xml:space="preserve"> </w:t>
      </w:r>
      <w:r w:rsidRPr="00EA386E">
        <w:rPr>
          <w:rFonts w:eastAsiaTheme="minorHAnsi" w:cs="Arial"/>
          <w:sz w:val="16"/>
          <w:szCs w:val="16"/>
          <w:lang w:val="en-US" w:eastAsia="en-US"/>
        </w:rPr>
        <w:t xml:space="preserve">Volume 8: Notice to applicants and Guideline – Veterinary medicinal products : Establishment of maximum residue limits (MRLs) for residues of veterinary medicinal products in foodstuffs of animal origin </w:t>
      </w:r>
    </w:p>
  </w:footnote>
  <w:footnote w:id="11">
    <w:p w14:paraId="2C27D12F" w14:textId="77777777" w:rsidR="007D001C" w:rsidRPr="00411C91" w:rsidRDefault="007D001C" w:rsidP="00A53253">
      <w:pPr>
        <w:pStyle w:val="Notedebasdepage"/>
        <w:rPr>
          <w:sz w:val="16"/>
          <w:lang w:val="en-US"/>
        </w:rPr>
      </w:pPr>
      <w:r w:rsidRPr="00411C91">
        <w:rPr>
          <w:rStyle w:val="Appelnotedebasdep"/>
        </w:rPr>
        <w:footnoteRef/>
      </w:r>
      <w:r w:rsidRPr="00411C91">
        <w:rPr>
          <w:sz w:val="16"/>
        </w:rPr>
        <w:t xml:space="preserve"> http://www.efsa.europa.eu/en/food-consumption/comprehensive-database</w:t>
      </w:r>
    </w:p>
  </w:footnote>
  <w:footnote w:id="12">
    <w:p w14:paraId="0E90C6E7" w14:textId="77777777" w:rsidR="007D001C" w:rsidRPr="00411C91" w:rsidRDefault="007D001C" w:rsidP="00A53253">
      <w:pPr>
        <w:pStyle w:val="Notedebasdepage"/>
        <w:rPr>
          <w:sz w:val="16"/>
          <w:lang w:val="en-US"/>
        </w:rPr>
      </w:pPr>
      <w:r w:rsidRPr="00411C91">
        <w:rPr>
          <w:rStyle w:val="Appelnotedebasdep"/>
        </w:rPr>
        <w:footnoteRef/>
      </w:r>
      <w:r w:rsidRPr="00411C91">
        <w:rPr>
          <w:sz w:val="16"/>
        </w:rPr>
        <w:t xml:space="preserve"> Reasoned opinion on the potential chronic and acute risk to consumers’ health arising from proposed temporary EU MRLs - 15/03/2007</w:t>
      </w:r>
    </w:p>
  </w:footnote>
  <w:footnote w:id="13">
    <w:p w14:paraId="632B42B0" w14:textId="77777777" w:rsidR="007D001C" w:rsidRPr="00411C91" w:rsidRDefault="007D001C" w:rsidP="00A53253">
      <w:pPr>
        <w:pStyle w:val="Notedebasdepage"/>
        <w:rPr>
          <w:sz w:val="16"/>
          <w:lang w:val="en-US"/>
        </w:rPr>
      </w:pPr>
      <w:r w:rsidRPr="00411C91">
        <w:rPr>
          <w:rStyle w:val="Appelnotedebasdep"/>
        </w:rPr>
        <w:footnoteRef/>
      </w:r>
      <w:r w:rsidRPr="00411C91">
        <w:rPr>
          <w:sz w:val="16"/>
        </w:rPr>
        <w:t xml:space="preserve"> https://echa.europa.eu/documents/10162/19680902/heeg_opinion_17_default_human_factor_values_en.pdf</w:t>
      </w:r>
    </w:p>
  </w:footnote>
  <w:footnote w:id="14">
    <w:p w14:paraId="0DAA51AD" w14:textId="77777777" w:rsidR="007D001C" w:rsidRPr="008E4CAE" w:rsidRDefault="007D001C" w:rsidP="00A53253">
      <w:pPr>
        <w:pStyle w:val="Notedebasdepage"/>
      </w:pPr>
      <w:r w:rsidRPr="00411C91">
        <w:rPr>
          <w:rStyle w:val="Appelnotedebasdep"/>
        </w:rPr>
        <w:footnoteRef/>
      </w:r>
      <w:r w:rsidRPr="00411C91">
        <w:rPr>
          <w:sz w:val="16"/>
        </w:rPr>
        <w:t xml:space="preserve"> Worst Case Consumer 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7D001C" w14:paraId="7FAAC9BE" w14:textId="77777777">
      <w:tc>
        <w:tcPr>
          <w:tcW w:w="1276" w:type="dxa"/>
          <w:tcBorders>
            <w:bottom w:val="single" w:sz="4" w:space="0" w:color="000000"/>
          </w:tcBorders>
          <w:shd w:val="clear" w:color="auto" w:fill="auto"/>
          <w:vAlign w:val="center"/>
        </w:tcPr>
        <w:p w14:paraId="72A47531" w14:textId="74FAD069" w:rsidR="007D001C" w:rsidRDefault="007D001C" w:rsidP="008C7AD3">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2A30BD5B" w14:textId="6A3B0352" w:rsidR="007D001C" w:rsidRDefault="007D001C" w:rsidP="008C7AD3">
          <w:pPr>
            <w:widowControl w:val="0"/>
            <w:autoSpaceDE w:val="0"/>
            <w:jc w:val="center"/>
            <w:rPr>
              <w:rFonts w:cs="Times"/>
              <w:color w:val="000000"/>
              <w:sz w:val="18"/>
              <w:szCs w:val="18"/>
            </w:rPr>
          </w:pPr>
          <w:r>
            <w:rPr>
              <w:rFonts w:cs="Times"/>
              <w:color w:val="000000"/>
              <w:sz w:val="18"/>
              <w:szCs w:val="18"/>
            </w:rPr>
            <w:t>&lt;ALGOFILM&gt;</w:t>
          </w:r>
        </w:p>
      </w:tc>
      <w:tc>
        <w:tcPr>
          <w:tcW w:w="2552" w:type="dxa"/>
          <w:tcBorders>
            <w:bottom w:val="single" w:sz="4" w:space="0" w:color="000000"/>
          </w:tcBorders>
          <w:shd w:val="clear" w:color="auto" w:fill="auto"/>
          <w:vAlign w:val="center"/>
        </w:tcPr>
        <w:p w14:paraId="2ADD1CE8" w14:textId="7869D217" w:rsidR="007D001C" w:rsidRDefault="007D001C">
          <w:pPr>
            <w:widowControl w:val="0"/>
            <w:autoSpaceDE w:val="0"/>
            <w:jc w:val="center"/>
          </w:pPr>
          <w:r>
            <w:rPr>
              <w:rFonts w:cs="Times"/>
              <w:color w:val="000000"/>
              <w:sz w:val="18"/>
              <w:szCs w:val="18"/>
            </w:rPr>
            <w:t>&lt;PT3&gt;</w:t>
          </w:r>
        </w:p>
      </w:tc>
    </w:tr>
  </w:tbl>
  <w:p w14:paraId="560A7994" w14:textId="77777777" w:rsidR="007D001C" w:rsidRDefault="007D00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C751" w14:textId="77777777" w:rsidR="007D001C" w:rsidRDefault="007D00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F43B" w14:textId="77777777" w:rsidR="007D001C" w:rsidRDefault="007D00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87247B8"/>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568"/>
        </w:tabs>
        <w:ind w:left="1288"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i w:val="0"/>
        <w:sz w:val="22"/>
        <w:szCs w:val="22"/>
        <w:vertAlign w:val="baseline"/>
      </w:rPr>
    </w:lvl>
    <w:lvl w:ilvl="4">
      <w:start w:val="1"/>
      <w:numFmt w:val="decimal"/>
      <w:pStyle w:val="Titre5"/>
      <w:lvlText w:val="%1.%2.%3.%4.%5"/>
      <w:lvlJc w:val="left"/>
      <w:pPr>
        <w:tabs>
          <w:tab w:val="num" w:pos="0"/>
        </w:tabs>
        <w:ind w:left="1008" w:hanging="1008"/>
      </w:pPr>
      <w:rPr>
        <w:b w:val="0"/>
        <w:i w:val="0"/>
      </w:r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8600D"/>
    <w:multiLevelType w:val="hybridMultilevel"/>
    <w:tmpl w:val="16E0FA74"/>
    <w:lvl w:ilvl="0" w:tplc="39A867FC">
      <w:numFmt w:val="bullet"/>
      <w:lvlText w:val="-"/>
      <w:lvlJc w:val="left"/>
      <w:pPr>
        <w:ind w:left="1434" w:hanging="360"/>
      </w:pPr>
      <w:rPr>
        <w:rFonts w:ascii="Calibri" w:eastAsiaTheme="minorHAnsi" w:hAnsi="Calibri"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53BAF"/>
    <w:multiLevelType w:val="hybridMultilevel"/>
    <w:tmpl w:val="F1226014"/>
    <w:lvl w:ilvl="0" w:tplc="EEC6BC9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53F93"/>
    <w:multiLevelType w:val="hybridMultilevel"/>
    <w:tmpl w:val="DC486974"/>
    <w:lvl w:ilvl="0" w:tplc="9500A3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E58F9"/>
    <w:multiLevelType w:val="hybridMultilevel"/>
    <w:tmpl w:val="6BE23988"/>
    <w:lvl w:ilvl="0" w:tplc="A4F244C0">
      <w:start w:val="90"/>
      <w:numFmt w:val="bullet"/>
      <w:lvlText w:val="-"/>
      <w:lvlJc w:val="left"/>
      <w:pPr>
        <w:ind w:left="720" w:hanging="360"/>
      </w:pPr>
      <w:rPr>
        <w:rFonts w:ascii="Verdana" w:eastAsia="Times New Roman" w:hAnsi="Verdana" w:cs="Times New Roman" w:hint="default"/>
        <w:color w:val="auto"/>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E256F2B"/>
    <w:multiLevelType w:val="hybridMultilevel"/>
    <w:tmpl w:val="B532B6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440F9E"/>
    <w:multiLevelType w:val="hybridMultilevel"/>
    <w:tmpl w:val="8FE83640"/>
    <w:lvl w:ilvl="0" w:tplc="EEC6BC9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49911CA"/>
    <w:multiLevelType w:val="hybridMultilevel"/>
    <w:tmpl w:val="5010F0E4"/>
    <w:lvl w:ilvl="0" w:tplc="C5FA9BCC">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880B55"/>
    <w:multiLevelType w:val="hybridMultilevel"/>
    <w:tmpl w:val="9CB688C2"/>
    <w:lvl w:ilvl="0" w:tplc="3C1C545A">
      <w:start w:val="43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921F86"/>
    <w:multiLevelType w:val="multilevel"/>
    <w:tmpl w:val="CAE2C9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2F74046"/>
    <w:multiLevelType w:val="hybridMultilevel"/>
    <w:tmpl w:val="085CF8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DF7C9B"/>
    <w:multiLevelType w:val="hybridMultilevel"/>
    <w:tmpl w:val="0E9E1CFC"/>
    <w:lvl w:ilvl="0" w:tplc="3A02EF40">
      <w:start w:val="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1D61F5"/>
    <w:multiLevelType w:val="hybridMultilevel"/>
    <w:tmpl w:val="7804B154"/>
    <w:lvl w:ilvl="0" w:tplc="EEC6BC9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ED0AB7"/>
    <w:multiLevelType w:val="hybridMultilevel"/>
    <w:tmpl w:val="3DCE7134"/>
    <w:lvl w:ilvl="0" w:tplc="5B321180">
      <w:numFmt w:val="bullet"/>
      <w:lvlText w:val="-"/>
      <w:lvlJc w:val="left"/>
      <w:pPr>
        <w:ind w:left="360" w:hanging="360"/>
      </w:pPr>
      <w:rPr>
        <w:rFonts w:ascii="Calibri" w:eastAsia="Times New Roman" w:hAnsi="Calibri" w:hint="default"/>
        <w:lang w:val="en-G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9D1938"/>
    <w:multiLevelType w:val="hybridMultilevel"/>
    <w:tmpl w:val="0E5C50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E07354"/>
    <w:multiLevelType w:val="hybridMultilevel"/>
    <w:tmpl w:val="675EE348"/>
    <w:lvl w:ilvl="0" w:tplc="E2C0889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8A5901"/>
    <w:multiLevelType w:val="hybridMultilevel"/>
    <w:tmpl w:val="4B9AA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E73202"/>
    <w:multiLevelType w:val="hybridMultilevel"/>
    <w:tmpl w:val="14C6739E"/>
    <w:lvl w:ilvl="0" w:tplc="B2AAC4CA">
      <w:start w:val="1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C0491E"/>
    <w:multiLevelType w:val="hybridMultilevel"/>
    <w:tmpl w:val="8C5AC310"/>
    <w:lvl w:ilvl="0" w:tplc="B2AAC4CA">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43FDC"/>
    <w:multiLevelType w:val="hybridMultilevel"/>
    <w:tmpl w:val="9FA4EA0E"/>
    <w:lvl w:ilvl="0" w:tplc="5B1EEFC2">
      <w:numFmt w:val="bullet"/>
      <w:lvlText w:val="-"/>
      <w:lvlJc w:val="left"/>
      <w:pPr>
        <w:ind w:left="363" w:hanging="360"/>
      </w:pPr>
      <w:rPr>
        <w:rFonts w:ascii="Verdana" w:eastAsia="Times New Roman" w:hAnsi="Verdana"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 w15:restartNumberingAfterBreak="0">
    <w:nsid w:val="774E32FD"/>
    <w:multiLevelType w:val="hybridMultilevel"/>
    <w:tmpl w:val="B41AC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21506F"/>
    <w:multiLevelType w:val="hybridMultilevel"/>
    <w:tmpl w:val="FCD62F50"/>
    <w:lvl w:ilvl="0" w:tplc="5B321180">
      <w:numFmt w:val="bullet"/>
      <w:lvlText w:val="-"/>
      <w:lvlJc w:val="left"/>
      <w:pPr>
        <w:ind w:left="360" w:hanging="360"/>
      </w:pPr>
      <w:rPr>
        <w:rFonts w:ascii="Calibri" w:eastAsia="Times New Roman" w:hAnsi="Calibri" w:hint="default"/>
        <w:lang w:val="en-GB"/>
      </w:rPr>
    </w:lvl>
    <w:lvl w:ilvl="1" w:tplc="F5B0270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7"/>
  </w:num>
  <w:num w:numId="10">
    <w:abstractNumId w:val="25"/>
  </w:num>
  <w:num w:numId="11">
    <w:abstractNumId w:val="23"/>
  </w:num>
  <w:num w:numId="12">
    <w:abstractNumId w:val="13"/>
  </w:num>
  <w:num w:numId="13">
    <w:abstractNumId w:val="8"/>
  </w:num>
  <w:num w:numId="14">
    <w:abstractNumId w:val="24"/>
  </w:num>
  <w:num w:numId="15">
    <w:abstractNumId w:val="11"/>
  </w:num>
  <w:num w:numId="16">
    <w:abstractNumId w:val="17"/>
  </w:num>
  <w:num w:numId="17">
    <w:abstractNumId w:val="7"/>
  </w:num>
  <w:num w:numId="18">
    <w:abstractNumId w:val="22"/>
  </w:num>
  <w:num w:numId="19">
    <w:abstractNumId w:val="5"/>
  </w:num>
  <w:num w:numId="20">
    <w:abstractNumId w:val="26"/>
  </w:num>
  <w:num w:numId="21">
    <w:abstractNumId w:val="12"/>
  </w:num>
  <w:num w:numId="22">
    <w:abstractNumId w:val="10"/>
  </w:num>
  <w:num w:numId="23">
    <w:abstractNumId w:val="29"/>
  </w:num>
  <w:num w:numId="24">
    <w:abstractNumId w:val="9"/>
  </w:num>
  <w:num w:numId="25">
    <w:abstractNumId w:val="16"/>
  </w:num>
  <w:num w:numId="26">
    <w:abstractNumId w:val="18"/>
  </w:num>
  <w:num w:numId="27">
    <w:abstractNumId w:val="0"/>
  </w:num>
  <w:num w:numId="28">
    <w:abstractNumId w:val="0"/>
  </w:num>
  <w:num w:numId="29">
    <w:abstractNumId w:val="0"/>
  </w:num>
  <w:num w:numId="30">
    <w:abstractNumId w:val="0"/>
  </w:num>
  <w:num w:numId="31">
    <w:abstractNumId w:val="28"/>
  </w:num>
  <w:num w:numId="32">
    <w:abstractNumId w:val="6"/>
  </w:num>
  <w:num w:numId="33">
    <w:abstractNumId w:val="20"/>
  </w:num>
  <w:num w:numId="34">
    <w:abstractNumId w:val="0"/>
  </w:num>
  <w:num w:numId="35">
    <w:abstractNumId w:val="30"/>
  </w:num>
  <w:num w:numId="36">
    <w:abstractNumId w:val="14"/>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nl-NL" w:vendorID="64" w:dllVersion="6" w:nlCheck="1" w:checkStyle="0"/>
  <w:activeWritingStyle w:appName="MSWord" w:lang="es-ES" w:vendorID="64" w:dllVersion="6" w:nlCheck="1" w:checkStyle="0"/>
  <w:activeWritingStyle w:appName="MSWord" w:lang="en-029"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029" w:vendorID="64" w:dllVersion="0" w:nlCheck="1" w:checkStyle="0"/>
  <w:activeWritingStyle w:appName="MSWord" w:lang="fr-FR" w:vendorID="64" w:dllVersion="0" w:nlCheck="1" w:checkStyle="0"/>
  <w:activeWritingStyle w:appName="MSWord" w:lang="fr-BE"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029"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nl-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DAF"/>
    <w:rsid w:val="00002341"/>
    <w:rsid w:val="00005533"/>
    <w:rsid w:val="00022762"/>
    <w:rsid w:val="00024308"/>
    <w:rsid w:val="0003496D"/>
    <w:rsid w:val="00036DD3"/>
    <w:rsid w:val="00037E00"/>
    <w:rsid w:val="0004652B"/>
    <w:rsid w:val="00047A71"/>
    <w:rsid w:val="000531F0"/>
    <w:rsid w:val="00053DE4"/>
    <w:rsid w:val="0006732F"/>
    <w:rsid w:val="00074CA7"/>
    <w:rsid w:val="000833AA"/>
    <w:rsid w:val="000904DA"/>
    <w:rsid w:val="00096A18"/>
    <w:rsid w:val="000A7815"/>
    <w:rsid w:val="000B0499"/>
    <w:rsid w:val="000C12A0"/>
    <w:rsid w:val="000E1283"/>
    <w:rsid w:val="000F37D8"/>
    <w:rsid w:val="000F4CFF"/>
    <w:rsid w:val="000F7A30"/>
    <w:rsid w:val="000F7B12"/>
    <w:rsid w:val="0010121A"/>
    <w:rsid w:val="00151BC7"/>
    <w:rsid w:val="00154253"/>
    <w:rsid w:val="00154D1F"/>
    <w:rsid w:val="00170B01"/>
    <w:rsid w:val="00172F86"/>
    <w:rsid w:val="00182CFE"/>
    <w:rsid w:val="00190628"/>
    <w:rsid w:val="00197564"/>
    <w:rsid w:val="001A59FE"/>
    <w:rsid w:val="001B22B3"/>
    <w:rsid w:val="001B745F"/>
    <w:rsid w:val="001E42C3"/>
    <w:rsid w:val="001E5F9A"/>
    <w:rsid w:val="001F20B0"/>
    <w:rsid w:val="002039E1"/>
    <w:rsid w:val="002058AD"/>
    <w:rsid w:val="00210232"/>
    <w:rsid w:val="002110E3"/>
    <w:rsid w:val="002152B7"/>
    <w:rsid w:val="00221142"/>
    <w:rsid w:val="00227F6B"/>
    <w:rsid w:val="00237671"/>
    <w:rsid w:val="0025461D"/>
    <w:rsid w:val="00261A29"/>
    <w:rsid w:val="00262A94"/>
    <w:rsid w:val="00276EDA"/>
    <w:rsid w:val="002A0B13"/>
    <w:rsid w:val="002A1DCA"/>
    <w:rsid w:val="002A428A"/>
    <w:rsid w:val="002A61DC"/>
    <w:rsid w:val="002B1A2D"/>
    <w:rsid w:val="002B76E1"/>
    <w:rsid w:val="002C0892"/>
    <w:rsid w:val="002C4B6A"/>
    <w:rsid w:val="002C6809"/>
    <w:rsid w:val="002D0BFB"/>
    <w:rsid w:val="002E0C60"/>
    <w:rsid w:val="002F16CC"/>
    <w:rsid w:val="002F6279"/>
    <w:rsid w:val="002F6BFB"/>
    <w:rsid w:val="00304E58"/>
    <w:rsid w:val="00310491"/>
    <w:rsid w:val="00314F4F"/>
    <w:rsid w:val="0032408E"/>
    <w:rsid w:val="003535FE"/>
    <w:rsid w:val="00354826"/>
    <w:rsid w:val="00355B8A"/>
    <w:rsid w:val="003631B4"/>
    <w:rsid w:val="00364F2B"/>
    <w:rsid w:val="003653F3"/>
    <w:rsid w:val="00377AC6"/>
    <w:rsid w:val="00380DC2"/>
    <w:rsid w:val="00390618"/>
    <w:rsid w:val="00397C2A"/>
    <w:rsid w:val="003A37BA"/>
    <w:rsid w:val="003A4095"/>
    <w:rsid w:val="003B32C3"/>
    <w:rsid w:val="003B5954"/>
    <w:rsid w:val="003C1035"/>
    <w:rsid w:val="003C6A3A"/>
    <w:rsid w:val="003D2C4F"/>
    <w:rsid w:val="003D41CE"/>
    <w:rsid w:val="003E7BB9"/>
    <w:rsid w:val="003F3D41"/>
    <w:rsid w:val="004107C9"/>
    <w:rsid w:val="00420383"/>
    <w:rsid w:val="004236E4"/>
    <w:rsid w:val="0042590C"/>
    <w:rsid w:val="00426285"/>
    <w:rsid w:val="0042774B"/>
    <w:rsid w:val="0043372C"/>
    <w:rsid w:val="00447134"/>
    <w:rsid w:val="00452E09"/>
    <w:rsid w:val="00454D17"/>
    <w:rsid w:val="004611B1"/>
    <w:rsid w:val="00485DCD"/>
    <w:rsid w:val="00494816"/>
    <w:rsid w:val="004B13E4"/>
    <w:rsid w:val="004B6836"/>
    <w:rsid w:val="004B6FFC"/>
    <w:rsid w:val="004C3809"/>
    <w:rsid w:val="004C4809"/>
    <w:rsid w:val="004C7683"/>
    <w:rsid w:val="004C7B5D"/>
    <w:rsid w:val="004E1826"/>
    <w:rsid w:val="004E6DB9"/>
    <w:rsid w:val="004F00B2"/>
    <w:rsid w:val="0050013A"/>
    <w:rsid w:val="005037B9"/>
    <w:rsid w:val="005040A3"/>
    <w:rsid w:val="00512453"/>
    <w:rsid w:val="005272CD"/>
    <w:rsid w:val="00540758"/>
    <w:rsid w:val="00541284"/>
    <w:rsid w:val="00542C72"/>
    <w:rsid w:val="00543352"/>
    <w:rsid w:val="00546CD1"/>
    <w:rsid w:val="00567E0E"/>
    <w:rsid w:val="00574E6E"/>
    <w:rsid w:val="005830A5"/>
    <w:rsid w:val="005A3864"/>
    <w:rsid w:val="005B5086"/>
    <w:rsid w:val="005B546D"/>
    <w:rsid w:val="005C0298"/>
    <w:rsid w:val="005E6B83"/>
    <w:rsid w:val="005F29F6"/>
    <w:rsid w:val="005F758E"/>
    <w:rsid w:val="00600982"/>
    <w:rsid w:val="006060C9"/>
    <w:rsid w:val="00611361"/>
    <w:rsid w:val="00620CDB"/>
    <w:rsid w:val="00634D75"/>
    <w:rsid w:val="00635273"/>
    <w:rsid w:val="00640396"/>
    <w:rsid w:val="00651431"/>
    <w:rsid w:val="006544F1"/>
    <w:rsid w:val="006552D7"/>
    <w:rsid w:val="0065553F"/>
    <w:rsid w:val="00662033"/>
    <w:rsid w:val="00662B97"/>
    <w:rsid w:val="0066333F"/>
    <w:rsid w:val="0066517E"/>
    <w:rsid w:val="00671E49"/>
    <w:rsid w:val="00671E9D"/>
    <w:rsid w:val="006743E7"/>
    <w:rsid w:val="0068010E"/>
    <w:rsid w:val="006808A0"/>
    <w:rsid w:val="00680CE7"/>
    <w:rsid w:val="00692236"/>
    <w:rsid w:val="00695468"/>
    <w:rsid w:val="006A6DF9"/>
    <w:rsid w:val="006B03C9"/>
    <w:rsid w:val="006C666D"/>
    <w:rsid w:val="006C68F3"/>
    <w:rsid w:val="006D2CE3"/>
    <w:rsid w:val="006D4DC1"/>
    <w:rsid w:val="006E306C"/>
    <w:rsid w:val="00721D48"/>
    <w:rsid w:val="00722093"/>
    <w:rsid w:val="007241EC"/>
    <w:rsid w:val="00724581"/>
    <w:rsid w:val="00741936"/>
    <w:rsid w:val="007454CC"/>
    <w:rsid w:val="007461E5"/>
    <w:rsid w:val="0075488A"/>
    <w:rsid w:val="00757AE2"/>
    <w:rsid w:val="00760B30"/>
    <w:rsid w:val="00761A50"/>
    <w:rsid w:val="00767B3D"/>
    <w:rsid w:val="007730D4"/>
    <w:rsid w:val="00774AAE"/>
    <w:rsid w:val="007763D2"/>
    <w:rsid w:val="00781FC0"/>
    <w:rsid w:val="00784FC9"/>
    <w:rsid w:val="007A772F"/>
    <w:rsid w:val="007C4987"/>
    <w:rsid w:val="007D001C"/>
    <w:rsid w:val="007E0648"/>
    <w:rsid w:val="007E3C3F"/>
    <w:rsid w:val="007E5887"/>
    <w:rsid w:val="007F3EE5"/>
    <w:rsid w:val="00811721"/>
    <w:rsid w:val="008162D1"/>
    <w:rsid w:val="00822DF8"/>
    <w:rsid w:val="00823A3D"/>
    <w:rsid w:val="008331C3"/>
    <w:rsid w:val="00842A83"/>
    <w:rsid w:val="00850DB8"/>
    <w:rsid w:val="00865129"/>
    <w:rsid w:val="00873BBF"/>
    <w:rsid w:val="00884267"/>
    <w:rsid w:val="00884982"/>
    <w:rsid w:val="00886DBE"/>
    <w:rsid w:val="008920F7"/>
    <w:rsid w:val="008A745C"/>
    <w:rsid w:val="008A74DD"/>
    <w:rsid w:val="008B0C7B"/>
    <w:rsid w:val="008B2A8D"/>
    <w:rsid w:val="008B58D5"/>
    <w:rsid w:val="008C4DE8"/>
    <w:rsid w:val="008C5B54"/>
    <w:rsid w:val="008C7AD3"/>
    <w:rsid w:val="008D6BE8"/>
    <w:rsid w:val="008D7B5E"/>
    <w:rsid w:val="008E0C19"/>
    <w:rsid w:val="008E1CA1"/>
    <w:rsid w:val="008E291D"/>
    <w:rsid w:val="008E531F"/>
    <w:rsid w:val="008E7FAE"/>
    <w:rsid w:val="00904F6E"/>
    <w:rsid w:val="00910FD6"/>
    <w:rsid w:val="00920093"/>
    <w:rsid w:val="0093414A"/>
    <w:rsid w:val="00983AA2"/>
    <w:rsid w:val="00996E20"/>
    <w:rsid w:val="009A4765"/>
    <w:rsid w:val="009A5FD0"/>
    <w:rsid w:val="009B0F8C"/>
    <w:rsid w:val="009B1AFD"/>
    <w:rsid w:val="009C176F"/>
    <w:rsid w:val="009D0C0B"/>
    <w:rsid w:val="009D1F24"/>
    <w:rsid w:val="009E6651"/>
    <w:rsid w:val="009F1A2F"/>
    <w:rsid w:val="009F2AA8"/>
    <w:rsid w:val="00A016F4"/>
    <w:rsid w:val="00A0176D"/>
    <w:rsid w:val="00A17623"/>
    <w:rsid w:val="00A23F3D"/>
    <w:rsid w:val="00A35A3F"/>
    <w:rsid w:val="00A35F95"/>
    <w:rsid w:val="00A53253"/>
    <w:rsid w:val="00A56374"/>
    <w:rsid w:val="00A60692"/>
    <w:rsid w:val="00A64B57"/>
    <w:rsid w:val="00A73CF9"/>
    <w:rsid w:val="00A84C37"/>
    <w:rsid w:val="00A90271"/>
    <w:rsid w:val="00A91A00"/>
    <w:rsid w:val="00AA4EA5"/>
    <w:rsid w:val="00AB1CDB"/>
    <w:rsid w:val="00AB3512"/>
    <w:rsid w:val="00AB6352"/>
    <w:rsid w:val="00AB6FB1"/>
    <w:rsid w:val="00AC6497"/>
    <w:rsid w:val="00AD5C39"/>
    <w:rsid w:val="00AD7B19"/>
    <w:rsid w:val="00AE3F4A"/>
    <w:rsid w:val="00AF391D"/>
    <w:rsid w:val="00B05F5D"/>
    <w:rsid w:val="00B118AB"/>
    <w:rsid w:val="00B23FDF"/>
    <w:rsid w:val="00B455D9"/>
    <w:rsid w:val="00B51266"/>
    <w:rsid w:val="00B52618"/>
    <w:rsid w:val="00B528F6"/>
    <w:rsid w:val="00B66B20"/>
    <w:rsid w:val="00B72962"/>
    <w:rsid w:val="00B81828"/>
    <w:rsid w:val="00BA0BE7"/>
    <w:rsid w:val="00BA4797"/>
    <w:rsid w:val="00BB55A0"/>
    <w:rsid w:val="00BC2A24"/>
    <w:rsid w:val="00BD0BF7"/>
    <w:rsid w:val="00BE3D67"/>
    <w:rsid w:val="00BE724A"/>
    <w:rsid w:val="00C01DB4"/>
    <w:rsid w:val="00C141FC"/>
    <w:rsid w:val="00C14716"/>
    <w:rsid w:val="00C21C73"/>
    <w:rsid w:val="00C35360"/>
    <w:rsid w:val="00C4454F"/>
    <w:rsid w:val="00C66A88"/>
    <w:rsid w:val="00C67468"/>
    <w:rsid w:val="00C80B7A"/>
    <w:rsid w:val="00C83896"/>
    <w:rsid w:val="00C8444E"/>
    <w:rsid w:val="00C850BA"/>
    <w:rsid w:val="00C86370"/>
    <w:rsid w:val="00CA08ED"/>
    <w:rsid w:val="00CA6A4C"/>
    <w:rsid w:val="00CB364F"/>
    <w:rsid w:val="00CB4AE9"/>
    <w:rsid w:val="00CC0F55"/>
    <w:rsid w:val="00CC21D3"/>
    <w:rsid w:val="00CC3066"/>
    <w:rsid w:val="00CC5331"/>
    <w:rsid w:val="00CD0C57"/>
    <w:rsid w:val="00CE0695"/>
    <w:rsid w:val="00CE6880"/>
    <w:rsid w:val="00CF47E7"/>
    <w:rsid w:val="00CF6672"/>
    <w:rsid w:val="00CF6FD5"/>
    <w:rsid w:val="00D05F81"/>
    <w:rsid w:val="00D14200"/>
    <w:rsid w:val="00D14F77"/>
    <w:rsid w:val="00D1574B"/>
    <w:rsid w:val="00D16495"/>
    <w:rsid w:val="00D23C70"/>
    <w:rsid w:val="00D25D7C"/>
    <w:rsid w:val="00D26AC9"/>
    <w:rsid w:val="00D3140E"/>
    <w:rsid w:val="00D31714"/>
    <w:rsid w:val="00D32D65"/>
    <w:rsid w:val="00D352C9"/>
    <w:rsid w:val="00D37E81"/>
    <w:rsid w:val="00D400BE"/>
    <w:rsid w:val="00D426A9"/>
    <w:rsid w:val="00D53823"/>
    <w:rsid w:val="00D6048A"/>
    <w:rsid w:val="00D64246"/>
    <w:rsid w:val="00D76E04"/>
    <w:rsid w:val="00D821AC"/>
    <w:rsid w:val="00D85802"/>
    <w:rsid w:val="00D92B51"/>
    <w:rsid w:val="00D93B2B"/>
    <w:rsid w:val="00DA17DA"/>
    <w:rsid w:val="00DA4E5F"/>
    <w:rsid w:val="00DA6BCF"/>
    <w:rsid w:val="00DA6F01"/>
    <w:rsid w:val="00DB3102"/>
    <w:rsid w:val="00DC698E"/>
    <w:rsid w:val="00DE22C7"/>
    <w:rsid w:val="00E00304"/>
    <w:rsid w:val="00E10894"/>
    <w:rsid w:val="00E2168C"/>
    <w:rsid w:val="00E21BB8"/>
    <w:rsid w:val="00E353FD"/>
    <w:rsid w:val="00E3544E"/>
    <w:rsid w:val="00E431F5"/>
    <w:rsid w:val="00E503E0"/>
    <w:rsid w:val="00E629E4"/>
    <w:rsid w:val="00E7229F"/>
    <w:rsid w:val="00E748A7"/>
    <w:rsid w:val="00E77187"/>
    <w:rsid w:val="00E84F90"/>
    <w:rsid w:val="00E93399"/>
    <w:rsid w:val="00E951AF"/>
    <w:rsid w:val="00E96618"/>
    <w:rsid w:val="00E97651"/>
    <w:rsid w:val="00EA05AC"/>
    <w:rsid w:val="00EA0EEF"/>
    <w:rsid w:val="00EB4935"/>
    <w:rsid w:val="00EC36CE"/>
    <w:rsid w:val="00EC5A47"/>
    <w:rsid w:val="00EC6CB5"/>
    <w:rsid w:val="00EC7D81"/>
    <w:rsid w:val="00EE0D1A"/>
    <w:rsid w:val="00EE62BE"/>
    <w:rsid w:val="00F00AB2"/>
    <w:rsid w:val="00F01C24"/>
    <w:rsid w:val="00F0450D"/>
    <w:rsid w:val="00F1484A"/>
    <w:rsid w:val="00F15A9D"/>
    <w:rsid w:val="00F24A65"/>
    <w:rsid w:val="00F27BE2"/>
    <w:rsid w:val="00F33B28"/>
    <w:rsid w:val="00F36BD2"/>
    <w:rsid w:val="00F41438"/>
    <w:rsid w:val="00F4593B"/>
    <w:rsid w:val="00F45AF6"/>
    <w:rsid w:val="00F55F06"/>
    <w:rsid w:val="00F56A11"/>
    <w:rsid w:val="00F72462"/>
    <w:rsid w:val="00F74BBE"/>
    <w:rsid w:val="00F87D93"/>
    <w:rsid w:val="00F96ED4"/>
    <w:rsid w:val="00FA480B"/>
    <w:rsid w:val="00FB0C00"/>
    <w:rsid w:val="00FC0BF3"/>
    <w:rsid w:val="00FC4AE4"/>
    <w:rsid w:val="00FD1859"/>
    <w:rsid w:val="00FE15A1"/>
    <w:rsid w:val="00FE5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4]" strokecolor="none [1]" shadowcolor="none [2]"/>
    </o:shapedefaults>
    <o:shapelayout v:ext="edit">
      <o:idmap v:ext="edit" data="1"/>
    </o:shapelayout>
  </w:shapeDefaults>
  <w:doNotEmbedSmartTags/>
  <w:decimalSymbol w:val=","/>
  <w:listSeparator w:val=";"/>
  <w14:docId w14:val="68D4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aliases w:val="header protocols Car,Header 1 Car,test Car,LandscapeHeader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Header 1,test,Landscape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nhideWhenUsed/>
    <w:rsid w:val="00F74BBE"/>
    <w:rPr>
      <w:sz w:val="16"/>
      <w:szCs w:val="16"/>
    </w:rPr>
  </w:style>
  <w:style w:type="paragraph" w:styleId="Commentaire">
    <w:name w:val="annotation text"/>
    <w:basedOn w:val="Normal"/>
    <w:link w:val="CommentaireCar1"/>
    <w:uiPriority w:val="99"/>
    <w:unhideWhenUsed/>
    <w:rsid w:val="00F74BBE"/>
  </w:style>
  <w:style w:type="character" w:customStyle="1" w:styleId="CommentaireCar1">
    <w:name w:val="Commentaire Car1"/>
    <w:basedOn w:val="Policepardfaut"/>
    <w:link w:val="Commentaire"/>
    <w:uiPriority w:val="99"/>
    <w:rsid w:val="00F74BBE"/>
    <w:rPr>
      <w:rFonts w:ascii="Verdana" w:hAnsi="Verdana" w:cs="Verdana"/>
      <w:lang w:val="en-GB" w:eastAsia="zh-CN"/>
    </w:rPr>
  </w:style>
  <w:style w:type="table" w:styleId="Grilledutableau">
    <w:name w:val="Table Grid"/>
    <w:basedOn w:val="TableauNormal"/>
    <w:uiPriority w:val="59"/>
    <w:rsid w:val="009F1A2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table">
    <w:name w:val="OECD-table"/>
    <w:basedOn w:val="Normal"/>
    <w:rsid w:val="00E353FD"/>
    <w:pPr>
      <w:keepNext/>
      <w:suppressAutoHyphens w:val="0"/>
      <w:spacing w:before="40" w:after="40"/>
    </w:pPr>
    <w:rPr>
      <w:rFonts w:ascii="Times New Roman" w:hAnsi="Times New Roman" w:cs="Times New Roman"/>
      <w:bCs/>
      <w:sz w:val="22"/>
      <w:szCs w:val="22"/>
      <w:lang w:val="en-US" w:eastAsia="de-DE"/>
    </w:rPr>
  </w:style>
  <w:style w:type="table" w:customStyle="1" w:styleId="TableNormal1">
    <w:name w:val="Table Normal1"/>
    <w:uiPriority w:val="99"/>
    <w:semiHidden/>
    <w:rsid w:val="00E353FD"/>
    <w:rPr>
      <w:lang w:val="de-DE" w:eastAsia="de-DE"/>
    </w:rPr>
    <w:tblPr>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FD18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Policepardfaut"/>
    <w:rsid w:val="00567E0E"/>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tlid-translation">
    <w:name w:val="tlid-translation"/>
    <w:basedOn w:val="Policepardfaut"/>
    <w:rsid w:val="00053DE4"/>
  </w:style>
  <w:style w:type="character" w:customStyle="1" w:styleId="fontstyle01">
    <w:name w:val="fontstyle01"/>
    <w:basedOn w:val="Policepardfaut"/>
    <w:rsid w:val="00364F2B"/>
    <w:rPr>
      <w:rFonts w:ascii="Verdana" w:hAnsi="Verdana" w:hint="default"/>
      <w:b w:val="0"/>
      <w:bCs w:val="0"/>
      <w:i w:val="0"/>
      <w:iCs w:val="0"/>
      <w:color w:val="000000"/>
      <w:sz w:val="20"/>
      <w:szCs w:val="20"/>
    </w:rPr>
  </w:style>
  <w:style w:type="character" w:customStyle="1" w:styleId="ParagraphedelisteCar">
    <w:name w:val="Paragraphe de liste Car"/>
    <w:link w:val="Paragraphedeliste"/>
    <w:uiPriority w:val="34"/>
    <w:rsid w:val="003A37BA"/>
    <w:rPr>
      <w:rFonts w:ascii="Verdana" w:hAnsi="Verdana" w:cs="Verdana"/>
      <w:lang w:val="en-GB" w:eastAsia="zh-CN"/>
    </w:rPr>
  </w:style>
  <w:style w:type="character" w:customStyle="1" w:styleId="jlqj4b">
    <w:name w:val="jlqj4b"/>
    <w:basedOn w:val="Policepardfaut"/>
    <w:rsid w:val="00546CD1"/>
  </w:style>
  <w:style w:type="table" w:customStyle="1" w:styleId="TableGrid5">
    <w:name w:val="Table Grid5"/>
    <w:basedOn w:val="TableauNormal"/>
    <w:next w:val="Grilledutableau"/>
    <w:uiPriority w:val="59"/>
    <w:rsid w:val="002039E1"/>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532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titre 4"/>
    <w:basedOn w:val="Titre4"/>
    <w:link w:val="titre4Car0"/>
    <w:qFormat/>
    <w:rsid w:val="00724581"/>
    <w:pPr>
      <w:tabs>
        <w:tab w:val="clear" w:pos="0"/>
        <w:tab w:val="left" w:pos="993"/>
      </w:tabs>
      <w:suppressAutoHyphens w:val="0"/>
    </w:pPr>
    <w:rPr>
      <w:i/>
      <w:lang w:eastAsia="en-US"/>
    </w:rPr>
  </w:style>
  <w:style w:type="character" w:customStyle="1" w:styleId="titre4Car0">
    <w:name w:val="titre 4 Car"/>
    <w:basedOn w:val="Titre4Car"/>
    <w:link w:val="titre40"/>
    <w:rsid w:val="00724581"/>
    <w:rPr>
      <w:rFonts w:ascii="Verdana" w:eastAsia="Calibri" w:hAnsi="Verdana" w:cs="Verdana"/>
      <w:i/>
      <w:sz w:val="22"/>
      <w:szCs w:val="24"/>
      <w:lang w:val="de-DE" w:eastAsia="en-US"/>
    </w:rPr>
  </w:style>
  <w:style w:type="table" w:customStyle="1" w:styleId="TableGrid0">
    <w:name w:val="Table Grid0"/>
    <w:rsid w:val="00F87D9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77947">
      <w:bodyDiv w:val="1"/>
      <w:marLeft w:val="0"/>
      <w:marRight w:val="0"/>
      <w:marTop w:val="0"/>
      <w:marBottom w:val="0"/>
      <w:divBdr>
        <w:top w:val="none" w:sz="0" w:space="0" w:color="auto"/>
        <w:left w:val="none" w:sz="0" w:space="0" w:color="auto"/>
        <w:bottom w:val="none" w:sz="0" w:space="0" w:color="auto"/>
        <w:right w:val="none" w:sz="0" w:space="0" w:color="auto"/>
      </w:divBdr>
    </w:div>
    <w:div w:id="419566985">
      <w:bodyDiv w:val="1"/>
      <w:marLeft w:val="0"/>
      <w:marRight w:val="0"/>
      <w:marTop w:val="0"/>
      <w:marBottom w:val="0"/>
      <w:divBdr>
        <w:top w:val="none" w:sz="0" w:space="0" w:color="auto"/>
        <w:left w:val="none" w:sz="0" w:space="0" w:color="auto"/>
        <w:bottom w:val="none" w:sz="0" w:space="0" w:color="auto"/>
        <w:right w:val="none" w:sz="0" w:space="0" w:color="auto"/>
      </w:divBdr>
    </w:div>
    <w:div w:id="594554136">
      <w:bodyDiv w:val="1"/>
      <w:marLeft w:val="0"/>
      <w:marRight w:val="0"/>
      <w:marTop w:val="0"/>
      <w:marBottom w:val="0"/>
      <w:divBdr>
        <w:top w:val="none" w:sz="0" w:space="0" w:color="auto"/>
        <w:left w:val="none" w:sz="0" w:space="0" w:color="auto"/>
        <w:bottom w:val="none" w:sz="0" w:space="0" w:color="auto"/>
        <w:right w:val="none" w:sz="0" w:space="0" w:color="auto"/>
      </w:divBdr>
    </w:div>
    <w:div w:id="1439521725">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package" Target="embeddings/Feuille_de_calcul_Microsoft_Excel.xlsx"/><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https://www.sigmaaldrich.com/catalog/product/sigma/l1750?lang=fr&amp;region=FR" TargetMode="External"/><Relationship Id="rId23"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5FEC-2F06-4CC5-8294-7ED0FAAF6FD0}">
  <ds:schemaRefs>
    <ds:schemaRef ds:uri="http://schemas.microsoft.com/office/2006/metadata/properties"/>
    <ds:schemaRef ds:uri="http://schemas.microsoft.com/sharepoint/v3"/>
    <ds:schemaRef ds:uri="http://schemas.microsoft.com/office/2006/documentManagement/types"/>
    <ds:schemaRef ds:uri="http://schemas.microsoft.com/sharepoint/v4"/>
    <ds:schemaRef ds:uri="http://purl.org/dc/dcmitype/"/>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764a75d7-b33f-4a9f-acbd-b0607662a84d"/>
    <ds:schemaRef ds:uri="ad92bc46-598f-4ca9-bdb2-45c880761d99"/>
  </ds:schemaRefs>
</ds:datastoreItem>
</file>

<file path=customXml/itemProps2.xml><?xml version="1.0" encoding="utf-8"?>
<ds:datastoreItem xmlns:ds="http://schemas.openxmlformats.org/officeDocument/2006/customXml" ds:itemID="{EFF7017D-2A6A-4DD1-BE2C-B3C7B4B92A03}">
  <ds:schemaRefs>
    <ds:schemaRef ds:uri="http://schemas.microsoft.com/sharepoint/v3/contenttype/forms"/>
  </ds:schemaRefs>
</ds:datastoreItem>
</file>

<file path=customXml/itemProps3.xml><?xml version="1.0" encoding="utf-8"?>
<ds:datastoreItem xmlns:ds="http://schemas.openxmlformats.org/officeDocument/2006/customXml" ds:itemID="{5C7A2E9F-937C-43E1-8435-AD574632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DE223-FC14-4B7D-9321-0B47BB93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24282</Words>
  <Characters>133554</Characters>
  <Application>Microsoft Office Word</Application>
  <DocSecurity>0</DocSecurity>
  <Lines>1112</Lines>
  <Paragraphs>315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2021-12-06T11:04:00Z</dcterms:created>
  <dcterms:modified xsi:type="dcterms:W3CDTF">2023-11-28T10:09:00Z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