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13788E" w:rsidRPr="0013788E" w:rsidRDefault="00631E8B" w:rsidP="0013788E">
      <w:pPr>
        <w:jc w:val="center"/>
        <w:rPr>
          <w:b/>
          <w:sz w:val="28"/>
          <w:szCs w:val="28"/>
          <w:lang w:val="pt-BR"/>
        </w:rPr>
      </w:pPr>
      <w:r w:rsidRPr="00631E8B">
        <w:rPr>
          <w:b/>
          <w:sz w:val="28"/>
          <w:szCs w:val="28"/>
        </w:rPr>
        <w:t xml:space="preserve">Nr. </w:t>
      </w:r>
      <w:r w:rsidR="00262400">
        <w:rPr>
          <w:b/>
          <w:sz w:val="28"/>
          <w:szCs w:val="28"/>
          <w:lang w:val="it-IT"/>
        </w:rPr>
        <w:t>RO/2016</w:t>
      </w:r>
      <w:r w:rsidRPr="00631E8B">
        <w:rPr>
          <w:b/>
          <w:sz w:val="28"/>
          <w:szCs w:val="28"/>
          <w:lang w:val="it-IT"/>
        </w:rPr>
        <w:t>/</w:t>
      </w:r>
      <w:r w:rsidRPr="004203CC">
        <w:rPr>
          <w:b/>
          <w:sz w:val="28"/>
          <w:szCs w:val="28"/>
          <w:lang w:val="it-IT"/>
        </w:rPr>
        <w:t>01</w:t>
      </w:r>
      <w:r w:rsidR="004203CC" w:rsidRPr="004203CC">
        <w:rPr>
          <w:b/>
          <w:sz w:val="28"/>
          <w:szCs w:val="28"/>
          <w:lang w:val="it-IT"/>
        </w:rPr>
        <w:t>8</w:t>
      </w:r>
      <w:r w:rsidR="004203CC">
        <w:rPr>
          <w:b/>
          <w:sz w:val="28"/>
          <w:szCs w:val="28"/>
          <w:lang w:val="it-IT"/>
        </w:rPr>
        <w:t>3</w:t>
      </w:r>
      <w:r w:rsidRPr="00631E8B">
        <w:rPr>
          <w:b/>
          <w:sz w:val="28"/>
          <w:szCs w:val="28"/>
          <w:lang w:val="it-IT"/>
        </w:rPr>
        <w:t>/MRA/</w:t>
      </w:r>
      <w:r w:rsidR="00CE5FEB">
        <w:rPr>
          <w:b/>
          <w:sz w:val="28"/>
          <w:szCs w:val="28"/>
          <w:lang w:val="it-IT"/>
        </w:rPr>
        <w:t>IE/BPA 70297</w:t>
      </w:r>
    </w:p>
    <w:p w:rsidR="00B66405" w:rsidRPr="007707AC" w:rsidRDefault="00B66405" w:rsidP="00B66405">
      <w:pPr>
        <w:jc w:val="center"/>
        <w:rPr>
          <w:sz w:val="28"/>
          <w:szCs w:val="28"/>
          <w:lang w:val="ro-RO"/>
        </w:rPr>
      </w:pPr>
    </w:p>
    <w:p w:rsidR="00B66405" w:rsidRPr="008B2D10" w:rsidRDefault="00B66405" w:rsidP="008B2D10">
      <w:pPr>
        <w:pStyle w:val="Default"/>
        <w:ind w:right="49" w:firstLine="567"/>
        <w:jc w:val="both"/>
        <w:rPr>
          <w:rFonts w:ascii="Times New Roman" w:hAnsi="Times New Roman" w:cs="Times New Roman"/>
          <w:lang w:val="ro-RO"/>
        </w:rPr>
      </w:pPr>
      <w:r w:rsidRPr="008B2D10">
        <w:rPr>
          <w:rFonts w:ascii="Times New Roman" w:hAnsi="Times New Roman" w:cs="Times New Roman"/>
          <w:lang w:val="ro-RO"/>
        </w:rPr>
        <w:t xml:space="preserve">In conformitate cu prevederilor </w:t>
      </w:r>
      <w:r w:rsidRPr="008B2D10">
        <w:rPr>
          <w:rFonts w:ascii="Times New Roman" w:hAnsi="Times New Roman" w:cs="Times New Roman"/>
          <w:bCs/>
          <w:lang w:val="ro-RO"/>
        </w:rPr>
        <w:t>REGULAMENTULUI (UE) NR. 528/2012 al Parlamentului European si al Consiliului privind punerea la dispozitție pe piață și utilizarea produselor biocide</w:t>
      </w:r>
      <w:r w:rsidRPr="008B2D10">
        <w:rPr>
          <w:rFonts w:ascii="Times New Roman" w:hAnsi="Times New Roman" w:cs="Times New Roman"/>
          <w:b/>
          <w:bCs/>
          <w:lang w:val="ro-RO"/>
        </w:rPr>
        <w:t xml:space="preserve"> </w:t>
      </w:r>
      <w:r w:rsidRPr="008B2D10">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8B2D10">
        <w:rPr>
          <w:rFonts w:ascii="Times New Roman" w:hAnsi="Times New Roman" w:cs="Times New Roman"/>
          <w:lang w:val="ro-RO"/>
        </w:rPr>
        <w:t>e Biocide, în şedinţa din data 0</w:t>
      </w:r>
      <w:r w:rsidR="00FE21AB" w:rsidRPr="008B2D10">
        <w:rPr>
          <w:rFonts w:ascii="Times New Roman" w:hAnsi="Times New Roman" w:cs="Times New Roman"/>
          <w:lang w:val="ro-RO"/>
        </w:rPr>
        <w:t>7.07</w:t>
      </w:r>
      <w:r w:rsidR="0055665A" w:rsidRPr="008B2D10">
        <w:rPr>
          <w:rFonts w:ascii="Times New Roman" w:hAnsi="Times New Roman" w:cs="Times New Roman"/>
          <w:lang w:val="ro-RO"/>
        </w:rPr>
        <w:t>.2016</w:t>
      </w:r>
      <w:r w:rsidRPr="008B2D10">
        <w:rPr>
          <w:rFonts w:ascii="Times New Roman" w:hAnsi="Times New Roman" w:cs="Times New Roman"/>
          <w:lang w:val="ro-RO"/>
        </w:rPr>
        <w:t>, a decis că produsul biocid poate fi plasat pe piaţă în România, conform prevederilor legale în vigoare.</w:t>
      </w:r>
    </w:p>
    <w:p w:rsidR="00B66405" w:rsidRPr="004203CC" w:rsidRDefault="00B66405" w:rsidP="008B2D10">
      <w:pPr>
        <w:pStyle w:val="Default"/>
        <w:rPr>
          <w:rFonts w:ascii="Times New Roman" w:hAnsi="Times New Roman" w:cs="Times New Roman"/>
          <w:sz w:val="16"/>
          <w:lang w:val="ro-RO"/>
        </w:rPr>
      </w:pPr>
    </w:p>
    <w:p w:rsidR="00B66405" w:rsidRPr="008B2D10" w:rsidRDefault="00B66405" w:rsidP="008B2D10">
      <w:pPr>
        <w:rPr>
          <w:b/>
          <w:lang w:val="ro-RO"/>
        </w:rPr>
      </w:pPr>
      <w:r w:rsidRPr="008B2D10">
        <w:rPr>
          <w:b/>
          <w:lang w:val="ro-RO"/>
        </w:rPr>
        <w:t>I. TIPUL AUTORIZA</w:t>
      </w:r>
      <w:r w:rsidR="002D65DA" w:rsidRPr="008B2D10">
        <w:rPr>
          <w:b/>
          <w:lang w:val="ro-RO"/>
        </w:rPr>
        <w:t>T</w:t>
      </w:r>
      <w:r w:rsidRPr="008B2D10">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B66405" w:rsidRPr="008B2D10" w:rsidRDefault="00B66405" w:rsidP="008B2D10">
            <w:pPr>
              <w:rPr>
                <w:bCs/>
                <w:lang w:val="ro-RO"/>
              </w:rPr>
            </w:pPr>
            <w:r w:rsidRPr="008B2D10">
              <w:rPr>
                <w:b/>
                <w:i/>
                <w:lang w:val="ro-RO"/>
              </w:rPr>
              <w:t>autorizaţia prin recunoaşterea reciprocă succesiva</w:t>
            </w:r>
            <w:r w:rsidRPr="008B2D10">
              <w:rPr>
                <w:lang w:val="ro-RO"/>
              </w:rPr>
              <w:t xml:space="preserve"> eliberată în conformitate cu prevederile art. 33 din </w:t>
            </w:r>
            <w:r w:rsidRPr="008B2D10">
              <w:rPr>
                <w:bCs/>
                <w:lang w:val="ro-RO"/>
              </w:rPr>
              <w:t>Regulamentul (UE) nr. 528/2012;</w:t>
            </w:r>
          </w:p>
          <w:p w:rsidR="00DA7192" w:rsidRPr="008B2D10" w:rsidRDefault="002D65DA" w:rsidP="008B2D10">
            <w:pPr>
              <w:numPr>
                <w:ilvl w:val="0"/>
                <w:numId w:val="1"/>
              </w:numPr>
              <w:rPr>
                <w:bCs/>
                <w:lang w:val="ro-RO"/>
              </w:rPr>
            </w:pPr>
            <w:r w:rsidRPr="008B2D10">
              <w:rPr>
                <w:lang w:val="ro-RO"/>
              </w:rPr>
              <w:t>Statul memb</w:t>
            </w:r>
            <w:r w:rsidR="00226F24" w:rsidRPr="008B2D10">
              <w:rPr>
                <w:lang w:val="ro-RO"/>
              </w:rPr>
              <w:t>ru al Uniunii Europene emitent:</w:t>
            </w:r>
            <w:r w:rsidR="005061F4" w:rsidRPr="008B2D10">
              <w:rPr>
                <w:lang w:val="ro-RO"/>
              </w:rPr>
              <w:t xml:space="preserve"> IRLANDA</w:t>
            </w:r>
          </w:p>
          <w:p w:rsidR="0013788E" w:rsidRPr="008B2D10" w:rsidRDefault="002D65DA" w:rsidP="008B2D10">
            <w:pPr>
              <w:pStyle w:val="ListParagraph"/>
              <w:numPr>
                <w:ilvl w:val="0"/>
                <w:numId w:val="1"/>
              </w:numPr>
              <w:rPr>
                <w:b/>
                <w:lang w:val="pt-BR"/>
              </w:rPr>
            </w:pPr>
            <w:r w:rsidRPr="008B2D10">
              <w:rPr>
                <w:lang w:val="ro-RO"/>
              </w:rPr>
              <w:t xml:space="preserve">Nr. Autorizației din statul membru emitent </w:t>
            </w:r>
            <w:r w:rsidR="00EC19B2" w:rsidRPr="008B2D10">
              <w:rPr>
                <w:lang w:val="ro-RO"/>
              </w:rPr>
              <w:t>Nr.</w:t>
            </w:r>
            <w:r w:rsidR="00DA7192" w:rsidRPr="008B2D10">
              <w:rPr>
                <w:b/>
                <w:lang w:val="pt-BR"/>
              </w:rPr>
              <w:t>:</w:t>
            </w:r>
            <w:r w:rsidR="00DA7192" w:rsidRPr="008B2D10">
              <w:t xml:space="preserve"> </w:t>
            </w:r>
            <w:r w:rsidR="00CE5FEB" w:rsidRPr="008B2D10">
              <w:rPr>
                <w:b/>
                <w:lang w:val="it-IT"/>
              </w:rPr>
              <w:t>IE/BPA 70297</w:t>
            </w:r>
            <w:r w:rsidR="004F110F" w:rsidRPr="008B2D10">
              <w:rPr>
                <w:b/>
                <w:lang w:val="it-IT"/>
              </w:rPr>
              <w:t>(Profesional)</w:t>
            </w:r>
            <w:r w:rsidR="0013788E" w:rsidRPr="008B2D10">
              <w:rPr>
                <w:b/>
                <w:lang w:val="it-IT"/>
              </w:rPr>
              <w:t xml:space="preserve">                                                                             </w:t>
            </w:r>
          </w:p>
        </w:tc>
      </w:tr>
    </w:tbl>
    <w:p w:rsidR="00B66405" w:rsidRPr="008B2D10" w:rsidRDefault="00B66405" w:rsidP="008B2D10">
      <w:pPr>
        <w:rPr>
          <w:b/>
          <w:color w:val="000000"/>
          <w:lang w:val="ro-RO"/>
        </w:rPr>
      </w:pPr>
      <w:r w:rsidRPr="008B2D10">
        <w:rPr>
          <w:b/>
          <w:color w:val="000000"/>
          <w:lang w:val="ro-RO"/>
        </w:rPr>
        <w:t>I</w:t>
      </w:r>
      <w:r w:rsidR="002D65DA" w:rsidRPr="008B2D10">
        <w:rPr>
          <w:b/>
          <w:color w:val="000000"/>
          <w:lang w:val="ro-RO"/>
        </w:rPr>
        <w:t>I. Data emiterii autorizat</w:t>
      </w:r>
      <w:r w:rsidRPr="008B2D10">
        <w:rPr>
          <w:b/>
          <w:color w:val="000000"/>
          <w:lang w:val="ro-RO"/>
        </w:rPr>
        <w:t>iei</w:t>
      </w:r>
      <w:r w:rsidR="00C43A97" w:rsidRPr="008B2D10">
        <w:rPr>
          <w:b/>
          <w:color w:val="000000"/>
          <w:lang w:val="ro-RO"/>
        </w:rPr>
        <w:t xml:space="preserve">: </w:t>
      </w:r>
      <w:r w:rsidR="008B2D10" w:rsidRPr="008B2D10">
        <w:rPr>
          <w:b/>
          <w:color w:val="000000"/>
          <w:lang w:val="ro-RO"/>
        </w:rPr>
        <w:t>28.07</w:t>
      </w:r>
      <w:r w:rsidR="00564DC0" w:rsidRPr="008B2D10">
        <w:rPr>
          <w:b/>
          <w:color w:val="000000"/>
          <w:lang w:val="ro-RO"/>
        </w:rPr>
        <w:t>.2016</w:t>
      </w:r>
      <w:r w:rsidRPr="008B2D10">
        <w:rPr>
          <w:b/>
          <w:color w:val="000000"/>
          <w:lang w:val="ro-RO"/>
        </w:rPr>
        <w:t xml:space="preserve"> </w:t>
      </w:r>
    </w:p>
    <w:p w:rsidR="008B2D10" w:rsidRDefault="00B66405" w:rsidP="008B2D10">
      <w:pPr>
        <w:rPr>
          <w:b/>
          <w:color w:val="000000"/>
          <w:lang w:val="it-IT"/>
        </w:rPr>
      </w:pPr>
      <w:r w:rsidRPr="008B2D10">
        <w:rPr>
          <w:b/>
          <w:color w:val="000000"/>
          <w:lang w:val="ro-RO"/>
        </w:rPr>
        <w:t>III. Data expirării autoriza</w:t>
      </w:r>
      <w:r w:rsidR="00DA7192" w:rsidRPr="008B2D10">
        <w:rPr>
          <w:b/>
          <w:color w:val="000000"/>
          <w:lang w:val="ro-RO"/>
        </w:rPr>
        <w:t>t</w:t>
      </w:r>
      <w:r w:rsidRPr="008B2D10">
        <w:rPr>
          <w:b/>
          <w:color w:val="000000"/>
          <w:lang w:val="ro-RO"/>
        </w:rPr>
        <w:t xml:space="preserve">iei </w:t>
      </w:r>
      <w:r w:rsidR="00DA7192" w:rsidRPr="008B2D10">
        <w:rPr>
          <w:b/>
          <w:color w:val="000000"/>
          <w:lang w:val="ro-RO"/>
        </w:rPr>
        <w:t xml:space="preserve">: </w:t>
      </w:r>
      <w:r w:rsidR="00EC19B2" w:rsidRPr="008B2D10">
        <w:rPr>
          <w:b/>
          <w:color w:val="000000"/>
          <w:lang w:val="ro-RO"/>
        </w:rPr>
        <w:t>3</w:t>
      </w:r>
      <w:r w:rsidR="005061F4" w:rsidRPr="008B2D10">
        <w:rPr>
          <w:b/>
          <w:color w:val="000000"/>
          <w:lang w:val="it-IT"/>
        </w:rPr>
        <w:t>1.01.2017</w:t>
      </w:r>
      <w:r w:rsidR="00A64BFA" w:rsidRPr="008B2D10">
        <w:rPr>
          <w:b/>
          <w:color w:val="000000"/>
          <w:lang w:val="it-IT"/>
        </w:rPr>
        <w:t xml:space="preserve">   </w:t>
      </w:r>
    </w:p>
    <w:p w:rsidR="00B66405" w:rsidRPr="008B2D10" w:rsidRDefault="00A64BFA" w:rsidP="008B2D10">
      <w:pPr>
        <w:rPr>
          <w:b/>
          <w:color w:val="000000"/>
          <w:lang w:val="ro-RO"/>
        </w:rPr>
      </w:pPr>
      <w:r w:rsidRPr="008B2D10">
        <w:rPr>
          <w:b/>
          <w:color w:val="000000"/>
          <w:lang w:val="it-IT"/>
        </w:rPr>
        <w:t xml:space="preserve">                                                                                                                                                                                                                                                                                                                                                                                                                                                 </w:t>
      </w:r>
    </w:p>
    <w:p w:rsidR="00B66405" w:rsidRPr="008B2D10" w:rsidRDefault="00B66405" w:rsidP="008B2D10">
      <w:pPr>
        <w:pStyle w:val="NoSpacing"/>
        <w:rPr>
          <w:b/>
          <w:lang w:val="ro-RO"/>
        </w:rPr>
      </w:pPr>
      <w:r w:rsidRPr="008B2D10">
        <w:rPr>
          <w:b/>
          <w:lang w:val="ro-RO"/>
        </w:rPr>
        <w:t>IV</w:t>
      </w:r>
      <w:r w:rsidRPr="008B2D10">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B66405" w:rsidRPr="008B2D10" w:rsidRDefault="00385365" w:rsidP="008B2D10">
            <w:pPr>
              <w:pStyle w:val="NoSpacing"/>
              <w:rPr>
                <w:b/>
                <w:lang w:val="it-IT"/>
              </w:rPr>
            </w:pPr>
            <w:r w:rsidRPr="008B2D10">
              <w:rPr>
                <w:b/>
                <w:lang w:val="ro-RO"/>
              </w:rPr>
              <w:t>DENUMIREA COMERCIALĂ A PRODUSULUI BIOCID</w:t>
            </w:r>
            <w:r w:rsidRPr="008B2D10">
              <w:rPr>
                <w:b/>
                <w:lang w:val="it-IT"/>
              </w:rPr>
              <w:t xml:space="preserve"> : </w:t>
            </w:r>
            <w:r w:rsidR="007D7B63" w:rsidRPr="008B2D10">
              <w:rPr>
                <w:b/>
                <w:lang w:val="it-IT"/>
              </w:rPr>
              <w:t xml:space="preserve"> </w:t>
            </w:r>
            <w:r w:rsidR="005061F4" w:rsidRPr="008B2D10">
              <w:rPr>
                <w:b/>
                <w:lang w:val="it-IT"/>
              </w:rPr>
              <w:t>KLERAT  PELLETS</w:t>
            </w:r>
          </w:p>
        </w:tc>
      </w:tr>
    </w:tbl>
    <w:p w:rsidR="00B66405" w:rsidRPr="004203CC" w:rsidRDefault="00B66405" w:rsidP="008B2D10">
      <w:pPr>
        <w:pStyle w:val="Default"/>
        <w:rPr>
          <w:rFonts w:ascii="Times New Roman" w:hAnsi="Times New Roman" w:cs="Times New Roman"/>
          <w:b/>
          <w:sz w:val="16"/>
          <w:lang w:val="ro-RO"/>
        </w:rPr>
      </w:pPr>
    </w:p>
    <w:p w:rsidR="00B66405" w:rsidRPr="008B2D10" w:rsidRDefault="00B66405" w:rsidP="008B2D10">
      <w:pPr>
        <w:pStyle w:val="Default"/>
        <w:rPr>
          <w:rFonts w:ascii="Times New Roman" w:hAnsi="Times New Roman" w:cs="Times New Roman"/>
          <w:b/>
          <w:lang w:val="ro-RO"/>
        </w:rPr>
      </w:pPr>
      <w:r w:rsidRPr="008B2D10">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rPr>
          <w:trHeight w:val="562"/>
        </w:trPr>
        <w:tc>
          <w:tcPr>
            <w:tcW w:w="9923" w:type="dxa"/>
          </w:tcPr>
          <w:p w:rsidR="00226F24" w:rsidRPr="008B2D10" w:rsidRDefault="00B66405" w:rsidP="008B2D10">
            <w:pPr>
              <w:rPr>
                <w:lang w:val="ro-RO"/>
              </w:rPr>
            </w:pPr>
            <w:r w:rsidRPr="008B2D10">
              <w:rPr>
                <w:b/>
                <w:lang w:val="ro-RO"/>
              </w:rPr>
              <w:t>NUMELE TITULARULUI AUTORIZA</w:t>
            </w:r>
            <w:r w:rsidR="002D65DA" w:rsidRPr="008B2D10">
              <w:rPr>
                <w:b/>
                <w:lang w:val="ro-RO"/>
              </w:rPr>
              <w:t>T</w:t>
            </w:r>
            <w:r w:rsidRPr="008B2D10">
              <w:rPr>
                <w:b/>
                <w:lang w:val="ro-RO"/>
              </w:rPr>
              <w:t>IEI</w:t>
            </w:r>
            <w:r w:rsidRPr="008B2D10">
              <w:rPr>
                <w:lang w:val="ro-RO"/>
              </w:rPr>
              <w:t xml:space="preserve"> </w:t>
            </w:r>
            <w:r w:rsidR="00CE732B" w:rsidRPr="008B2D10">
              <w:rPr>
                <w:lang w:val="ro-RO"/>
              </w:rPr>
              <w:t xml:space="preserve">: </w:t>
            </w:r>
            <w:r w:rsidR="005061F4" w:rsidRPr="008B2D10">
              <w:rPr>
                <w:b/>
                <w:lang w:val="ro-RO"/>
              </w:rPr>
              <w:t>Syngenta Crop P</w:t>
            </w:r>
            <w:r w:rsidR="00774AD6" w:rsidRPr="008B2D10">
              <w:rPr>
                <w:b/>
                <w:lang w:val="ro-RO"/>
              </w:rPr>
              <w:t>rotection AG</w:t>
            </w:r>
            <w:r w:rsidR="005061F4" w:rsidRPr="008B2D10">
              <w:rPr>
                <w:lang w:val="ro-RO"/>
              </w:rPr>
              <w:t xml:space="preserve"> </w:t>
            </w:r>
            <w:r w:rsidR="00774AD6" w:rsidRPr="008B2D10">
              <w:rPr>
                <w:lang w:val="ro-RO"/>
              </w:rPr>
              <w:t>Schwaldallee 215,CH-4058 Basel</w:t>
            </w:r>
            <w:r w:rsidR="005061F4" w:rsidRPr="008B2D10">
              <w:rPr>
                <w:lang w:val="ro-RO"/>
              </w:rPr>
              <w:t xml:space="preserve"> Tel.: + 44 1484 538 444, Elvetia</w:t>
            </w:r>
          </w:p>
        </w:tc>
      </w:tr>
    </w:tbl>
    <w:p w:rsidR="00B66405" w:rsidRPr="004203CC" w:rsidRDefault="00B66405" w:rsidP="008B2D10">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6A3624">
        <w:trPr>
          <w:trHeight w:val="323"/>
        </w:trPr>
        <w:tc>
          <w:tcPr>
            <w:tcW w:w="9923" w:type="dxa"/>
          </w:tcPr>
          <w:p w:rsidR="009B6708" w:rsidRPr="008B2D10" w:rsidRDefault="00385365" w:rsidP="008B2D10">
            <w:pPr>
              <w:rPr>
                <w:lang w:val="ro-RO"/>
              </w:rPr>
            </w:pPr>
            <w:r w:rsidRPr="008B2D10">
              <w:rPr>
                <w:b/>
                <w:lang w:val="ro-RO"/>
              </w:rPr>
              <w:t>NUMELE TITULARULUI AUTORIZATIEI</w:t>
            </w:r>
            <w:r w:rsidRPr="008B2D10">
              <w:rPr>
                <w:lang w:val="ro-RO"/>
              </w:rPr>
              <w:t xml:space="preserve"> recunoscută reciproc: </w:t>
            </w:r>
            <w:r w:rsidR="005061F4" w:rsidRPr="008B2D10">
              <w:rPr>
                <w:b/>
                <w:lang w:val="ro-RO"/>
              </w:rPr>
              <w:t>Syngenta Crop Protection</w:t>
            </w:r>
            <w:r w:rsidR="005061F4" w:rsidRPr="008B2D10">
              <w:rPr>
                <w:lang w:val="ro-RO"/>
              </w:rPr>
              <w:t xml:space="preserve"> </w:t>
            </w:r>
            <w:r w:rsidR="005061F4" w:rsidRPr="008B2D10">
              <w:rPr>
                <w:b/>
                <w:lang w:val="ro-RO"/>
              </w:rPr>
              <w:t>AG</w:t>
            </w:r>
            <w:r w:rsidR="005061F4" w:rsidRPr="008B2D10">
              <w:rPr>
                <w:lang w:val="ro-RO"/>
              </w:rPr>
              <w:t>, Schwaldallee 215,CH-4058 Basel Tel.: + 44 1484 538 444, Elvetia</w:t>
            </w:r>
          </w:p>
        </w:tc>
      </w:tr>
    </w:tbl>
    <w:p w:rsidR="00B66405" w:rsidRPr="004203CC" w:rsidRDefault="00B66405" w:rsidP="008B2D10">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9B6708" w:rsidRPr="008B2D10" w:rsidRDefault="00385365" w:rsidP="008B2D10">
            <w:pPr>
              <w:rPr>
                <w:lang w:val="ro-RO"/>
              </w:rPr>
            </w:pPr>
            <w:r w:rsidRPr="008B2D10">
              <w:rPr>
                <w:b/>
                <w:lang w:val="ro-RO"/>
              </w:rPr>
              <w:t>NUMELE FABRICANTULUI  PRODUSULUI BIOCID</w:t>
            </w:r>
            <w:r w:rsidRPr="008B2D10">
              <w:rPr>
                <w:lang w:val="ro-RO"/>
              </w:rPr>
              <w:t xml:space="preserve"> : </w:t>
            </w:r>
            <w:r w:rsidR="00D039F0" w:rsidRPr="008B2D10">
              <w:rPr>
                <w:b/>
                <w:lang w:val="ro-RO"/>
              </w:rPr>
              <w:t>Syngenta  Hellas</w:t>
            </w:r>
            <w:r w:rsidR="0013788E" w:rsidRPr="008B2D10">
              <w:rPr>
                <w:b/>
                <w:lang w:val="ro-RO"/>
              </w:rPr>
              <w:t xml:space="preserve"> AEBE</w:t>
            </w:r>
            <w:r w:rsidR="00D039F0" w:rsidRPr="008B2D10">
              <w:rPr>
                <w:lang w:val="ro-RO"/>
              </w:rPr>
              <w:t>,</w:t>
            </w:r>
            <w:r w:rsidR="0013788E" w:rsidRPr="008B2D10">
              <w:rPr>
                <w:lang w:val="ro-RO"/>
              </w:rPr>
              <w:t xml:space="preserve"> 2nd Km Kirotiki odos  Enog</w:t>
            </w:r>
            <w:r w:rsidR="00D039F0" w:rsidRPr="008B2D10">
              <w:rPr>
                <w:lang w:val="ro-RO"/>
              </w:rPr>
              <w:t>yta</w:t>
            </w:r>
            <w:r w:rsidR="0013788E" w:rsidRPr="008B2D10">
              <w:rPr>
                <w:lang w:val="ro-RO"/>
              </w:rPr>
              <w:t>-Ag. Thomas,</w:t>
            </w:r>
            <w:r w:rsidR="00D039F0" w:rsidRPr="008B2D10">
              <w:rPr>
                <w:lang w:val="ro-RO"/>
              </w:rPr>
              <w:t xml:space="preserve"> </w:t>
            </w:r>
            <w:r w:rsidR="0013788E" w:rsidRPr="008B2D10">
              <w:rPr>
                <w:lang w:val="ro-RO"/>
              </w:rPr>
              <w:t xml:space="preserve">32011 Enogyta </w:t>
            </w:r>
            <w:r w:rsidR="00D039F0" w:rsidRPr="008B2D10">
              <w:rPr>
                <w:lang w:val="ro-RO"/>
              </w:rPr>
              <w:t>Viotias Grecia</w:t>
            </w:r>
          </w:p>
        </w:tc>
      </w:tr>
    </w:tbl>
    <w:p w:rsidR="00CF5A90" w:rsidRPr="008B2D10" w:rsidRDefault="00B66405" w:rsidP="008B2D10">
      <w:pPr>
        <w:pStyle w:val="CM4"/>
        <w:rPr>
          <w:rFonts w:ascii="Times New Roman" w:hAnsi="Times New Roman"/>
          <w:color w:val="000000"/>
          <w:lang w:val="ro-RO"/>
        </w:rPr>
      </w:pPr>
      <w:r w:rsidRPr="008B2D10">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4528C2" w:rsidRPr="008B2D10" w:rsidRDefault="00385365" w:rsidP="008B2D10">
            <w:pPr>
              <w:rPr>
                <w:i/>
              </w:rPr>
            </w:pPr>
            <w:r w:rsidRPr="008B2D10">
              <w:rPr>
                <w:b/>
                <w:lang w:val="ro-RO"/>
              </w:rPr>
              <w:t>NUMELE FABRICANTULUI  SUBSTANTEI ACTIVE</w:t>
            </w:r>
            <w:r w:rsidRPr="008B2D10">
              <w:rPr>
                <w:lang w:val="ro-RO"/>
              </w:rPr>
              <w:t>:</w:t>
            </w:r>
            <w:r w:rsidR="00EC4992" w:rsidRPr="008B2D10">
              <w:rPr>
                <w:lang w:val="ro-RO"/>
              </w:rPr>
              <w:t xml:space="preserve"> </w:t>
            </w:r>
            <w:r w:rsidR="00D039F0" w:rsidRPr="008B2D10">
              <w:rPr>
                <w:b/>
                <w:lang w:val="ro-RO"/>
              </w:rPr>
              <w:t>Pentagon Fine Chemicals Ltd</w:t>
            </w:r>
            <w:r w:rsidR="00D039F0" w:rsidRPr="008B2D10">
              <w:rPr>
                <w:lang w:val="ro-RO"/>
              </w:rPr>
              <w:t>, Hale Bank WAB 8NS Widnes Regatul Unit</w:t>
            </w:r>
          </w:p>
        </w:tc>
      </w:tr>
    </w:tbl>
    <w:p w:rsidR="00FE21AB" w:rsidRPr="008B2D10" w:rsidRDefault="00FE21AB" w:rsidP="008B2D10">
      <w:pPr>
        <w:pStyle w:val="NoSpacing"/>
        <w:rPr>
          <w:sz w:val="16"/>
          <w:lang w:val="ro-RO"/>
        </w:rPr>
      </w:pPr>
    </w:p>
    <w:p w:rsidR="00B66405" w:rsidRPr="008B2D10" w:rsidRDefault="00FE21AB" w:rsidP="008B2D10">
      <w:pPr>
        <w:pStyle w:val="NoSpacing"/>
        <w:rPr>
          <w:b/>
          <w:lang w:val="ro-RO"/>
        </w:rPr>
      </w:pPr>
      <w:r w:rsidRPr="008B2D10">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B66405" w:rsidRPr="008B2D10" w:rsidRDefault="00467F1E" w:rsidP="008B2D10">
            <w:pPr>
              <w:pStyle w:val="NoSpacing"/>
              <w:rPr>
                <w:lang w:val="ro-RO"/>
              </w:rPr>
            </w:pPr>
            <w:r w:rsidRPr="008B2D10">
              <w:rPr>
                <w:b/>
                <w:lang w:val="ro-RO"/>
              </w:rPr>
              <w:t>TIPUL DE PRODUS</w:t>
            </w:r>
            <w:r w:rsidR="00FE21AB" w:rsidRPr="008B2D10">
              <w:rPr>
                <w:b/>
                <w:lang w:val="ro-RO"/>
              </w:rPr>
              <w:t>:</w:t>
            </w:r>
            <w:r w:rsidR="00385365" w:rsidRPr="008B2D10">
              <w:rPr>
                <w:lang w:val="ro-RO"/>
              </w:rPr>
              <w:t xml:space="preserve"> </w:t>
            </w:r>
            <w:r w:rsidR="00D27580" w:rsidRPr="008B2D10">
              <w:rPr>
                <w:lang w:val="fr-FR"/>
              </w:rPr>
              <w:t>Grupa principală: III</w:t>
            </w:r>
            <w:r w:rsidR="00385365" w:rsidRPr="008B2D10">
              <w:rPr>
                <w:lang w:val="fr-FR"/>
              </w:rPr>
              <w:t xml:space="preserve">, </w:t>
            </w:r>
            <w:r w:rsidR="0061750F" w:rsidRPr="008B2D10">
              <w:rPr>
                <w:lang w:val="fr-FR"/>
              </w:rPr>
              <w:t>Tip de produs:  14</w:t>
            </w:r>
          </w:p>
        </w:tc>
      </w:tr>
    </w:tbl>
    <w:p w:rsidR="00B66405" w:rsidRPr="008B2D10" w:rsidRDefault="00B66405" w:rsidP="008B2D10">
      <w:pPr>
        <w:pStyle w:val="Default"/>
        <w:rPr>
          <w:rFonts w:ascii="Times New Roman" w:hAnsi="Times New Roman" w:cs="Times New Roman"/>
          <w:b/>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B66405" w:rsidRPr="008B2D10" w:rsidRDefault="00467F1E" w:rsidP="008B2D10">
            <w:pPr>
              <w:rPr>
                <w:lang w:val="ro-RO"/>
              </w:rPr>
            </w:pPr>
            <w:r w:rsidRPr="008B2D10">
              <w:rPr>
                <w:b/>
                <w:lang w:val="ro-RO"/>
              </w:rPr>
              <w:t>VII. CATEGORIILE DE UTILIZATORI</w:t>
            </w:r>
            <w:r w:rsidRPr="008B2D10">
              <w:rPr>
                <w:lang w:val="ro-RO"/>
              </w:rPr>
              <w:t xml:space="preserve"> </w:t>
            </w:r>
            <w:r w:rsidR="001A096C" w:rsidRPr="008B2D10">
              <w:rPr>
                <w:lang w:val="ro-RO"/>
              </w:rPr>
              <w:t>Pentru</w:t>
            </w:r>
            <w:r w:rsidR="001A096C" w:rsidRPr="008B2D10">
              <w:rPr>
                <w:b/>
                <w:lang w:val="ro-RO"/>
              </w:rPr>
              <w:t xml:space="preserve"> </w:t>
            </w:r>
            <w:r w:rsidR="00A516B1" w:rsidRPr="008B2D10">
              <w:rPr>
                <w:lang w:val="ro-RO"/>
              </w:rPr>
              <w:t xml:space="preserve">utilizatori </w:t>
            </w:r>
            <w:r w:rsidR="001A096C" w:rsidRPr="008B2D10">
              <w:rPr>
                <w:lang w:val="ro-RO"/>
              </w:rPr>
              <w:t xml:space="preserve"> </w:t>
            </w:r>
            <w:r w:rsidR="00B05124" w:rsidRPr="008B2D10">
              <w:rPr>
                <w:lang w:val="ro-RO"/>
              </w:rPr>
              <w:t xml:space="preserve">profesionali </w:t>
            </w:r>
          </w:p>
        </w:tc>
      </w:tr>
    </w:tbl>
    <w:p w:rsidR="004203CC" w:rsidRPr="004203CC" w:rsidRDefault="004203CC" w:rsidP="008B2D10">
      <w:pPr>
        <w:pStyle w:val="Default"/>
        <w:rPr>
          <w:rFonts w:ascii="Times New Roman" w:hAnsi="Times New Roman" w:cs="Times New Roman"/>
          <w:b/>
          <w:sz w:val="16"/>
          <w:lang w:val="ro-RO"/>
        </w:rPr>
      </w:pPr>
    </w:p>
    <w:p w:rsidR="00B66405" w:rsidRPr="008B2D10" w:rsidRDefault="00FE21AB" w:rsidP="008B2D10">
      <w:pPr>
        <w:pStyle w:val="Default"/>
        <w:rPr>
          <w:rFonts w:ascii="Times New Roman" w:hAnsi="Times New Roman" w:cs="Times New Roman"/>
          <w:b/>
          <w:lang w:val="ro-RO"/>
        </w:rPr>
      </w:pPr>
      <w:r w:rsidRPr="008B2D10">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D27580" w:rsidRPr="008B2D10" w:rsidRDefault="00467F1E" w:rsidP="008B2D10">
            <w:pPr>
              <w:pStyle w:val="CM4"/>
              <w:rPr>
                <w:rFonts w:ascii="Times New Roman" w:hAnsi="Times New Roman"/>
                <w:lang w:val="ro-RO"/>
              </w:rPr>
            </w:pPr>
            <w:r w:rsidRPr="008B2D10">
              <w:rPr>
                <w:rFonts w:ascii="Times New Roman" w:hAnsi="Times New Roman"/>
                <w:b/>
                <w:lang w:val="ro-RO"/>
              </w:rPr>
              <w:t>TIPUL PREPARATULUI</w:t>
            </w:r>
            <w:r w:rsidR="00D81852" w:rsidRPr="008B2D10">
              <w:rPr>
                <w:rFonts w:ascii="Times New Roman" w:hAnsi="Times New Roman"/>
                <w:b/>
                <w:lang w:val="ro-RO"/>
              </w:rPr>
              <w:t>:</w:t>
            </w:r>
            <w:r w:rsidR="00D81852" w:rsidRPr="008B2D10">
              <w:rPr>
                <w:rFonts w:ascii="Times New Roman" w:hAnsi="Times New Roman"/>
                <w:b/>
                <w:lang w:val="it-IT"/>
              </w:rPr>
              <w:t xml:space="preserve">  </w:t>
            </w:r>
            <w:r w:rsidR="005813E1" w:rsidRPr="008B2D10">
              <w:rPr>
                <w:rFonts w:ascii="Times New Roman" w:hAnsi="Times New Roman"/>
                <w:lang w:val="ro-RO"/>
              </w:rPr>
              <w:t xml:space="preserve">Momeala rodenticida gata de utilizare, sub forma de pelete </w:t>
            </w:r>
            <w:r w:rsidR="00F516D5">
              <w:rPr>
                <w:rFonts w:ascii="Times New Roman" w:hAnsi="Times New Roman"/>
                <w:lang w:val="ro-RO"/>
              </w:rPr>
              <w:t xml:space="preserve">de culoare roz pana la rosu deschis, </w:t>
            </w:r>
            <w:r w:rsidR="005813E1" w:rsidRPr="008B2D10">
              <w:rPr>
                <w:rFonts w:ascii="Times New Roman" w:hAnsi="Times New Roman"/>
                <w:lang w:val="ro-RO"/>
              </w:rPr>
              <w:t xml:space="preserve">cu 0,005% brodifacoum ca substanta activa, pentru combaterea soarecilor </w:t>
            </w:r>
            <w:r w:rsidR="005813E1" w:rsidRPr="008B2D10">
              <w:rPr>
                <w:rFonts w:ascii="Times New Roman" w:hAnsi="Times New Roman"/>
                <w:lang w:val="ro-RO"/>
              </w:rPr>
              <w:lastRenderedPageBreak/>
              <w:t>de casa (</w:t>
            </w:r>
            <w:r w:rsidR="005813E1" w:rsidRPr="008B2D10">
              <w:rPr>
                <w:rFonts w:ascii="Times New Roman" w:hAnsi="Times New Roman"/>
                <w:i/>
                <w:lang w:val="ro-RO"/>
              </w:rPr>
              <w:t>Mus musculus, Mus domesticus</w:t>
            </w:r>
            <w:r w:rsidR="005813E1" w:rsidRPr="008B2D10">
              <w:rPr>
                <w:rFonts w:ascii="Times New Roman" w:hAnsi="Times New Roman"/>
                <w:lang w:val="ro-RO"/>
              </w:rPr>
              <w:t>) si a sobolanilor (</w:t>
            </w:r>
            <w:r w:rsidR="005813E1" w:rsidRPr="008B2D10">
              <w:rPr>
                <w:rFonts w:ascii="Times New Roman" w:hAnsi="Times New Roman"/>
                <w:i/>
                <w:lang w:val="ro-RO"/>
              </w:rPr>
              <w:t>Rattus norvegicus</w:t>
            </w:r>
            <w:r w:rsidR="005813E1" w:rsidRPr="008B2D10">
              <w:rPr>
                <w:rFonts w:ascii="Times New Roman" w:hAnsi="Times New Roman"/>
                <w:lang w:val="ro-RO"/>
              </w:rPr>
              <w:t xml:space="preserve"> – sobolanul cenusiu si </w:t>
            </w:r>
            <w:r w:rsidR="005813E1" w:rsidRPr="008B2D10">
              <w:rPr>
                <w:rFonts w:ascii="Times New Roman" w:hAnsi="Times New Roman"/>
                <w:i/>
                <w:lang w:val="ro-RO"/>
              </w:rPr>
              <w:t>Rattus rattus</w:t>
            </w:r>
            <w:r w:rsidR="005813E1" w:rsidRPr="008B2D10">
              <w:rPr>
                <w:rFonts w:ascii="Times New Roman" w:hAnsi="Times New Roman"/>
                <w:lang w:val="ro-RO"/>
              </w:rPr>
              <w:t xml:space="preserve"> – sobolanul de acoperis) – juvenili si adulti, utilizare profesionala.</w:t>
            </w:r>
          </w:p>
        </w:tc>
      </w:tr>
    </w:tbl>
    <w:p w:rsidR="00B66405" w:rsidRPr="008B2D10" w:rsidRDefault="00B66405" w:rsidP="008B2D10">
      <w:pPr>
        <w:rPr>
          <w:b/>
          <w:sz w:val="16"/>
          <w:lang w:val="ro-RO"/>
        </w:rPr>
      </w:pPr>
    </w:p>
    <w:p w:rsidR="00B66405" w:rsidRPr="008B2D10" w:rsidRDefault="00B66405" w:rsidP="008B2D10">
      <w:pPr>
        <w:pStyle w:val="NoSpacing"/>
        <w:rPr>
          <w:b/>
          <w:lang w:val="ro-RO"/>
        </w:rPr>
      </w:pPr>
      <w:r w:rsidRPr="008B2D10">
        <w:rPr>
          <w:b/>
          <w:lang w:val="ro-RO"/>
        </w:rPr>
        <w:t>IX</w:t>
      </w:r>
      <w:r w:rsidR="00203F73" w:rsidRPr="008B2D10">
        <w:rPr>
          <w:b/>
          <w:lang w:val="ro-RO"/>
        </w:rPr>
        <w:t>.</w:t>
      </w:r>
      <w:r w:rsidRPr="008B2D10">
        <w:rPr>
          <w:b/>
          <w:lang w:val="ro-RO"/>
        </w:rPr>
        <w:t xml:space="preserve"> </w:t>
      </w:r>
      <w:r w:rsidR="00774E2B" w:rsidRPr="008B2D10">
        <w:rPr>
          <w:b/>
          <w:lang w:val="ro-RO"/>
        </w:rPr>
        <w:t xml:space="preserve">COMPOZITIA CALITATIVĂ </w:t>
      </w:r>
      <w:r w:rsidR="00C43A97" w:rsidRPr="008B2D10">
        <w:rPr>
          <w:b/>
          <w:lang w:val="ro-RO"/>
        </w:rPr>
        <w:t xml:space="preserve">SI CANTITATIVĂ </w:t>
      </w:r>
    </w:p>
    <w:p w:rsidR="00B66405" w:rsidRPr="008B2D10" w:rsidRDefault="00B66405" w:rsidP="008B2D10">
      <w:pPr>
        <w:pStyle w:val="NoSpacing"/>
        <w:numPr>
          <w:ilvl w:val="0"/>
          <w:numId w:val="34"/>
        </w:numPr>
        <w:rPr>
          <w:b/>
          <w:i/>
          <w:lang w:val="ro-RO"/>
        </w:rPr>
      </w:pPr>
      <w:r w:rsidRPr="008B2D10">
        <w:rPr>
          <w:b/>
          <w:lang w:val="ro-RO"/>
        </w:rPr>
        <w:t>Substan</w:t>
      </w:r>
      <w:r w:rsidR="00D27580" w:rsidRPr="008B2D10">
        <w:rPr>
          <w:b/>
          <w:lang w:val="ro-RO"/>
        </w:rPr>
        <w:t>t</w:t>
      </w:r>
      <w:r w:rsidRPr="008B2D10">
        <w:rPr>
          <w:b/>
          <w:lang w:val="ro-RO"/>
        </w:rPr>
        <w:t>a activă (</w:t>
      </w:r>
      <w:r w:rsidRPr="008B2D10">
        <w:rPr>
          <w:b/>
          <w:i/>
          <w:lang w:val="ro-RO"/>
        </w:rPr>
        <w:t>se completează pentru fiecare substan</w:t>
      </w:r>
      <w:r w:rsidR="00385365" w:rsidRPr="008B2D10">
        <w:rPr>
          <w:b/>
          <w:i/>
          <w:lang w:val="ro-RO"/>
        </w:rPr>
        <w:t>t</w:t>
      </w:r>
      <w:r w:rsidRPr="008B2D10">
        <w:rPr>
          <w:b/>
          <w:i/>
          <w:lang w:val="ro-RO"/>
        </w:rPr>
        <w:t>ă</w:t>
      </w:r>
      <w:r w:rsidRPr="008B2D10">
        <w:rPr>
          <w:b/>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6405" w:rsidRPr="008B2D10" w:rsidTr="00385365">
        <w:tc>
          <w:tcPr>
            <w:tcW w:w="3261" w:type="dxa"/>
            <w:shd w:val="clear" w:color="auto" w:fill="auto"/>
          </w:tcPr>
          <w:p w:rsidR="00B66405" w:rsidRPr="008B2D10" w:rsidRDefault="00B66405" w:rsidP="008B2D10">
            <w:pPr>
              <w:pStyle w:val="NoSpacing"/>
              <w:rPr>
                <w:lang w:val="ro-RO"/>
              </w:rPr>
            </w:pPr>
            <w:r w:rsidRPr="008B2D10">
              <w:rPr>
                <w:lang w:val="ro-RO"/>
              </w:rPr>
              <w:t>Denumirea comună</w:t>
            </w:r>
          </w:p>
        </w:tc>
        <w:tc>
          <w:tcPr>
            <w:tcW w:w="6662" w:type="dxa"/>
            <w:shd w:val="clear" w:color="auto" w:fill="auto"/>
          </w:tcPr>
          <w:p w:rsidR="00B66405" w:rsidRPr="008B2D10" w:rsidRDefault="00AE1CFC" w:rsidP="008B2D10">
            <w:pPr>
              <w:pStyle w:val="NoSpacing"/>
              <w:rPr>
                <w:color w:val="FF0000"/>
                <w:lang w:val="ro-RO"/>
              </w:rPr>
            </w:pPr>
            <w:r w:rsidRPr="008B2D10">
              <w:rPr>
                <w:bCs/>
                <w:i/>
                <w:lang w:val="ro-RO"/>
              </w:rPr>
              <w:t>Brodifacum</w:t>
            </w:r>
          </w:p>
        </w:tc>
      </w:tr>
      <w:tr w:rsidR="00AE1CFC" w:rsidRPr="008B2D10" w:rsidTr="00AE1CFC">
        <w:tc>
          <w:tcPr>
            <w:tcW w:w="3261" w:type="dxa"/>
            <w:shd w:val="clear" w:color="auto" w:fill="auto"/>
            <w:vAlign w:val="center"/>
          </w:tcPr>
          <w:p w:rsidR="00AE1CFC" w:rsidRPr="008B2D10" w:rsidRDefault="00AE1CFC" w:rsidP="008B2D10">
            <w:pPr>
              <w:rPr>
                <w:bCs/>
                <w:lang w:val="ro-RO"/>
              </w:rPr>
            </w:pPr>
            <w:r w:rsidRPr="008B2D10">
              <w:rPr>
                <w:bCs/>
                <w:lang w:val="ro-RO"/>
              </w:rPr>
              <w:t>Denumire IUPAC</w:t>
            </w:r>
          </w:p>
        </w:tc>
        <w:tc>
          <w:tcPr>
            <w:tcW w:w="6662" w:type="dxa"/>
            <w:shd w:val="clear" w:color="auto" w:fill="auto"/>
          </w:tcPr>
          <w:p w:rsidR="00AE1CFC" w:rsidRPr="008B2D10" w:rsidRDefault="00AE1CFC" w:rsidP="008B2D10">
            <w:pPr>
              <w:pStyle w:val="NoSpacing"/>
              <w:rPr>
                <w:color w:val="FF0000"/>
                <w:lang w:val="ro-RO"/>
              </w:rPr>
            </w:pPr>
            <w:r w:rsidRPr="008B2D10">
              <w:rPr>
                <w:bCs/>
                <w:lang w:val="ro-RO"/>
              </w:rPr>
              <w:t>[3-(4'-bromobiphenyl-4-yl)-1,2,3,4-tetrahydro-1-naphthyl]-4-hydroxycoumarin</w:t>
            </w:r>
          </w:p>
        </w:tc>
      </w:tr>
      <w:tr w:rsidR="00AE1CFC" w:rsidRPr="008B2D10" w:rsidTr="00AE1CFC">
        <w:tc>
          <w:tcPr>
            <w:tcW w:w="3261" w:type="dxa"/>
            <w:shd w:val="clear" w:color="auto" w:fill="auto"/>
            <w:vAlign w:val="center"/>
          </w:tcPr>
          <w:p w:rsidR="00AE1CFC" w:rsidRPr="008B2D10" w:rsidRDefault="00AE1CFC" w:rsidP="008B2D10">
            <w:pPr>
              <w:rPr>
                <w:bCs/>
                <w:lang w:val="it-IT"/>
              </w:rPr>
            </w:pPr>
            <w:r w:rsidRPr="008B2D10">
              <w:rPr>
                <w:bCs/>
                <w:lang w:val="it-IT"/>
              </w:rPr>
              <w:t>Numar CAS</w:t>
            </w:r>
          </w:p>
        </w:tc>
        <w:tc>
          <w:tcPr>
            <w:tcW w:w="6662" w:type="dxa"/>
            <w:shd w:val="clear" w:color="auto" w:fill="auto"/>
          </w:tcPr>
          <w:p w:rsidR="00AE1CFC" w:rsidRPr="008B2D10" w:rsidRDefault="00AE1CFC" w:rsidP="008B2D10">
            <w:pPr>
              <w:pStyle w:val="NoSpacing"/>
              <w:rPr>
                <w:color w:val="FF0000"/>
                <w:lang w:val="ro-RO"/>
              </w:rPr>
            </w:pPr>
            <w:r w:rsidRPr="008B2D10">
              <w:rPr>
                <w:bCs/>
                <w:lang w:val="ro-RO"/>
              </w:rPr>
              <w:t>56073-10-0</w:t>
            </w:r>
          </w:p>
        </w:tc>
      </w:tr>
      <w:tr w:rsidR="00AE1CFC" w:rsidRPr="008B2D10" w:rsidTr="00AE1CFC">
        <w:tc>
          <w:tcPr>
            <w:tcW w:w="3261" w:type="dxa"/>
            <w:shd w:val="clear" w:color="auto" w:fill="auto"/>
            <w:vAlign w:val="center"/>
          </w:tcPr>
          <w:p w:rsidR="00AE1CFC" w:rsidRPr="008B2D10" w:rsidRDefault="00AE1CFC" w:rsidP="008B2D10">
            <w:pPr>
              <w:rPr>
                <w:bCs/>
                <w:lang w:val="it-IT"/>
              </w:rPr>
            </w:pPr>
            <w:r w:rsidRPr="008B2D10">
              <w:rPr>
                <w:bCs/>
                <w:lang w:val="it-IT"/>
              </w:rPr>
              <w:t>Numar EC</w:t>
            </w:r>
          </w:p>
        </w:tc>
        <w:tc>
          <w:tcPr>
            <w:tcW w:w="6662" w:type="dxa"/>
            <w:shd w:val="clear" w:color="auto" w:fill="auto"/>
          </w:tcPr>
          <w:p w:rsidR="00AE1CFC" w:rsidRPr="008B2D10" w:rsidRDefault="00AE1CFC" w:rsidP="008B2D10">
            <w:pPr>
              <w:pStyle w:val="NoSpacing"/>
              <w:rPr>
                <w:color w:val="FF0000"/>
                <w:lang w:val="ro-RO"/>
              </w:rPr>
            </w:pPr>
            <w:r w:rsidRPr="008B2D10">
              <w:rPr>
                <w:bCs/>
                <w:lang w:val="ro-RO"/>
              </w:rPr>
              <w:t>259-980-5</w:t>
            </w:r>
          </w:p>
        </w:tc>
      </w:tr>
      <w:tr w:rsidR="00AE1CFC" w:rsidRPr="008B2D10" w:rsidTr="00AE1CFC">
        <w:tc>
          <w:tcPr>
            <w:tcW w:w="3261" w:type="dxa"/>
            <w:shd w:val="clear" w:color="auto" w:fill="auto"/>
            <w:vAlign w:val="center"/>
          </w:tcPr>
          <w:p w:rsidR="00AE1CFC" w:rsidRPr="008B2D10" w:rsidRDefault="00AE1CFC" w:rsidP="008B2D10">
            <w:pPr>
              <w:rPr>
                <w:bCs/>
                <w:lang w:val="it-IT"/>
              </w:rPr>
            </w:pPr>
            <w:r w:rsidRPr="008B2D10">
              <w:rPr>
                <w:bCs/>
                <w:lang w:val="it-IT"/>
              </w:rPr>
              <w:t xml:space="preserve">Concentratie </w:t>
            </w:r>
            <w:r w:rsidR="00F51301" w:rsidRPr="008B2D10">
              <w:rPr>
                <w:bCs/>
                <w:lang w:val="it-IT"/>
              </w:rPr>
              <w:t xml:space="preserve"> in unitati metrice </w:t>
            </w:r>
          </w:p>
        </w:tc>
        <w:tc>
          <w:tcPr>
            <w:tcW w:w="6662" w:type="dxa"/>
            <w:shd w:val="clear" w:color="auto" w:fill="auto"/>
          </w:tcPr>
          <w:p w:rsidR="00AE1CFC" w:rsidRPr="008B2D10" w:rsidRDefault="00AE1CFC" w:rsidP="008B2D10">
            <w:pPr>
              <w:pStyle w:val="NoSpacing"/>
              <w:rPr>
                <w:color w:val="FF0000"/>
                <w:lang w:val="ro-RO"/>
              </w:rPr>
            </w:pPr>
            <w:r w:rsidRPr="008B2D10">
              <w:rPr>
                <w:bCs/>
                <w:lang w:val="ro-RO"/>
              </w:rPr>
              <w:t>0,005%</w:t>
            </w:r>
          </w:p>
        </w:tc>
      </w:tr>
    </w:tbl>
    <w:p w:rsidR="00B66405" w:rsidRDefault="00B66405" w:rsidP="008B2D10">
      <w:pPr>
        <w:pStyle w:val="ListParagraph"/>
        <w:numPr>
          <w:ilvl w:val="0"/>
          <w:numId w:val="34"/>
        </w:numPr>
        <w:rPr>
          <w:b/>
          <w:lang w:val="ro-RO"/>
        </w:rPr>
      </w:pPr>
      <w:r w:rsidRPr="008B2D10">
        <w:rPr>
          <w:b/>
          <w:lang w:val="ro-RO"/>
        </w:rPr>
        <w:t>Substan</w:t>
      </w:r>
      <w:r w:rsidR="003E25B6" w:rsidRPr="008B2D10">
        <w:rPr>
          <w:b/>
          <w:lang w:val="ro-RO"/>
        </w:rPr>
        <w:t>t</w:t>
      </w:r>
      <w:r w:rsidRPr="008B2D10">
        <w:rPr>
          <w:b/>
          <w:lang w:val="ro-RO"/>
        </w:rPr>
        <w:t>a inactivă/nonactivă</w:t>
      </w:r>
      <w:r w:rsidR="00385365" w:rsidRPr="008B2D10">
        <w:rPr>
          <w:b/>
          <w:lang w:val="ro-RO"/>
        </w:rPr>
        <w:t xml:space="preserve"> – nu se specifica</w:t>
      </w:r>
    </w:p>
    <w:p w:rsidR="008B2D10" w:rsidRPr="008B2D10" w:rsidRDefault="008B2D10" w:rsidP="008B2D10">
      <w:pPr>
        <w:pStyle w:val="ListParagraph"/>
        <w:ind w:left="1080"/>
        <w:rPr>
          <w:b/>
          <w:sz w:val="16"/>
          <w:lang w:val="ro-RO"/>
        </w:rPr>
      </w:pPr>
    </w:p>
    <w:p w:rsidR="00B66405" w:rsidRPr="008B2D10" w:rsidRDefault="00203F73" w:rsidP="008B2D10">
      <w:pPr>
        <w:pStyle w:val="NoSpacing"/>
        <w:rPr>
          <w:b/>
          <w:lang w:val="ro-RO"/>
        </w:rPr>
      </w:pPr>
      <w:r w:rsidRPr="008B2D10">
        <w:rPr>
          <w:b/>
          <w:lang w:val="ro-RO"/>
        </w:rPr>
        <w:t xml:space="preserve">X. </w:t>
      </w:r>
      <w:r w:rsidR="00B66405" w:rsidRPr="008B2D10">
        <w:rPr>
          <w:b/>
          <w:lang w:val="ro-RO"/>
        </w:rPr>
        <w:t>CLASIFICAREA SI ETICHETAREA PRODUSULUI</w:t>
      </w:r>
    </w:p>
    <w:p w:rsidR="00B66405" w:rsidRPr="008B2D10" w:rsidRDefault="00B66405" w:rsidP="008B2D10">
      <w:pPr>
        <w:pStyle w:val="NoSpacing"/>
        <w:ind w:firstLine="360"/>
        <w:rPr>
          <w:b/>
          <w:lang w:val="ro-RO"/>
        </w:rPr>
      </w:pPr>
      <w:r w:rsidRPr="008B2D10">
        <w:rPr>
          <w:b/>
          <w:lang w:val="ro-RO"/>
        </w:rPr>
        <w:t xml:space="preserve">Produs biocid cu substanţe active - </w:t>
      </w:r>
      <w:r w:rsidRPr="008B2D10">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8B2D10" w:rsidTr="007707AC">
        <w:tc>
          <w:tcPr>
            <w:tcW w:w="3402" w:type="dxa"/>
          </w:tcPr>
          <w:p w:rsidR="00B66405" w:rsidRPr="008B2D10" w:rsidRDefault="0080257F" w:rsidP="008B2D10">
            <w:pPr>
              <w:pStyle w:val="NoSpacing"/>
              <w:rPr>
                <w:lang w:val="ro-RO"/>
              </w:rPr>
            </w:pPr>
            <w:r w:rsidRPr="008B2D10">
              <w:rPr>
                <w:lang w:val="ro-RO"/>
              </w:rPr>
              <w:t>S</w:t>
            </w:r>
            <w:r w:rsidR="00B66405" w:rsidRPr="008B2D10">
              <w:rPr>
                <w:lang w:val="ro-RO"/>
              </w:rPr>
              <w:t xml:space="preserve">imboluri </w:t>
            </w:r>
          </w:p>
        </w:tc>
        <w:tc>
          <w:tcPr>
            <w:tcW w:w="6521" w:type="dxa"/>
          </w:tcPr>
          <w:p w:rsidR="00400263" w:rsidRPr="008B2D10" w:rsidRDefault="00B25ABA" w:rsidP="008B2D10">
            <w:pPr>
              <w:pStyle w:val="NoSpacing"/>
              <w:rPr>
                <w:color w:val="FF0000"/>
                <w:lang w:val="ro-RO"/>
              </w:rPr>
            </w:pPr>
            <w:r w:rsidRPr="008B2D10">
              <w:rPr>
                <w:lang w:val="ro-RO"/>
              </w:rPr>
              <w:t>-</w:t>
            </w:r>
          </w:p>
        </w:tc>
      </w:tr>
      <w:tr w:rsidR="00346AEE" w:rsidRPr="008B2D10" w:rsidTr="007707AC">
        <w:tc>
          <w:tcPr>
            <w:tcW w:w="3402" w:type="dxa"/>
          </w:tcPr>
          <w:p w:rsidR="00FE21AB" w:rsidRPr="008B2D10" w:rsidRDefault="00346AEE" w:rsidP="008B2D10">
            <w:pPr>
              <w:pStyle w:val="NoSpacing"/>
              <w:rPr>
                <w:lang w:val="ro-RO"/>
              </w:rPr>
            </w:pPr>
            <w:r w:rsidRPr="008B2D10">
              <w:rPr>
                <w:lang w:val="ro-RO"/>
              </w:rPr>
              <w:t>Fraze de risc (R)</w:t>
            </w:r>
            <w:r w:rsidR="0080257F" w:rsidRPr="008B2D10">
              <w:rPr>
                <w:lang w:val="ro-RO"/>
              </w:rPr>
              <w:t xml:space="preserve">     </w:t>
            </w:r>
          </w:p>
          <w:p w:rsidR="0080257F" w:rsidRPr="008B2D10" w:rsidRDefault="00346AEE" w:rsidP="008B2D10">
            <w:pPr>
              <w:pStyle w:val="NoSpacing"/>
              <w:rPr>
                <w:lang w:val="ro-RO"/>
              </w:rPr>
            </w:pPr>
            <w:r w:rsidRPr="008B2D10">
              <w:rPr>
                <w:lang w:val="ro-RO"/>
              </w:rPr>
              <w:t xml:space="preserve">şi/sau </w:t>
            </w:r>
          </w:p>
          <w:p w:rsidR="00346AEE" w:rsidRPr="008B2D10" w:rsidRDefault="0080257F" w:rsidP="008B2D10">
            <w:pPr>
              <w:pStyle w:val="NoSpacing"/>
              <w:rPr>
                <w:lang w:val="ro-RO"/>
              </w:rPr>
            </w:pPr>
            <w:r w:rsidRPr="008B2D10">
              <w:rPr>
                <w:lang w:val="ro-RO"/>
              </w:rPr>
              <w:t>Fraze de pericol (H)</w:t>
            </w:r>
          </w:p>
        </w:tc>
        <w:tc>
          <w:tcPr>
            <w:tcW w:w="6521" w:type="dxa"/>
          </w:tcPr>
          <w:p w:rsidR="00346AEE" w:rsidRPr="008B2D10" w:rsidRDefault="00B25ABA" w:rsidP="008B2D10">
            <w:pPr>
              <w:pStyle w:val="NoSpacing"/>
              <w:rPr>
                <w:color w:val="FF0000"/>
                <w:lang w:val="ro-RO"/>
              </w:rPr>
            </w:pPr>
            <w:r w:rsidRPr="008B2D10">
              <w:rPr>
                <w:lang w:val="ro-RO"/>
              </w:rPr>
              <w:t>-</w:t>
            </w:r>
          </w:p>
        </w:tc>
      </w:tr>
      <w:tr w:rsidR="00346AEE" w:rsidRPr="008B2D10" w:rsidTr="007707AC">
        <w:tc>
          <w:tcPr>
            <w:tcW w:w="3402" w:type="dxa"/>
          </w:tcPr>
          <w:p w:rsidR="00FE21AB" w:rsidRPr="008B2D10" w:rsidRDefault="00346AEE" w:rsidP="008B2D10">
            <w:pPr>
              <w:pStyle w:val="NoSpacing"/>
              <w:rPr>
                <w:lang w:val="ro-RO"/>
              </w:rPr>
            </w:pPr>
            <w:r w:rsidRPr="008B2D10">
              <w:rPr>
                <w:lang w:val="ro-RO"/>
              </w:rPr>
              <w:t xml:space="preserve">Fraze de </w:t>
            </w:r>
            <w:r w:rsidR="00D143A7" w:rsidRPr="008B2D10">
              <w:rPr>
                <w:lang w:val="ro-RO"/>
              </w:rPr>
              <w:t>s</w:t>
            </w:r>
            <w:r w:rsidR="0084654A" w:rsidRPr="008B2D10">
              <w:rPr>
                <w:lang w:val="ro-RO"/>
              </w:rPr>
              <w:t xml:space="preserve">iguranta </w:t>
            </w:r>
            <w:r w:rsidRPr="008B2D10">
              <w:rPr>
                <w:lang w:val="ro-RO"/>
              </w:rPr>
              <w:t>(S)</w:t>
            </w:r>
          </w:p>
          <w:p w:rsidR="00346AEE" w:rsidRPr="008B2D10" w:rsidRDefault="00346AEE" w:rsidP="008B2D10">
            <w:pPr>
              <w:pStyle w:val="NoSpacing"/>
              <w:rPr>
                <w:lang w:val="ro-RO"/>
              </w:rPr>
            </w:pPr>
            <w:r w:rsidRPr="008B2D10">
              <w:rPr>
                <w:lang w:val="ro-RO"/>
              </w:rPr>
              <w:t xml:space="preserve"> şi/sau </w:t>
            </w:r>
          </w:p>
          <w:p w:rsidR="0080257F" w:rsidRPr="008B2D10" w:rsidRDefault="0080257F" w:rsidP="008B2D10">
            <w:pPr>
              <w:pStyle w:val="NoSpacing"/>
              <w:rPr>
                <w:lang w:val="ro-RO"/>
              </w:rPr>
            </w:pPr>
            <w:r w:rsidRPr="008B2D10">
              <w:rPr>
                <w:lang w:val="ro-RO"/>
              </w:rPr>
              <w:t>Fraze de prudenta (P)</w:t>
            </w:r>
          </w:p>
        </w:tc>
        <w:tc>
          <w:tcPr>
            <w:tcW w:w="6521" w:type="dxa"/>
          </w:tcPr>
          <w:p w:rsidR="006E2C7D" w:rsidRPr="008B2D10" w:rsidRDefault="006E2C7D" w:rsidP="008B2D10">
            <w:pPr>
              <w:pStyle w:val="NoSpacing"/>
              <w:rPr>
                <w:lang w:val="ro-RO"/>
              </w:rPr>
            </w:pPr>
            <w:r w:rsidRPr="008B2D10">
              <w:rPr>
                <w:lang w:val="ro-RO"/>
              </w:rPr>
              <w:t>P102- A nu se lasa la indemana copiilor.</w:t>
            </w:r>
          </w:p>
          <w:p w:rsidR="006E2C7D" w:rsidRPr="008B2D10" w:rsidRDefault="006E2C7D" w:rsidP="008B2D10">
            <w:pPr>
              <w:pStyle w:val="NoSpacing"/>
              <w:rPr>
                <w:lang w:val="ro-RO"/>
              </w:rPr>
            </w:pPr>
            <w:r w:rsidRPr="008B2D10">
              <w:rPr>
                <w:lang w:val="ro-RO"/>
              </w:rPr>
              <w:t>P103 -Cititi eticheta inainte de utilizare.</w:t>
            </w:r>
          </w:p>
          <w:p w:rsidR="006E2C7D" w:rsidRPr="008B2D10" w:rsidRDefault="006E2C7D" w:rsidP="008B2D10">
            <w:pPr>
              <w:pStyle w:val="NoSpacing"/>
              <w:rPr>
                <w:lang w:val="ro-RO"/>
              </w:rPr>
            </w:pPr>
            <w:r w:rsidRPr="008B2D10">
              <w:rPr>
                <w:lang w:val="ro-RO"/>
              </w:rPr>
              <w:t>P220- A se pastra / depozita departe de imbracaminte / materiale combustibile.</w:t>
            </w:r>
          </w:p>
          <w:p w:rsidR="006E2C7D" w:rsidRPr="008B2D10" w:rsidRDefault="006E2C7D" w:rsidP="008B2D10">
            <w:pPr>
              <w:pStyle w:val="NoSpacing"/>
              <w:rPr>
                <w:lang w:val="ro-RO"/>
              </w:rPr>
            </w:pPr>
            <w:r w:rsidRPr="008B2D10">
              <w:rPr>
                <w:lang w:val="ro-RO"/>
              </w:rPr>
              <w:t>P262- Evitaţi orice contact cu pielea</w:t>
            </w:r>
          </w:p>
          <w:p w:rsidR="006E2C7D" w:rsidRPr="008B2D10" w:rsidRDefault="006E2C7D" w:rsidP="008B2D10">
            <w:pPr>
              <w:pStyle w:val="NoSpacing"/>
              <w:rPr>
                <w:lang w:val="ro-RO"/>
              </w:rPr>
            </w:pPr>
            <w:r w:rsidRPr="008B2D10">
              <w:rPr>
                <w:lang w:val="ro-RO"/>
              </w:rPr>
              <w:t>P270- A nu manca, bea sau fuma in timpul utilizarii produsului.</w:t>
            </w:r>
          </w:p>
          <w:p w:rsidR="006E2C7D" w:rsidRPr="008B2D10" w:rsidRDefault="006E2C7D" w:rsidP="008B2D10">
            <w:pPr>
              <w:pStyle w:val="NoSpacing"/>
              <w:rPr>
                <w:lang w:val="ro-RO"/>
              </w:rPr>
            </w:pPr>
            <w:r w:rsidRPr="008B2D10">
              <w:rPr>
                <w:lang w:val="ro-RO"/>
              </w:rPr>
              <w:t>P273 -Evitati dispersarea in mediu.</w:t>
            </w:r>
          </w:p>
          <w:p w:rsidR="006E2C7D" w:rsidRPr="008B2D10" w:rsidRDefault="006E2C7D" w:rsidP="008B2D10">
            <w:pPr>
              <w:pStyle w:val="NoSpacing"/>
              <w:rPr>
                <w:lang w:val="ro-RO"/>
              </w:rPr>
            </w:pPr>
            <w:r w:rsidRPr="008B2D10">
              <w:rPr>
                <w:lang w:val="ro-RO"/>
              </w:rPr>
              <w:t>P280- Purtaţi mănuşi de protecţie. [Utilizatori profesionali].</w:t>
            </w:r>
          </w:p>
          <w:p w:rsidR="006E2C7D" w:rsidRPr="008B2D10" w:rsidRDefault="006E2C7D" w:rsidP="008B2D10">
            <w:pPr>
              <w:pStyle w:val="NoSpacing"/>
              <w:rPr>
                <w:lang w:val="ro-RO"/>
              </w:rPr>
            </w:pPr>
            <w:r w:rsidRPr="008B2D10">
              <w:rPr>
                <w:lang w:val="ro-RO"/>
              </w:rPr>
              <w:t>P301+P310 -IN CAZ DE INGHITIRE: Sunati imediat la un CENTRU DE INFORMARE TOXICOLOGICA sau un medic.</w:t>
            </w:r>
          </w:p>
          <w:p w:rsidR="006E2C7D" w:rsidRPr="008B2D10" w:rsidRDefault="006E2C7D" w:rsidP="008B2D10">
            <w:pPr>
              <w:pStyle w:val="NoSpacing"/>
              <w:rPr>
                <w:lang w:val="ro-RO"/>
              </w:rPr>
            </w:pPr>
            <w:r w:rsidRPr="008B2D10">
              <w:rPr>
                <w:lang w:val="ro-RO"/>
              </w:rPr>
              <w:t>P404+-P405-A se depozita</w:t>
            </w:r>
            <w:r w:rsidR="00B25ABA" w:rsidRPr="008B2D10">
              <w:rPr>
                <w:lang w:val="ro-RO"/>
              </w:rPr>
              <w:t xml:space="preserve"> </w:t>
            </w:r>
            <w:r w:rsidRPr="008B2D10">
              <w:rPr>
                <w:lang w:val="ro-RO"/>
              </w:rPr>
              <w:t>incuiat,intr-un recipient</w:t>
            </w:r>
            <w:r w:rsidR="00B25ABA" w:rsidRPr="008B2D10">
              <w:rPr>
                <w:lang w:val="ro-RO"/>
              </w:rPr>
              <w:t xml:space="preserve"> bine </w:t>
            </w:r>
            <w:r w:rsidRPr="008B2D10">
              <w:rPr>
                <w:lang w:val="ro-RO"/>
              </w:rPr>
              <w:t xml:space="preserve"> inchis.</w:t>
            </w:r>
          </w:p>
          <w:p w:rsidR="0080257F" w:rsidRPr="008B2D10" w:rsidRDefault="006E2C7D" w:rsidP="008B2D10">
            <w:pPr>
              <w:pStyle w:val="NoSpacing"/>
              <w:rPr>
                <w:color w:val="FF0000"/>
                <w:lang w:val="ro-RO"/>
              </w:rPr>
            </w:pPr>
            <w:r w:rsidRPr="008B2D10">
              <w:rPr>
                <w:lang w:val="ro-RO"/>
              </w:rPr>
              <w:t xml:space="preserve">P501 -Aruncati continutul/recipientul conform </w:t>
            </w:r>
            <w:r w:rsidR="00B25ABA" w:rsidRPr="008B2D10">
              <w:rPr>
                <w:lang w:val="ro-RO"/>
              </w:rPr>
              <w:t>cu reglementarile nationale.</w:t>
            </w:r>
          </w:p>
        </w:tc>
      </w:tr>
      <w:tr w:rsidR="0080257F" w:rsidRPr="008B2D10" w:rsidTr="007707AC">
        <w:tc>
          <w:tcPr>
            <w:tcW w:w="3402" w:type="dxa"/>
          </w:tcPr>
          <w:p w:rsidR="0080257F" w:rsidRPr="008B2D10" w:rsidRDefault="0080257F" w:rsidP="008B2D10">
            <w:pPr>
              <w:pStyle w:val="NoSpacing"/>
              <w:rPr>
                <w:lang w:val="ro-RO"/>
              </w:rPr>
            </w:pPr>
            <w:r w:rsidRPr="008B2D10">
              <w:rPr>
                <w:lang w:val="ro-RO"/>
              </w:rPr>
              <w:t>Pictograma(e)</w:t>
            </w:r>
          </w:p>
        </w:tc>
        <w:tc>
          <w:tcPr>
            <w:tcW w:w="6521" w:type="dxa"/>
          </w:tcPr>
          <w:p w:rsidR="0080257F" w:rsidRPr="008B2D10" w:rsidRDefault="00B25ABA" w:rsidP="008B2D10">
            <w:pPr>
              <w:pStyle w:val="NoSpacing"/>
              <w:rPr>
                <w:lang w:val="ro-RO"/>
              </w:rPr>
            </w:pPr>
            <w:r w:rsidRPr="008B2D10">
              <w:rPr>
                <w:lang w:val="ro-RO"/>
              </w:rPr>
              <w:t>-</w:t>
            </w:r>
          </w:p>
        </w:tc>
      </w:tr>
    </w:tbl>
    <w:p w:rsidR="00123729" w:rsidRPr="008B2D10" w:rsidRDefault="00123729" w:rsidP="008B2D10">
      <w:pPr>
        <w:rPr>
          <w:b/>
          <w:sz w:val="16"/>
          <w:lang w:val="ro-RO"/>
        </w:rPr>
      </w:pPr>
    </w:p>
    <w:p w:rsidR="00954B28" w:rsidRPr="008B2D10" w:rsidRDefault="00203F73" w:rsidP="008B2D10">
      <w:pPr>
        <w:rPr>
          <w:b/>
          <w:lang w:val="ro-RO"/>
        </w:rPr>
      </w:pPr>
      <w:r w:rsidRPr="008B2D10">
        <w:rPr>
          <w:b/>
          <w:lang w:val="ro-RO"/>
        </w:rPr>
        <w:t xml:space="preserve">XI. </w:t>
      </w:r>
      <w:r w:rsidR="00B66405" w:rsidRPr="008B2D10">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F1361B">
        <w:tc>
          <w:tcPr>
            <w:tcW w:w="9923" w:type="dxa"/>
            <w:shd w:val="clear" w:color="auto" w:fill="FFFFFF" w:themeFill="background1"/>
          </w:tcPr>
          <w:p w:rsidR="0013788E" w:rsidRPr="008B2D10" w:rsidRDefault="0013788E" w:rsidP="008B2D10">
            <w:pPr>
              <w:pStyle w:val="NoSpacing"/>
              <w:rPr>
                <w:lang w:val="ro-RO"/>
              </w:rPr>
            </w:pPr>
            <w:r w:rsidRPr="008B2D10">
              <w:rPr>
                <w:u w:val="single"/>
                <w:lang w:val="ro-RO"/>
              </w:rPr>
              <w:t>Utilizatori profesionali</w:t>
            </w:r>
            <w:r w:rsidRPr="008B2D10">
              <w:rPr>
                <w:lang w:val="ro-RO"/>
              </w:rPr>
              <w:t>: Momeala libera(vrac),sub forma de pelete(</w:t>
            </w:r>
            <w:r w:rsidR="0040177A" w:rsidRPr="008B2D10">
              <w:rPr>
                <w:lang w:val="ro-RO"/>
              </w:rPr>
              <w:t xml:space="preserve"> </w:t>
            </w:r>
            <w:r w:rsidRPr="008B2D10">
              <w:rPr>
                <w:lang w:val="ro-RO"/>
              </w:rPr>
              <w:t>25g/pelete,  ambalata in galetusa din PE/PP,cu capacitatea de 2,5kg, 5kg, 10kg. Statiile de momeala sunt acoperite(rezistente la accesul neautorizat).</w:t>
            </w:r>
          </w:p>
        </w:tc>
      </w:tr>
    </w:tbl>
    <w:p w:rsidR="004203CC" w:rsidRPr="008B2D10" w:rsidRDefault="004203CC" w:rsidP="008B2D10">
      <w:pPr>
        <w:pStyle w:val="NoSpacing"/>
        <w:rPr>
          <w:b/>
          <w:color w:val="000000"/>
          <w:lang w:val="ro-RO"/>
        </w:rPr>
      </w:pPr>
    </w:p>
    <w:p w:rsidR="00B66405" w:rsidRPr="008B2D10" w:rsidRDefault="00B66405" w:rsidP="008B2D10">
      <w:pPr>
        <w:pStyle w:val="NoSpacing"/>
        <w:rPr>
          <w:b/>
          <w:lang w:val="ro-RO"/>
        </w:rPr>
      </w:pPr>
      <w:r w:rsidRPr="008B2D10">
        <w:rPr>
          <w:b/>
          <w:lang w:val="ro-RO"/>
        </w:rPr>
        <w:t xml:space="preserve">XII. POSIBILE EFECTE ADVERSE </w:t>
      </w:r>
      <w:r w:rsidR="00B03652" w:rsidRPr="008B2D10">
        <w:rPr>
          <w:b/>
          <w:lang w:val="ro-RO"/>
        </w:rPr>
        <w:t xml:space="preserve"> </w:t>
      </w:r>
      <w:r w:rsidRPr="008B2D10">
        <w:rPr>
          <w:b/>
          <w:lang w:val="ro-RO"/>
        </w:rPr>
        <w:t xml:space="preserve">DIRECTE </w:t>
      </w:r>
      <w:r w:rsidR="00B03652" w:rsidRPr="008B2D10">
        <w:rPr>
          <w:b/>
          <w:lang w:val="ro-RO"/>
        </w:rPr>
        <w:t xml:space="preserve"> </w:t>
      </w:r>
      <w:r w:rsidRPr="008B2D10">
        <w:rPr>
          <w:b/>
          <w:lang w:val="ro-RO"/>
        </w:rPr>
        <w:t xml:space="preserve">SAU </w:t>
      </w:r>
      <w:r w:rsidR="00B03652" w:rsidRPr="008B2D10">
        <w:rPr>
          <w:b/>
          <w:lang w:val="ro-RO"/>
        </w:rPr>
        <w:t xml:space="preserve"> </w:t>
      </w:r>
      <w:r w:rsidRPr="008B2D10">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B2D10" w:rsidTr="00AE1CFC">
        <w:tc>
          <w:tcPr>
            <w:tcW w:w="9923" w:type="dxa"/>
          </w:tcPr>
          <w:p w:rsidR="00A616BE" w:rsidRPr="008B2D10" w:rsidRDefault="00B66405" w:rsidP="008B2D10">
            <w:pPr>
              <w:pStyle w:val="NoSpacing"/>
              <w:rPr>
                <w:lang w:val="ro-RO"/>
              </w:rPr>
            </w:pPr>
            <w:r w:rsidRPr="008B2D10">
              <w:rPr>
                <w:u w:val="single"/>
                <w:lang w:val="ro-RO"/>
              </w:rPr>
              <w:t>Asupra sănăt</w:t>
            </w:r>
            <w:r w:rsidR="003711FA" w:rsidRPr="008B2D10">
              <w:rPr>
                <w:u w:val="single"/>
                <w:lang w:val="ro-RO"/>
              </w:rPr>
              <w:t>ăt</w:t>
            </w:r>
            <w:r w:rsidRPr="008B2D10">
              <w:rPr>
                <w:u w:val="single"/>
                <w:lang w:val="ro-RO"/>
              </w:rPr>
              <w:t>ii umane</w:t>
            </w:r>
            <w:r w:rsidR="00A616BE" w:rsidRPr="008B2D10">
              <w:rPr>
                <w:lang w:val="ro-RO"/>
              </w:rPr>
              <w:t xml:space="preserve">: </w:t>
            </w:r>
          </w:p>
          <w:p w:rsidR="00D81852" w:rsidRPr="008B2D10" w:rsidRDefault="00D81852" w:rsidP="008B2D10">
            <w:pPr>
              <w:pStyle w:val="NoSpacing"/>
              <w:rPr>
                <w:lang w:val="ro-RO"/>
              </w:rPr>
            </w:pPr>
            <w:r w:rsidRPr="008B2D10">
              <w:rPr>
                <w:lang w:val="ro-RO"/>
              </w:rPr>
              <w:t>Produsul este considerat nepericulos pentru sănătatea umană în concordanţă cu Directiva 1999/45/EC şi cu Regulamentul CE 1272/2008.</w:t>
            </w:r>
          </w:p>
          <w:p w:rsidR="00D81852" w:rsidRPr="008B2D10" w:rsidRDefault="00D81852" w:rsidP="008B2D10">
            <w:pPr>
              <w:pStyle w:val="NoSpacing"/>
              <w:rPr>
                <w:lang w:val="ro-RO"/>
              </w:rPr>
            </w:pPr>
            <w:r w:rsidRPr="008B2D10">
              <w:rPr>
                <w:lang w:val="ro-RO"/>
              </w:rPr>
              <w:lastRenderedPageBreak/>
              <w:t>Deşi concentraţia redusă (0,005%) de brodifacum nu determină clasificarea produsului, operatorii trebuie să evite expunerea prelungită având în vedere următoarele efecte posibile ale substanţei active din compoziţia sa:</w:t>
            </w:r>
          </w:p>
          <w:p w:rsidR="00D81852" w:rsidRPr="008B2D10" w:rsidRDefault="00D81852" w:rsidP="008B2D10">
            <w:pPr>
              <w:pStyle w:val="NoSpacing"/>
              <w:rPr>
                <w:lang w:val="ro-RO"/>
              </w:rPr>
            </w:pPr>
            <w:r w:rsidRPr="008B2D10">
              <w:rPr>
                <w:u w:val="single"/>
                <w:lang w:val="ro-RO"/>
              </w:rPr>
              <w:t>Efecte adverse directe</w:t>
            </w:r>
            <w:r w:rsidRPr="008B2D10">
              <w:rPr>
                <w:lang w:val="ro-RO"/>
              </w:rPr>
              <w:t>: brodifacum inhibă coagularea sângelui (efect similar cu warfarina), interferând cu sinteza protrombinei. Măsura specifică a efectului este timpul de protrombină. Aceste efect se poate prelungi până la 12-18 ore de la ingestie şi, ca urmare, simptomele otrăvirii se pot observa pe parcursul mai multor zile de la ingestie.  Aceste simptome tipice pentru anticoagulante pot include: vânătăi uşoare, sângerări ale nasului şi gingiilor, sânge în scaun sau în urină, sângerare excesivă la tăieturi minore sau zgârieturi.</w:t>
            </w:r>
          </w:p>
          <w:p w:rsidR="00D81852" w:rsidRPr="008B2D10" w:rsidRDefault="00D81852" w:rsidP="008B2D10">
            <w:pPr>
              <w:pStyle w:val="NoSpacing"/>
              <w:rPr>
                <w:lang w:val="ro-RO"/>
              </w:rPr>
            </w:pPr>
            <w:r w:rsidRPr="008B2D10">
              <w:rPr>
                <w:u w:val="single"/>
                <w:lang w:val="it-IT"/>
              </w:rPr>
              <w:t>Efecte adverse indirecte</w:t>
            </w:r>
            <w:r w:rsidRPr="008B2D10">
              <w:rPr>
                <w:lang w:val="it-IT"/>
              </w:rPr>
              <w:t>:</w:t>
            </w:r>
            <w:r w:rsidRPr="008B2D10">
              <w:rPr>
                <w:lang w:val="ro-RO"/>
              </w:rPr>
              <w:t xml:space="preserve"> </w:t>
            </w:r>
          </w:p>
          <w:p w:rsidR="00D81852" w:rsidRPr="008B2D10" w:rsidRDefault="00D81852" w:rsidP="008B2D10">
            <w:pPr>
              <w:pStyle w:val="NoSpacing"/>
              <w:rPr>
                <w:lang w:val="it-IT"/>
              </w:rPr>
            </w:pPr>
            <w:r w:rsidRPr="008B2D10">
              <w:rPr>
                <w:lang w:val="it-IT"/>
              </w:rPr>
              <w:t>Efecte iritante principale :</w:t>
            </w:r>
          </w:p>
          <w:p w:rsidR="00D81852" w:rsidRPr="008B2D10" w:rsidRDefault="00D81852" w:rsidP="008B2D10">
            <w:pPr>
              <w:pStyle w:val="NoSpacing"/>
            </w:pPr>
            <w:r w:rsidRPr="008B2D10">
              <w:t>- corodarea/iritarea pielii : nu irită,</w:t>
            </w:r>
          </w:p>
          <w:p w:rsidR="00D81852" w:rsidRPr="008B2D10" w:rsidRDefault="00D81852" w:rsidP="008B2D10">
            <w:pPr>
              <w:pStyle w:val="NoSpacing"/>
              <w:rPr>
                <w:lang w:val="fr-FR"/>
              </w:rPr>
            </w:pPr>
            <w:r w:rsidRPr="008B2D10">
              <w:rPr>
                <w:lang w:val="fr-FR"/>
              </w:rPr>
              <w:t>- leziuni grave/iritante  oculare: nu irită,</w:t>
            </w:r>
          </w:p>
          <w:p w:rsidR="00B66405" w:rsidRPr="008B2D10" w:rsidRDefault="00D81852" w:rsidP="008B2D10">
            <w:pPr>
              <w:pStyle w:val="NoSpacing"/>
              <w:rPr>
                <w:lang w:val="ro-RO"/>
              </w:rPr>
            </w:pPr>
            <w:r w:rsidRPr="008B2D10">
              <w:rPr>
                <w:lang w:val="fr-FR"/>
              </w:rPr>
              <w:t>- sensibilizarea pielii: Deşi nu a arătat potenţial sensibilizant în studii pe şoareci, brodifacum a determinat sensibilizarea pielii la cobai, însumând criteriile UE de clasificare ca sensibilizant al pielii. Totuşi, concentraţia substanţei de numai 0,005 % nu necesită clasificarea produsului.</w:t>
            </w:r>
          </w:p>
        </w:tc>
      </w:tr>
      <w:tr w:rsidR="00B66405" w:rsidRPr="008B2D10" w:rsidTr="00AE1CFC">
        <w:tc>
          <w:tcPr>
            <w:tcW w:w="9923" w:type="dxa"/>
          </w:tcPr>
          <w:p w:rsidR="00B66405" w:rsidRPr="008B2D10" w:rsidRDefault="00B66405" w:rsidP="008B2D10">
            <w:pPr>
              <w:pStyle w:val="NoSpacing"/>
              <w:rPr>
                <w:color w:val="FF0000"/>
                <w:lang w:val="ro-RO"/>
              </w:rPr>
            </w:pPr>
            <w:r w:rsidRPr="008B2D10">
              <w:rPr>
                <w:u w:val="single"/>
                <w:lang w:val="ro-RO"/>
              </w:rPr>
              <w:lastRenderedPageBreak/>
              <w:t>Asupra sănăt</w:t>
            </w:r>
            <w:r w:rsidR="00DE5738" w:rsidRPr="008B2D10">
              <w:rPr>
                <w:u w:val="single"/>
                <w:lang w:val="ro-RO"/>
              </w:rPr>
              <w:t>ăt</w:t>
            </w:r>
            <w:r w:rsidRPr="008B2D10">
              <w:rPr>
                <w:u w:val="single"/>
                <w:lang w:val="ro-RO"/>
              </w:rPr>
              <w:t>ii animalelor nevizat</w:t>
            </w:r>
            <w:r w:rsidRPr="008B2D10">
              <w:rPr>
                <w:lang w:val="ro-RO"/>
              </w:rPr>
              <w:t xml:space="preserve">e </w:t>
            </w:r>
            <w:r w:rsidR="00DE5738" w:rsidRPr="008B2D10">
              <w:rPr>
                <w:color w:val="FF0000"/>
                <w:lang w:val="ro-RO"/>
              </w:rPr>
              <w:t xml:space="preserve">: </w:t>
            </w:r>
          </w:p>
          <w:p w:rsidR="00DE5738" w:rsidRPr="008B2D10" w:rsidRDefault="009B6140" w:rsidP="008B2D10">
            <w:pPr>
              <w:pStyle w:val="NoSpacing"/>
              <w:rPr>
                <w:lang w:val="ro-RO"/>
              </w:rPr>
            </w:pPr>
            <w:r w:rsidRPr="008B2D10">
              <w:rPr>
                <w:lang w:val="ro-RO"/>
              </w:rPr>
              <w:t>Efectele rezulta din inhibarea coagularii sangelui,prin interactiunea cu reciclarea vitaminei K1. Simptomele de otravire pot include : varsaturi usoare, sangerari ale nasului sau gingiilor, sange in scaun sau in urina, sangerare excesiva de la taieturi minori sau zgarieturi.Retineti ca simptomele otravirii se pot dezvolta pe parcursul mai multor zile.</w:t>
            </w:r>
          </w:p>
        </w:tc>
      </w:tr>
      <w:tr w:rsidR="00B66405" w:rsidRPr="008B2D10" w:rsidTr="00AE1CFC">
        <w:tc>
          <w:tcPr>
            <w:tcW w:w="9923" w:type="dxa"/>
          </w:tcPr>
          <w:p w:rsidR="00400263" w:rsidRPr="008B2D10" w:rsidRDefault="00B66405" w:rsidP="008B2D10">
            <w:pPr>
              <w:pStyle w:val="NoSpacing"/>
              <w:rPr>
                <w:lang w:val="ro-RO"/>
              </w:rPr>
            </w:pPr>
            <w:r w:rsidRPr="008B2D10">
              <w:rPr>
                <w:u w:val="single"/>
                <w:lang w:val="ro-RO"/>
              </w:rPr>
              <w:t>Asupra mediului</w:t>
            </w:r>
            <w:r w:rsidR="00400263" w:rsidRPr="008B2D10">
              <w:rPr>
                <w:lang w:val="ro-RO"/>
              </w:rPr>
              <w:t xml:space="preserve">: </w:t>
            </w:r>
          </w:p>
          <w:p w:rsidR="000E6728" w:rsidRPr="008B2D10" w:rsidRDefault="000E6728" w:rsidP="008B2D10">
            <w:pPr>
              <w:pStyle w:val="NoSpacing"/>
              <w:rPr>
                <w:lang w:val="ro-RO"/>
              </w:rPr>
            </w:pPr>
            <w:r w:rsidRPr="008B2D10">
              <w:rPr>
                <w:u w:val="single"/>
                <w:lang w:val="ro-RO"/>
              </w:rPr>
              <w:t>Sol:</w:t>
            </w:r>
            <w:r w:rsidRPr="008B2D10">
              <w:rPr>
                <w:lang w:val="ro-RO"/>
              </w:rPr>
              <w:t xml:space="preserve"> Trebuie evitată cat mai mult expunerea solului la produsul formulat precum și evitarea pătrunderii în sol, ținând cont de proprietățile PBT ale brodifacumului.</w:t>
            </w:r>
          </w:p>
          <w:p w:rsidR="000E6728" w:rsidRPr="008B2D10" w:rsidRDefault="000E6728" w:rsidP="008B2D10">
            <w:pPr>
              <w:pStyle w:val="NoSpacing"/>
              <w:rPr>
                <w:lang w:val="ro-RO"/>
              </w:rPr>
            </w:pPr>
            <w:r w:rsidRPr="008B2D10">
              <w:rPr>
                <w:u w:val="single"/>
                <w:lang w:val="ro-RO"/>
              </w:rPr>
              <w:t>Apa</w:t>
            </w:r>
            <w:r w:rsidRPr="008B2D10">
              <w:rPr>
                <w:lang w:val="ro-RO"/>
              </w:rPr>
              <w:t>: Substanța activă îndeplinește criteriile de PBT: este persistentă în apă, cu tendițe de bioacumulare în organisme și foarte toxică</w:t>
            </w:r>
          </w:p>
          <w:p w:rsidR="000E6728" w:rsidRPr="008B2D10" w:rsidRDefault="000E6728" w:rsidP="008B2D10">
            <w:pPr>
              <w:pStyle w:val="NoSpacing"/>
              <w:rPr>
                <w:lang w:val="ro-RO"/>
              </w:rPr>
            </w:pPr>
            <w:r w:rsidRPr="008B2D10">
              <w:rPr>
                <w:u w:val="single"/>
                <w:lang w:val="ro-RO"/>
              </w:rPr>
              <w:t>Aer:</w:t>
            </w:r>
            <w:r w:rsidRPr="008B2D10">
              <w:rPr>
                <w:lang w:val="ro-RO"/>
              </w:rPr>
              <w:t xml:space="preserve"> Nu este de așteptat să rezulte pierderi, acumulări de substanță activă în aer în timpul utilizării</w:t>
            </w:r>
          </w:p>
          <w:p w:rsidR="000E6728" w:rsidRPr="008B2D10" w:rsidRDefault="000E6728" w:rsidP="008B2D10">
            <w:pPr>
              <w:pStyle w:val="NoSpacing"/>
              <w:rPr>
                <w:lang w:val="ro-RO"/>
              </w:rPr>
            </w:pPr>
            <w:r w:rsidRPr="008B2D10">
              <w:rPr>
                <w:u w:val="single"/>
                <w:lang w:val="ro-RO"/>
              </w:rPr>
              <w:t>Organisme acvatice:</w:t>
            </w:r>
            <w:r w:rsidRPr="008B2D10">
              <w:rPr>
                <w:lang w:val="ro-RO"/>
              </w:rPr>
              <w:t xml:space="preserve"> Produsul prezintă un risc acceptabil datorat efectului acut și cronic de categoria I (foarte toxic), a substantei active.</w:t>
            </w:r>
          </w:p>
          <w:p w:rsidR="000E6728" w:rsidRPr="008B2D10" w:rsidRDefault="000E6728" w:rsidP="008B2D10">
            <w:pPr>
              <w:pStyle w:val="NoSpacing"/>
              <w:rPr>
                <w:lang w:val="ro-RO"/>
              </w:rPr>
            </w:pPr>
            <w:r w:rsidRPr="008B2D10">
              <w:rPr>
                <w:u w:val="single"/>
                <w:lang w:val="ro-RO"/>
              </w:rPr>
              <w:t>Alte organisme netinta:</w:t>
            </w:r>
            <w:r w:rsidRPr="008B2D10">
              <w:rPr>
                <w:lang w:val="ro-RO"/>
              </w:rPr>
              <w:t xml:space="preserve"> Produsul nu  prezintă risc neacceptabil pt. organismele din mediul terestru  </w:t>
            </w:r>
          </w:p>
          <w:p w:rsidR="00B66405" w:rsidRPr="008B2D10" w:rsidRDefault="000E6728" w:rsidP="008B2D10">
            <w:pPr>
              <w:pStyle w:val="NoSpacing"/>
              <w:rPr>
                <w:i/>
                <w:lang w:val="ro-RO"/>
              </w:rPr>
            </w:pPr>
            <w:r w:rsidRPr="008B2D10">
              <w:rPr>
                <w:lang w:val="ro-RO"/>
              </w:rPr>
              <w:t>Fără efecte semnificative asupra proceselor de  respirație/nitrificare din sol</w:t>
            </w:r>
          </w:p>
        </w:tc>
      </w:tr>
    </w:tbl>
    <w:p w:rsidR="00123729" w:rsidRPr="008B2D10" w:rsidRDefault="00123729" w:rsidP="008B2D10">
      <w:pPr>
        <w:pStyle w:val="NoSpacing"/>
        <w:rPr>
          <w:b/>
          <w:sz w:val="16"/>
          <w:lang w:val="ro-RO"/>
        </w:rPr>
      </w:pPr>
    </w:p>
    <w:p w:rsidR="00B66405" w:rsidRPr="008B2D10" w:rsidRDefault="00B66405" w:rsidP="008B2D10">
      <w:pPr>
        <w:pStyle w:val="NoSpacing"/>
        <w:rPr>
          <w:b/>
          <w:lang w:val="ro-RO"/>
        </w:rPr>
      </w:pPr>
      <w:r w:rsidRPr="008B2D10">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1843"/>
        <w:gridCol w:w="1843"/>
        <w:gridCol w:w="1559"/>
      </w:tblGrid>
      <w:tr w:rsidR="00CE47C0" w:rsidRPr="008B2D10" w:rsidTr="00613F4A">
        <w:tc>
          <w:tcPr>
            <w:tcW w:w="1985" w:type="dxa"/>
            <w:shd w:val="clear" w:color="auto" w:fill="auto"/>
          </w:tcPr>
          <w:p w:rsidR="00B66405" w:rsidRPr="008B2D10" w:rsidRDefault="00B66405" w:rsidP="008B2D10">
            <w:pPr>
              <w:pStyle w:val="NoSpacing"/>
              <w:rPr>
                <w:lang w:val="ro-RO"/>
              </w:rPr>
            </w:pPr>
            <w:r w:rsidRPr="008B2D10">
              <w:rPr>
                <w:lang w:val="ro-RO"/>
              </w:rPr>
              <w:t>Activitatea</w:t>
            </w:r>
          </w:p>
        </w:tc>
        <w:tc>
          <w:tcPr>
            <w:tcW w:w="2693" w:type="dxa"/>
            <w:shd w:val="clear" w:color="auto" w:fill="auto"/>
          </w:tcPr>
          <w:p w:rsidR="00B66405" w:rsidRPr="008B2D10" w:rsidRDefault="00B66405" w:rsidP="008B2D10">
            <w:pPr>
              <w:pStyle w:val="NoSpacing"/>
              <w:rPr>
                <w:lang w:val="ro-RO"/>
              </w:rPr>
            </w:pPr>
            <w:r w:rsidRPr="008B2D10">
              <w:rPr>
                <w:lang w:val="ro-RO"/>
              </w:rPr>
              <w:t>Metoda de testare / Protocolul de testare</w:t>
            </w:r>
          </w:p>
        </w:tc>
        <w:tc>
          <w:tcPr>
            <w:tcW w:w="1843" w:type="dxa"/>
            <w:shd w:val="clear" w:color="auto" w:fill="auto"/>
          </w:tcPr>
          <w:p w:rsidR="00B66405" w:rsidRPr="008B2D10" w:rsidRDefault="00B66405" w:rsidP="008B2D10">
            <w:pPr>
              <w:pStyle w:val="NoSpacing"/>
              <w:rPr>
                <w:lang w:val="ro-RO"/>
              </w:rPr>
            </w:pPr>
            <w:r w:rsidRPr="008B2D10">
              <w:rPr>
                <w:lang w:val="ro-RO"/>
              </w:rPr>
              <w:t>Specia</w:t>
            </w:r>
          </w:p>
        </w:tc>
        <w:tc>
          <w:tcPr>
            <w:tcW w:w="1843" w:type="dxa"/>
            <w:shd w:val="clear" w:color="auto" w:fill="auto"/>
          </w:tcPr>
          <w:p w:rsidR="00B66405" w:rsidRPr="008B2D10" w:rsidRDefault="00B66405" w:rsidP="008B2D10">
            <w:pPr>
              <w:pStyle w:val="NoSpacing"/>
              <w:rPr>
                <w:lang w:val="ro-RO"/>
              </w:rPr>
            </w:pPr>
            <w:r w:rsidRPr="008B2D10">
              <w:rPr>
                <w:lang w:val="ro-RO"/>
              </w:rPr>
              <w:t>Concentraţii</w:t>
            </w:r>
          </w:p>
        </w:tc>
        <w:tc>
          <w:tcPr>
            <w:tcW w:w="1559" w:type="dxa"/>
            <w:shd w:val="clear" w:color="auto" w:fill="auto"/>
          </w:tcPr>
          <w:p w:rsidR="00B66405" w:rsidRPr="008B2D10" w:rsidRDefault="00B66405" w:rsidP="008B2D10">
            <w:pPr>
              <w:pStyle w:val="NoSpacing"/>
              <w:rPr>
                <w:lang w:val="ro-RO"/>
              </w:rPr>
            </w:pPr>
            <w:r w:rsidRPr="008B2D10">
              <w:rPr>
                <w:lang w:val="ro-RO"/>
              </w:rPr>
              <w:t>Timpi de acţiune</w:t>
            </w:r>
          </w:p>
        </w:tc>
      </w:tr>
      <w:tr w:rsidR="0032549F" w:rsidRPr="008B2D10" w:rsidTr="00613F4A">
        <w:tc>
          <w:tcPr>
            <w:tcW w:w="1985" w:type="dxa"/>
            <w:shd w:val="clear" w:color="auto" w:fill="auto"/>
          </w:tcPr>
          <w:p w:rsidR="0032549F" w:rsidRPr="008B2D10" w:rsidRDefault="0032549F" w:rsidP="008B2D10">
            <w:pPr>
              <w:pStyle w:val="NoSpacing"/>
              <w:rPr>
                <w:lang w:val="ro-RO"/>
              </w:rPr>
            </w:pPr>
            <w:r w:rsidRPr="008B2D10">
              <w:rPr>
                <w:lang w:val="ro-RO"/>
              </w:rPr>
              <w:t>(1) Evaluarea eficacitatii</w:t>
            </w:r>
          </w:p>
          <w:p w:rsidR="0032549F" w:rsidRPr="008B2D10" w:rsidRDefault="0032549F" w:rsidP="008B2D10">
            <w:pPr>
              <w:pStyle w:val="NoSpacing"/>
              <w:rPr>
                <w:lang w:val="ro-RO"/>
              </w:rPr>
            </w:pPr>
            <w:r w:rsidRPr="008B2D10">
              <w:rPr>
                <w:lang w:val="ro-RO"/>
              </w:rPr>
              <w:t>biocide</w:t>
            </w:r>
          </w:p>
        </w:tc>
        <w:tc>
          <w:tcPr>
            <w:tcW w:w="2693" w:type="dxa"/>
            <w:shd w:val="clear" w:color="auto" w:fill="auto"/>
          </w:tcPr>
          <w:p w:rsidR="0032549F" w:rsidRPr="008B2D10" w:rsidRDefault="0032549F" w:rsidP="008B2D10">
            <w:pPr>
              <w:pStyle w:val="NoSpacing"/>
            </w:pPr>
            <w:r w:rsidRPr="008B2D10">
              <w:t>- Study Protocol (VPU) 003/02</w:t>
            </w:r>
          </w:p>
          <w:p w:rsidR="0032549F" w:rsidRPr="008B2D10" w:rsidRDefault="0032549F" w:rsidP="008B2D10">
            <w:pPr>
              <w:pStyle w:val="NoSpacing"/>
            </w:pPr>
            <w:r w:rsidRPr="008B2D10">
              <w:t>Test de hranire in conditii de laborator, individual, cu cantitate limitata de momeala, o singura data</w:t>
            </w:r>
          </w:p>
        </w:tc>
        <w:tc>
          <w:tcPr>
            <w:tcW w:w="1843" w:type="dxa"/>
            <w:shd w:val="clear" w:color="auto" w:fill="auto"/>
          </w:tcPr>
          <w:p w:rsidR="0032549F" w:rsidRPr="008B2D10" w:rsidRDefault="0032549F" w:rsidP="008B2D10">
            <w:pPr>
              <w:pStyle w:val="NoSpacing"/>
              <w:rPr>
                <w:lang w:val="it-IT"/>
              </w:rPr>
            </w:pPr>
            <w:r w:rsidRPr="008B2D10">
              <w:rPr>
                <w:i/>
                <w:lang w:val="it-IT"/>
              </w:rPr>
              <w:t>Rattus norvegicus</w:t>
            </w:r>
            <w:r w:rsidRPr="008B2D10">
              <w:rPr>
                <w:lang w:val="it-IT"/>
              </w:rPr>
              <w:t xml:space="preserve"> (sobolanul cenusiu) - masculi</w:t>
            </w:r>
          </w:p>
        </w:tc>
        <w:tc>
          <w:tcPr>
            <w:tcW w:w="1843" w:type="dxa"/>
            <w:shd w:val="clear" w:color="auto" w:fill="auto"/>
          </w:tcPr>
          <w:p w:rsidR="0032549F" w:rsidRPr="008B2D10" w:rsidRDefault="0032549F" w:rsidP="008B2D10">
            <w:pPr>
              <w:pStyle w:val="NoSpacing"/>
              <w:rPr>
                <w:lang w:val="ro-RO"/>
              </w:rPr>
            </w:pPr>
            <w:r w:rsidRPr="008B2D10">
              <w:rPr>
                <w:lang w:val="ro-RO"/>
              </w:rPr>
              <w:t xml:space="preserve">Cantitatea de momeala administrata (6,16 g / kg corp, 6,6 g / kg corp, 6,86 g / kg corp, 7,82 g / kg </w:t>
            </w:r>
            <w:r w:rsidRPr="008B2D10">
              <w:rPr>
                <w:lang w:val="ro-RO"/>
              </w:rPr>
              <w:lastRenderedPageBreak/>
              <w:t xml:space="preserve">corp, 8,92 g / kg corp, 9,24 g / kg corp, 9,92 g / kg corp) a fost calculata statistic (pentru intervalul  probit percentile 1% -99%).   </w:t>
            </w:r>
          </w:p>
        </w:tc>
        <w:tc>
          <w:tcPr>
            <w:tcW w:w="1559" w:type="dxa"/>
            <w:shd w:val="clear" w:color="auto" w:fill="auto"/>
          </w:tcPr>
          <w:p w:rsidR="0032549F" w:rsidRPr="008B2D10" w:rsidRDefault="0032549F" w:rsidP="008B2D10">
            <w:pPr>
              <w:pStyle w:val="NoSpacing"/>
              <w:rPr>
                <w:lang w:val="ro-RO"/>
              </w:rPr>
            </w:pPr>
            <w:r w:rsidRPr="008B2D10">
              <w:rPr>
                <w:lang w:val="ro-RO"/>
              </w:rPr>
              <w:lastRenderedPageBreak/>
              <w:t xml:space="preserve">Mortalitate  </w:t>
            </w:r>
          </w:p>
          <w:p w:rsidR="0032549F" w:rsidRPr="008B2D10" w:rsidRDefault="0032549F" w:rsidP="008B2D10">
            <w:pPr>
              <w:pStyle w:val="NoSpacing"/>
              <w:rPr>
                <w:lang w:val="ro-RO"/>
              </w:rPr>
            </w:pPr>
            <w:r w:rsidRPr="008B2D10">
              <w:rPr>
                <w:lang w:val="ro-RO"/>
              </w:rPr>
              <w:t xml:space="preserve">100% dupa 18 zile de observatie de la consumarea totala a </w:t>
            </w:r>
            <w:r w:rsidRPr="008B2D10">
              <w:rPr>
                <w:lang w:val="ro-RO"/>
              </w:rPr>
              <w:lastRenderedPageBreak/>
              <w:t xml:space="preserve">momelii. </w:t>
            </w:r>
          </w:p>
        </w:tc>
      </w:tr>
      <w:tr w:rsidR="0032549F" w:rsidRPr="008B2D10" w:rsidTr="00613F4A">
        <w:tc>
          <w:tcPr>
            <w:tcW w:w="1985" w:type="dxa"/>
            <w:shd w:val="clear" w:color="auto" w:fill="auto"/>
          </w:tcPr>
          <w:p w:rsidR="0032549F" w:rsidRPr="008B2D10" w:rsidRDefault="0032549F" w:rsidP="008B2D10">
            <w:pPr>
              <w:pStyle w:val="NoSpacing"/>
              <w:rPr>
                <w:lang w:val="ro-RO"/>
              </w:rPr>
            </w:pPr>
            <w:r w:rsidRPr="008B2D10">
              <w:rPr>
                <w:lang w:val="ro-RO"/>
              </w:rPr>
              <w:lastRenderedPageBreak/>
              <w:t>(2) Evaluarea eficacitatii</w:t>
            </w:r>
          </w:p>
          <w:p w:rsidR="0032549F" w:rsidRPr="008B2D10" w:rsidRDefault="0032549F" w:rsidP="008B2D10">
            <w:pPr>
              <w:pStyle w:val="NoSpacing"/>
              <w:rPr>
                <w:lang w:val="ro-RO"/>
              </w:rPr>
            </w:pPr>
            <w:r w:rsidRPr="008B2D10">
              <w:rPr>
                <w:lang w:val="ro-RO"/>
              </w:rPr>
              <w:t>biocide</w:t>
            </w:r>
          </w:p>
        </w:tc>
        <w:tc>
          <w:tcPr>
            <w:tcW w:w="2693" w:type="dxa"/>
            <w:shd w:val="clear" w:color="auto" w:fill="auto"/>
          </w:tcPr>
          <w:p w:rsidR="0032549F" w:rsidRPr="008B2D10" w:rsidRDefault="0032549F" w:rsidP="008B2D10">
            <w:pPr>
              <w:pStyle w:val="NoSpacing"/>
            </w:pPr>
            <w:r w:rsidRPr="008B2D10">
              <w:t>- Study Protocol (VPU) 003/02</w:t>
            </w:r>
          </w:p>
          <w:p w:rsidR="0032549F" w:rsidRPr="008B2D10" w:rsidRDefault="0032549F" w:rsidP="008B2D10">
            <w:pPr>
              <w:pStyle w:val="NoSpacing"/>
            </w:pPr>
          </w:p>
          <w:p w:rsidR="0032549F" w:rsidRPr="008B2D10" w:rsidRDefault="0032549F" w:rsidP="008B2D10">
            <w:pPr>
              <w:pStyle w:val="NoSpacing"/>
            </w:pPr>
            <w:r w:rsidRPr="008B2D10">
              <w:t>Test de hranire in conditii de laborator, individual, cu cantitate limitata de momeala, o singura data</w:t>
            </w:r>
          </w:p>
        </w:tc>
        <w:tc>
          <w:tcPr>
            <w:tcW w:w="1843" w:type="dxa"/>
            <w:shd w:val="clear" w:color="auto" w:fill="auto"/>
          </w:tcPr>
          <w:p w:rsidR="0032549F" w:rsidRPr="008B2D10" w:rsidRDefault="0032549F" w:rsidP="008B2D10">
            <w:pPr>
              <w:pStyle w:val="NoSpacing"/>
              <w:rPr>
                <w:lang w:val="it-IT"/>
              </w:rPr>
            </w:pPr>
            <w:r w:rsidRPr="008B2D10">
              <w:rPr>
                <w:i/>
                <w:lang w:val="it-IT"/>
              </w:rPr>
              <w:t>Mus domesticus</w:t>
            </w:r>
            <w:r w:rsidRPr="008B2D10">
              <w:rPr>
                <w:lang w:val="it-IT"/>
              </w:rPr>
              <w:t xml:space="preserve"> (soarecele de  casa albinos) - masculi</w:t>
            </w:r>
          </w:p>
        </w:tc>
        <w:tc>
          <w:tcPr>
            <w:tcW w:w="1843" w:type="dxa"/>
            <w:shd w:val="clear" w:color="auto" w:fill="auto"/>
          </w:tcPr>
          <w:p w:rsidR="0032549F" w:rsidRPr="008B2D10" w:rsidRDefault="0032549F" w:rsidP="008B2D10">
            <w:pPr>
              <w:pStyle w:val="NoSpacing"/>
              <w:rPr>
                <w:lang w:val="ro-RO"/>
              </w:rPr>
            </w:pPr>
            <w:r w:rsidRPr="008B2D10">
              <w:rPr>
                <w:lang w:val="ro-RO"/>
              </w:rPr>
              <w:t xml:space="preserve"> Cantitatea de momeala administrata (5,56 g / kg corp, 6,4 g / kg corp, 6,88 g / kg corp, 8,92 g / kg corp, 11,58 g / kg corp, 12,46 g / kg corp, 14,30 g / kg corp) a fost calculata statistic (pentru intervalul probit percentile 1% -99%).   </w:t>
            </w:r>
          </w:p>
        </w:tc>
        <w:tc>
          <w:tcPr>
            <w:tcW w:w="1559" w:type="dxa"/>
            <w:shd w:val="clear" w:color="auto" w:fill="auto"/>
          </w:tcPr>
          <w:p w:rsidR="0032549F" w:rsidRPr="008B2D10" w:rsidRDefault="0032549F" w:rsidP="008B2D10">
            <w:pPr>
              <w:pStyle w:val="NoSpacing"/>
              <w:rPr>
                <w:lang w:val="ro-RO"/>
              </w:rPr>
            </w:pPr>
            <w:r w:rsidRPr="008B2D10">
              <w:rPr>
                <w:lang w:val="ro-RO"/>
              </w:rPr>
              <w:t xml:space="preserve">Rezultatele arata ca o cantitate de maximum 0,3 g momeala este suficienta pentru a induce mortalitate unui soarece cu greutatea de 20 g </w:t>
            </w:r>
          </w:p>
        </w:tc>
      </w:tr>
      <w:tr w:rsidR="0021083B" w:rsidRPr="008B2D10" w:rsidTr="00613F4A">
        <w:tc>
          <w:tcPr>
            <w:tcW w:w="1985" w:type="dxa"/>
            <w:shd w:val="clear" w:color="auto" w:fill="auto"/>
          </w:tcPr>
          <w:p w:rsidR="0021083B" w:rsidRPr="008B2D10" w:rsidRDefault="0021083B" w:rsidP="008B2D10">
            <w:pPr>
              <w:pStyle w:val="NoSpacing"/>
              <w:rPr>
                <w:lang w:val="ro-RO"/>
              </w:rPr>
            </w:pPr>
            <w:r w:rsidRPr="008B2D10">
              <w:rPr>
                <w:lang w:val="ro-RO"/>
              </w:rPr>
              <w:t>(3) Evaluarea eficacitatii</w:t>
            </w:r>
          </w:p>
          <w:p w:rsidR="0021083B" w:rsidRPr="008B2D10" w:rsidRDefault="0021083B" w:rsidP="008B2D10">
            <w:pPr>
              <w:pStyle w:val="NoSpacing"/>
              <w:rPr>
                <w:lang w:val="ro-RO"/>
              </w:rPr>
            </w:pPr>
            <w:r w:rsidRPr="008B2D10">
              <w:rPr>
                <w:lang w:val="ro-RO"/>
              </w:rPr>
              <w:t>biocide</w:t>
            </w:r>
          </w:p>
        </w:tc>
        <w:tc>
          <w:tcPr>
            <w:tcW w:w="2693" w:type="dxa"/>
            <w:shd w:val="clear" w:color="auto" w:fill="auto"/>
          </w:tcPr>
          <w:p w:rsidR="0021083B" w:rsidRPr="008B2D10" w:rsidRDefault="0021083B" w:rsidP="008B2D10">
            <w:pPr>
              <w:pStyle w:val="NoSpacing"/>
            </w:pPr>
            <w:r w:rsidRPr="008B2D10">
              <w:t xml:space="preserve">- Study Protocol (VPU) 002/05 (choice test – test de hranire la alegere momeala/hrana) bazat pe EPPO Guidelines pentru evaluarea eficacitatii rodenticidelor –     PP 1/113 (2). </w:t>
            </w:r>
          </w:p>
          <w:p w:rsidR="0021083B" w:rsidRPr="008B2D10" w:rsidRDefault="0021083B" w:rsidP="008B2D10">
            <w:pPr>
              <w:pStyle w:val="NoSpacing"/>
            </w:pPr>
            <w:r w:rsidRPr="008B2D10">
              <w:t>Test de hranire la</w:t>
            </w:r>
          </w:p>
          <w:p w:rsidR="0021083B" w:rsidRPr="008B2D10" w:rsidRDefault="0021083B" w:rsidP="008B2D10">
            <w:pPr>
              <w:pStyle w:val="NoSpacing"/>
            </w:pPr>
            <w:r w:rsidRPr="008B2D10">
              <w:t>alegere, individual, cu momeala la discretie – in</w:t>
            </w:r>
          </w:p>
          <w:p w:rsidR="0021083B" w:rsidRPr="008B2D10" w:rsidRDefault="0021083B" w:rsidP="008B2D10">
            <w:pPr>
              <w:pStyle w:val="NoSpacing"/>
            </w:pPr>
            <w:r w:rsidRPr="008B2D10">
              <w:t>conditii de laborator,</w:t>
            </w:r>
          </w:p>
          <w:p w:rsidR="0021083B" w:rsidRPr="008B2D10" w:rsidRDefault="0021083B" w:rsidP="008B2D10">
            <w:pPr>
              <w:pStyle w:val="NoSpacing"/>
              <w:rPr>
                <w:lang w:val="ro-RO"/>
              </w:rPr>
            </w:pPr>
            <w:r w:rsidRPr="008B2D10">
              <w:t>durata tratamentului–3 zile</w:t>
            </w:r>
          </w:p>
        </w:tc>
        <w:tc>
          <w:tcPr>
            <w:tcW w:w="1843" w:type="dxa"/>
            <w:shd w:val="clear" w:color="auto" w:fill="auto"/>
          </w:tcPr>
          <w:p w:rsidR="0021083B" w:rsidRPr="008B2D10" w:rsidRDefault="0021083B" w:rsidP="008B2D10">
            <w:pPr>
              <w:pStyle w:val="NoSpacing"/>
              <w:rPr>
                <w:lang w:val="it-IT"/>
              </w:rPr>
            </w:pPr>
            <w:r w:rsidRPr="008B2D10">
              <w:rPr>
                <w:i/>
                <w:lang w:val="it-IT"/>
              </w:rPr>
              <w:t>Mus domesticus</w:t>
            </w:r>
            <w:r w:rsidRPr="008B2D10">
              <w:rPr>
                <w:lang w:val="it-IT"/>
              </w:rPr>
              <w:t xml:space="preserve"> (soarecele de casa albinos) – din CDI Swiss House Mouse – lantul Albino; 5 masculi si 5 femele</w:t>
            </w:r>
          </w:p>
        </w:tc>
        <w:tc>
          <w:tcPr>
            <w:tcW w:w="1843" w:type="dxa"/>
            <w:shd w:val="clear" w:color="auto" w:fill="auto"/>
          </w:tcPr>
          <w:p w:rsidR="0021083B" w:rsidRPr="008B2D10" w:rsidRDefault="00D1290E" w:rsidP="008B2D10">
            <w:pPr>
              <w:pStyle w:val="NoSpacing"/>
              <w:rPr>
                <w:lang w:val="ro-RO"/>
              </w:rPr>
            </w:pPr>
            <w:r w:rsidRPr="008B2D10">
              <w:rPr>
                <w:lang w:val="ro-RO"/>
              </w:rPr>
              <w:t>Consum  momeala / hrana:69,5 %/</w:t>
            </w:r>
            <w:r w:rsidR="0021083B" w:rsidRPr="008B2D10">
              <w:rPr>
                <w:lang w:val="ro-RO"/>
              </w:rPr>
              <w:t>30,5%.</w:t>
            </w:r>
          </w:p>
          <w:p w:rsidR="0021083B" w:rsidRPr="008B2D10" w:rsidRDefault="0021083B" w:rsidP="008B2D10">
            <w:pPr>
              <w:pStyle w:val="NoSpacing"/>
              <w:rPr>
                <w:lang w:val="ro-RO"/>
              </w:rPr>
            </w:pPr>
            <w:r w:rsidRPr="008B2D10">
              <w:rPr>
                <w:lang w:val="ro-RO"/>
              </w:rPr>
              <w:t xml:space="preserve">Doza medie: 22,1 mg/kg corp.  </w:t>
            </w:r>
          </w:p>
          <w:p w:rsidR="0021083B" w:rsidRPr="008B2D10" w:rsidRDefault="0021083B" w:rsidP="008B2D10">
            <w:pPr>
              <w:pStyle w:val="NoSpacing"/>
              <w:rPr>
                <w:lang w:val="it-IT"/>
              </w:rPr>
            </w:pPr>
            <w:r w:rsidRPr="008B2D10">
              <w:rPr>
                <w:lang w:val="ro-RO"/>
              </w:rPr>
              <w:t xml:space="preserve">   </w:t>
            </w:r>
          </w:p>
        </w:tc>
        <w:tc>
          <w:tcPr>
            <w:tcW w:w="1559" w:type="dxa"/>
            <w:shd w:val="clear" w:color="auto" w:fill="auto"/>
          </w:tcPr>
          <w:p w:rsidR="0021083B" w:rsidRPr="008B2D10" w:rsidRDefault="0021083B" w:rsidP="008B2D10">
            <w:pPr>
              <w:pStyle w:val="NoSpacing"/>
              <w:rPr>
                <w:lang w:val="ro-RO"/>
              </w:rPr>
            </w:pPr>
            <w:r w:rsidRPr="008B2D10">
              <w:rPr>
                <w:lang w:val="ro-RO"/>
              </w:rPr>
              <w:t>Mortalitate estimata 100% (dupa cantitatea de s.a. consumata individual).</w:t>
            </w:r>
          </w:p>
        </w:tc>
      </w:tr>
      <w:tr w:rsidR="00D1290E" w:rsidRPr="008B2D10" w:rsidTr="00613F4A">
        <w:tc>
          <w:tcPr>
            <w:tcW w:w="1985" w:type="dxa"/>
            <w:shd w:val="clear" w:color="auto" w:fill="auto"/>
          </w:tcPr>
          <w:p w:rsidR="00D1290E" w:rsidRPr="008B2D10" w:rsidRDefault="00D1290E" w:rsidP="008B2D10">
            <w:pPr>
              <w:pStyle w:val="NoSpacing"/>
              <w:rPr>
                <w:lang w:val="ro-RO"/>
              </w:rPr>
            </w:pPr>
            <w:r w:rsidRPr="008B2D10">
              <w:rPr>
                <w:lang w:val="ro-RO"/>
              </w:rPr>
              <w:t>(4) Evaluarea eficacitatii</w:t>
            </w:r>
          </w:p>
          <w:p w:rsidR="00D1290E" w:rsidRPr="008B2D10" w:rsidRDefault="00D1290E" w:rsidP="008B2D10">
            <w:pPr>
              <w:pStyle w:val="NoSpacing"/>
              <w:rPr>
                <w:lang w:val="ro-RO"/>
              </w:rPr>
            </w:pPr>
            <w:r w:rsidRPr="008B2D10">
              <w:rPr>
                <w:lang w:val="ro-RO"/>
              </w:rPr>
              <w:t>biocide</w:t>
            </w:r>
          </w:p>
        </w:tc>
        <w:tc>
          <w:tcPr>
            <w:tcW w:w="2693" w:type="dxa"/>
            <w:shd w:val="clear" w:color="auto" w:fill="auto"/>
          </w:tcPr>
          <w:p w:rsidR="00D1290E" w:rsidRPr="008B2D10" w:rsidRDefault="00D1290E" w:rsidP="008B2D10">
            <w:pPr>
              <w:pStyle w:val="NoSpacing"/>
            </w:pPr>
            <w:r w:rsidRPr="008B2D10">
              <w:t xml:space="preserve">- Study Protocol (VPU) 002/05 (choice test – test de hranire la alegere) </w:t>
            </w:r>
            <w:r w:rsidRPr="008B2D10">
              <w:lastRenderedPageBreak/>
              <w:t xml:space="preserve">bazat pe EPPO Guidelines pentru evaluarea eficacitatii rodenticidelor –     PP 1/113 (2). </w:t>
            </w:r>
          </w:p>
          <w:p w:rsidR="00D1290E" w:rsidRPr="008B2D10" w:rsidRDefault="00D1290E" w:rsidP="008B2D10">
            <w:pPr>
              <w:pStyle w:val="NoSpacing"/>
            </w:pPr>
            <w:r w:rsidRPr="008B2D10">
              <w:t>Test de hranire la</w:t>
            </w:r>
          </w:p>
          <w:p w:rsidR="00D1290E" w:rsidRPr="008B2D10" w:rsidRDefault="00D1290E" w:rsidP="008B2D10">
            <w:pPr>
              <w:pStyle w:val="NoSpacing"/>
            </w:pPr>
            <w:r w:rsidRPr="008B2D10">
              <w:t>alegere, individual, cu momeala la discretie – in</w:t>
            </w:r>
          </w:p>
          <w:p w:rsidR="00D1290E" w:rsidRPr="008B2D10" w:rsidRDefault="00D1290E" w:rsidP="008B2D10">
            <w:pPr>
              <w:pStyle w:val="NoSpacing"/>
            </w:pPr>
            <w:r w:rsidRPr="008B2D10">
              <w:t>conditii de laborator,</w:t>
            </w:r>
          </w:p>
          <w:p w:rsidR="00D1290E" w:rsidRPr="008B2D10" w:rsidRDefault="00D1290E" w:rsidP="008B2D10">
            <w:pPr>
              <w:pStyle w:val="NoSpacing"/>
              <w:rPr>
                <w:lang w:val="ro-RO"/>
              </w:rPr>
            </w:pPr>
            <w:r w:rsidRPr="008B2D10">
              <w:t>durata tratamentului – 3 zile</w:t>
            </w:r>
          </w:p>
        </w:tc>
        <w:tc>
          <w:tcPr>
            <w:tcW w:w="1843" w:type="dxa"/>
            <w:shd w:val="clear" w:color="auto" w:fill="auto"/>
          </w:tcPr>
          <w:p w:rsidR="00D1290E" w:rsidRPr="008B2D10" w:rsidRDefault="00D1290E" w:rsidP="008B2D10">
            <w:pPr>
              <w:pStyle w:val="NoSpacing"/>
              <w:rPr>
                <w:lang w:val="ro-RO"/>
              </w:rPr>
            </w:pPr>
            <w:r w:rsidRPr="008B2D10">
              <w:rPr>
                <w:i/>
                <w:lang w:val="ro-RO"/>
              </w:rPr>
              <w:lastRenderedPageBreak/>
              <w:t>Rattus norvegicus</w:t>
            </w:r>
            <w:r w:rsidRPr="008B2D10">
              <w:rPr>
                <w:lang w:val="ro-RO"/>
              </w:rPr>
              <w:t xml:space="preserve"> (sobolanul </w:t>
            </w:r>
            <w:r w:rsidRPr="008B2D10">
              <w:rPr>
                <w:lang w:val="ro-RO"/>
              </w:rPr>
              <w:lastRenderedPageBreak/>
              <w:t>cenusiu) din lantul CD Norway Rat;</w:t>
            </w:r>
          </w:p>
          <w:p w:rsidR="00D1290E" w:rsidRPr="008B2D10" w:rsidRDefault="00D1290E" w:rsidP="008B2D10">
            <w:pPr>
              <w:pStyle w:val="NoSpacing"/>
              <w:rPr>
                <w:lang w:val="ro-RO"/>
              </w:rPr>
            </w:pPr>
            <w:r w:rsidRPr="008B2D10">
              <w:rPr>
                <w:lang w:val="it-IT"/>
              </w:rPr>
              <w:t>5 masculi si 5 femele</w:t>
            </w:r>
          </w:p>
        </w:tc>
        <w:tc>
          <w:tcPr>
            <w:tcW w:w="1843" w:type="dxa"/>
            <w:shd w:val="clear" w:color="auto" w:fill="auto"/>
          </w:tcPr>
          <w:p w:rsidR="00D1290E" w:rsidRPr="008B2D10" w:rsidRDefault="00D1290E" w:rsidP="008B2D10">
            <w:pPr>
              <w:pStyle w:val="NoSpacing"/>
              <w:rPr>
                <w:lang w:val="ro-RO"/>
              </w:rPr>
            </w:pPr>
            <w:r w:rsidRPr="008B2D10">
              <w:rPr>
                <w:lang w:val="ro-RO"/>
              </w:rPr>
              <w:lastRenderedPageBreak/>
              <w:t>Consum  momeala / hrana:42,6%/57,</w:t>
            </w:r>
            <w:r w:rsidRPr="008B2D10">
              <w:rPr>
                <w:lang w:val="ro-RO"/>
              </w:rPr>
              <w:lastRenderedPageBreak/>
              <w:t>4%.</w:t>
            </w:r>
          </w:p>
          <w:p w:rsidR="00D1290E" w:rsidRPr="008B2D10" w:rsidRDefault="00D1290E" w:rsidP="008B2D10">
            <w:pPr>
              <w:pStyle w:val="NoSpacing"/>
              <w:rPr>
                <w:lang w:val="it-IT"/>
              </w:rPr>
            </w:pPr>
            <w:r w:rsidRPr="008B2D10">
              <w:rPr>
                <w:lang w:val="ro-RO"/>
              </w:rPr>
              <w:t xml:space="preserve">Doza medie: 7,7 mg/kg corp.  </w:t>
            </w:r>
          </w:p>
        </w:tc>
        <w:tc>
          <w:tcPr>
            <w:tcW w:w="1559" w:type="dxa"/>
            <w:shd w:val="clear" w:color="auto" w:fill="auto"/>
          </w:tcPr>
          <w:p w:rsidR="00D1290E" w:rsidRPr="008B2D10" w:rsidRDefault="00D1290E" w:rsidP="008B2D10">
            <w:pPr>
              <w:pStyle w:val="NoSpacing"/>
              <w:rPr>
                <w:lang w:val="ro-RO"/>
              </w:rPr>
            </w:pPr>
            <w:r w:rsidRPr="008B2D10">
              <w:rPr>
                <w:lang w:val="ro-RO"/>
              </w:rPr>
              <w:lastRenderedPageBreak/>
              <w:t xml:space="preserve">Mortalitate estimata 100% (dupa </w:t>
            </w:r>
            <w:r w:rsidRPr="008B2D10">
              <w:rPr>
                <w:lang w:val="ro-RO"/>
              </w:rPr>
              <w:lastRenderedPageBreak/>
              <w:t>cantitatea de s.a. consumata individual).</w:t>
            </w:r>
          </w:p>
        </w:tc>
      </w:tr>
      <w:tr w:rsidR="00CE797D" w:rsidRPr="008B2D10" w:rsidTr="00613F4A">
        <w:tc>
          <w:tcPr>
            <w:tcW w:w="1985" w:type="dxa"/>
            <w:shd w:val="clear" w:color="auto" w:fill="auto"/>
          </w:tcPr>
          <w:p w:rsidR="00CE797D" w:rsidRPr="008B2D10" w:rsidRDefault="00CE797D" w:rsidP="008B2D10">
            <w:pPr>
              <w:pStyle w:val="NoSpacing"/>
            </w:pPr>
            <w:r w:rsidRPr="008B2D10">
              <w:lastRenderedPageBreak/>
              <w:t>(5) Evaluarea eficacitatii</w:t>
            </w:r>
          </w:p>
          <w:p w:rsidR="00CE797D" w:rsidRPr="008B2D10" w:rsidRDefault="00CE797D" w:rsidP="008B2D10">
            <w:pPr>
              <w:pStyle w:val="NoSpacing"/>
            </w:pPr>
            <w:r w:rsidRPr="008B2D10">
              <w:t>biocide</w:t>
            </w:r>
          </w:p>
        </w:tc>
        <w:tc>
          <w:tcPr>
            <w:tcW w:w="2693" w:type="dxa"/>
            <w:shd w:val="clear" w:color="auto" w:fill="auto"/>
          </w:tcPr>
          <w:p w:rsidR="00CE797D" w:rsidRPr="008B2D10" w:rsidRDefault="00CE797D" w:rsidP="008B2D10">
            <w:pPr>
              <w:pStyle w:val="NoSpacing"/>
            </w:pPr>
            <w:r w:rsidRPr="008B2D10">
              <w:t>- Study Protocol (VPU) 002/09</w:t>
            </w:r>
          </w:p>
          <w:p w:rsidR="00CE797D" w:rsidRPr="008B2D10" w:rsidRDefault="00CE797D" w:rsidP="008B2D10">
            <w:pPr>
              <w:pStyle w:val="NoSpacing"/>
            </w:pPr>
            <w:r w:rsidRPr="008B2D10">
              <w:t>Test de hranire la</w:t>
            </w:r>
          </w:p>
          <w:p w:rsidR="00CE797D" w:rsidRPr="008B2D10" w:rsidRDefault="00CE797D" w:rsidP="008B2D10">
            <w:pPr>
              <w:pStyle w:val="NoSpacing"/>
            </w:pPr>
            <w:r w:rsidRPr="008B2D10">
              <w:t>alegere, individual, cu momeala la discretie (momeala din noua locatie de productie: Syngenta Hellas – Grecia) – in</w:t>
            </w:r>
          </w:p>
          <w:p w:rsidR="00CE797D" w:rsidRPr="008B2D10" w:rsidRDefault="00CE797D" w:rsidP="008B2D10">
            <w:pPr>
              <w:pStyle w:val="NoSpacing"/>
            </w:pPr>
            <w:r w:rsidRPr="008B2D10">
              <w:t>conditii de laborator,</w:t>
            </w:r>
          </w:p>
          <w:p w:rsidR="00CE797D" w:rsidRPr="008B2D10" w:rsidRDefault="00CE797D" w:rsidP="008B2D10">
            <w:pPr>
              <w:pStyle w:val="NoSpacing"/>
            </w:pPr>
            <w:r w:rsidRPr="008B2D10">
              <w:t>durata tratamentului–3 zile</w:t>
            </w:r>
          </w:p>
        </w:tc>
        <w:tc>
          <w:tcPr>
            <w:tcW w:w="1843" w:type="dxa"/>
            <w:shd w:val="clear" w:color="auto" w:fill="auto"/>
          </w:tcPr>
          <w:p w:rsidR="00CE797D" w:rsidRPr="008B2D10" w:rsidRDefault="00CE797D" w:rsidP="008B2D10">
            <w:pPr>
              <w:pStyle w:val="NoSpacing"/>
            </w:pPr>
            <w:r w:rsidRPr="008B2D10">
              <w:rPr>
                <w:i/>
              </w:rPr>
              <w:t>Mus domesticus</w:t>
            </w:r>
            <w:r w:rsidRPr="008B2D10">
              <w:t xml:space="preserve"> (soarecele de</w:t>
            </w:r>
          </w:p>
          <w:p w:rsidR="00CE797D" w:rsidRPr="008B2D10" w:rsidRDefault="00CE797D" w:rsidP="008B2D10">
            <w:pPr>
              <w:pStyle w:val="NoSpacing"/>
            </w:pPr>
            <w:r w:rsidRPr="008B2D10">
              <w:t>casa albinos) – din CDI Swiss House Mouse – lantul Albino; 5 masculi si 5 femele</w:t>
            </w:r>
          </w:p>
        </w:tc>
        <w:tc>
          <w:tcPr>
            <w:tcW w:w="1843" w:type="dxa"/>
            <w:shd w:val="clear" w:color="auto" w:fill="auto"/>
          </w:tcPr>
          <w:p w:rsidR="00CE797D" w:rsidRPr="008B2D10" w:rsidRDefault="00CE797D" w:rsidP="008B2D10">
            <w:pPr>
              <w:pStyle w:val="NoSpacing"/>
            </w:pPr>
            <w:r w:rsidRPr="008B2D10">
              <w:t>Media de acceptare a momelii: 69</w:t>
            </w:r>
            <w:proofErr w:type="gramStart"/>
            <w:r w:rsidRPr="008B2D10">
              <w:t>,86</w:t>
            </w:r>
            <w:proofErr w:type="gramEnd"/>
            <w:r w:rsidRPr="008B2D10">
              <w:t xml:space="preserve">% (65,22% -  masculi si 76,02% -femele). </w:t>
            </w:r>
          </w:p>
          <w:p w:rsidR="00CE797D" w:rsidRPr="008B2D10" w:rsidRDefault="00CE797D" w:rsidP="008B2D10">
            <w:pPr>
              <w:pStyle w:val="NoSpacing"/>
            </w:pPr>
            <w:r w:rsidRPr="008B2D10">
              <w:t>Doza medie: 17</w:t>
            </w:r>
            <w:proofErr w:type="gramStart"/>
            <w:r w:rsidRPr="008B2D10">
              <w:t>,39</w:t>
            </w:r>
            <w:proofErr w:type="gramEnd"/>
            <w:r w:rsidRPr="008B2D10">
              <w:t xml:space="preserve"> mg/kg corp.  </w:t>
            </w:r>
          </w:p>
        </w:tc>
        <w:tc>
          <w:tcPr>
            <w:tcW w:w="1559" w:type="dxa"/>
            <w:shd w:val="clear" w:color="auto" w:fill="auto"/>
          </w:tcPr>
          <w:p w:rsidR="00CE797D" w:rsidRPr="008B2D10" w:rsidRDefault="00CE797D" w:rsidP="008B2D10">
            <w:pPr>
              <w:pStyle w:val="NoSpacing"/>
            </w:pPr>
            <w:proofErr w:type="gramStart"/>
            <w:r w:rsidRPr="008B2D10">
              <w:t>Mortalitate  100</w:t>
            </w:r>
            <w:proofErr w:type="gramEnd"/>
            <w:r w:rsidRPr="008B2D10">
              <w:t>% dupa 14 zile de observatie.</w:t>
            </w:r>
          </w:p>
        </w:tc>
      </w:tr>
      <w:tr w:rsidR="00D43809" w:rsidRPr="008B2D10" w:rsidTr="00613F4A">
        <w:tc>
          <w:tcPr>
            <w:tcW w:w="1985" w:type="dxa"/>
            <w:shd w:val="clear" w:color="auto" w:fill="auto"/>
          </w:tcPr>
          <w:p w:rsidR="00D43809" w:rsidRPr="008B2D10" w:rsidRDefault="00D43809" w:rsidP="008B2D10">
            <w:pPr>
              <w:pStyle w:val="NoSpacing"/>
              <w:rPr>
                <w:lang w:val="ro-RO"/>
              </w:rPr>
            </w:pPr>
            <w:r w:rsidRPr="008B2D10">
              <w:rPr>
                <w:lang w:val="ro-RO"/>
              </w:rPr>
              <w:t>(6) Evaluarea eficacitatii</w:t>
            </w:r>
          </w:p>
          <w:p w:rsidR="00D43809" w:rsidRPr="008B2D10" w:rsidRDefault="00D43809" w:rsidP="008B2D10">
            <w:pPr>
              <w:pStyle w:val="NoSpacing"/>
              <w:rPr>
                <w:lang w:val="ro-RO"/>
              </w:rPr>
            </w:pPr>
            <w:r w:rsidRPr="008B2D10">
              <w:rPr>
                <w:lang w:val="ro-RO"/>
              </w:rPr>
              <w:t>biocide</w:t>
            </w:r>
          </w:p>
        </w:tc>
        <w:tc>
          <w:tcPr>
            <w:tcW w:w="2693" w:type="dxa"/>
            <w:shd w:val="clear" w:color="auto" w:fill="auto"/>
          </w:tcPr>
          <w:p w:rsidR="00D43809" w:rsidRPr="008B2D10" w:rsidRDefault="00D43809" w:rsidP="008B2D10">
            <w:pPr>
              <w:pStyle w:val="NoSpacing"/>
            </w:pPr>
            <w:r w:rsidRPr="008B2D10">
              <w:t>- Study Protocol (VPU) 002/09</w:t>
            </w:r>
          </w:p>
          <w:p w:rsidR="00D43809" w:rsidRPr="008B2D10" w:rsidRDefault="00D43809" w:rsidP="008B2D10">
            <w:pPr>
              <w:pStyle w:val="NoSpacing"/>
            </w:pPr>
            <w:r w:rsidRPr="008B2D10">
              <w:t>Test de hranire la</w:t>
            </w:r>
          </w:p>
          <w:p w:rsidR="00D43809" w:rsidRPr="008B2D10" w:rsidRDefault="00D43809" w:rsidP="008B2D10">
            <w:pPr>
              <w:pStyle w:val="NoSpacing"/>
            </w:pPr>
            <w:r w:rsidRPr="008B2D10">
              <w:t>alegere, individual, cu momeala la discretie (momeala din noua locatie de productie: Syngenta Hellas – Grecia) – in</w:t>
            </w:r>
          </w:p>
          <w:p w:rsidR="00D43809" w:rsidRPr="008B2D10" w:rsidRDefault="00D43809" w:rsidP="008B2D10">
            <w:pPr>
              <w:pStyle w:val="NoSpacing"/>
            </w:pPr>
            <w:r w:rsidRPr="008B2D10">
              <w:t>conditii de laborator,</w:t>
            </w:r>
          </w:p>
          <w:p w:rsidR="00D43809" w:rsidRPr="008B2D10" w:rsidRDefault="00D43809" w:rsidP="008B2D10">
            <w:pPr>
              <w:pStyle w:val="NoSpacing"/>
            </w:pPr>
            <w:r w:rsidRPr="008B2D10">
              <w:t>durata tratamentului – 3 zile</w:t>
            </w:r>
          </w:p>
        </w:tc>
        <w:tc>
          <w:tcPr>
            <w:tcW w:w="1843" w:type="dxa"/>
            <w:shd w:val="clear" w:color="auto" w:fill="auto"/>
          </w:tcPr>
          <w:p w:rsidR="00D43809" w:rsidRPr="008B2D10" w:rsidRDefault="00D43809" w:rsidP="008B2D10">
            <w:pPr>
              <w:pStyle w:val="NoSpacing"/>
              <w:rPr>
                <w:lang w:val="ro-RO"/>
              </w:rPr>
            </w:pPr>
            <w:r w:rsidRPr="008B2D10">
              <w:rPr>
                <w:i/>
                <w:lang w:val="ro-RO"/>
              </w:rPr>
              <w:t>Rattus norvegicus</w:t>
            </w:r>
            <w:r w:rsidRPr="008B2D10">
              <w:rPr>
                <w:lang w:val="ro-RO"/>
              </w:rPr>
              <w:t xml:space="preserve"> (sobolanul cenusiu) din lantul CD Norway Rat;</w:t>
            </w:r>
          </w:p>
          <w:p w:rsidR="00D43809" w:rsidRPr="008B2D10" w:rsidRDefault="00D43809" w:rsidP="008B2D10">
            <w:pPr>
              <w:pStyle w:val="NoSpacing"/>
              <w:rPr>
                <w:lang w:val="ro-RO"/>
              </w:rPr>
            </w:pPr>
            <w:r w:rsidRPr="008B2D10">
              <w:rPr>
                <w:lang w:val="it-IT"/>
              </w:rPr>
              <w:t>5 masculi si 5 femele</w:t>
            </w:r>
          </w:p>
        </w:tc>
        <w:tc>
          <w:tcPr>
            <w:tcW w:w="1843" w:type="dxa"/>
            <w:shd w:val="clear" w:color="auto" w:fill="auto"/>
          </w:tcPr>
          <w:p w:rsidR="00D43809" w:rsidRPr="008B2D10" w:rsidRDefault="00D43809" w:rsidP="008B2D10">
            <w:pPr>
              <w:pStyle w:val="NoSpacing"/>
              <w:rPr>
                <w:lang w:val="ro-RO"/>
              </w:rPr>
            </w:pPr>
            <w:r w:rsidRPr="008B2D10">
              <w:rPr>
                <w:lang w:val="ro-RO"/>
              </w:rPr>
              <w:t xml:space="preserve">Media de acceptare a momelii: 57,33% (55,88% -  masculi si 58,77% -femele). </w:t>
            </w:r>
          </w:p>
          <w:p w:rsidR="00D43809" w:rsidRPr="008B2D10" w:rsidRDefault="00D43809" w:rsidP="008B2D10">
            <w:pPr>
              <w:pStyle w:val="NoSpacing"/>
              <w:rPr>
                <w:lang w:val="ro-RO"/>
              </w:rPr>
            </w:pPr>
            <w:r w:rsidRPr="008B2D10">
              <w:rPr>
                <w:lang w:val="ro-RO"/>
              </w:rPr>
              <w:t xml:space="preserve">Doza medie: 9,34 mg/kg corp.  </w:t>
            </w:r>
          </w:p>
        </w:tc>
        <w:tc>
          <w:tcPr>
            <w:tcW w:w="1559" w:type="dxa"/>
            <w:shd w:val="clear" w:color="auto" w:fill="auto"/>
          </w:tcPr>
          <w:p w:rsidR="00D43809" w:rsidRPr="008B2D10" w:rsidRDefault="00D43809" w:rsidP="008B2D10">
            <w:pPr>
              <w:pStyle w:val="NoSpacing"/>
              <w:rPr>
                <w:lang w:val="ro-RO"/>
              </w:rPr>
            </w:pPr>
            <w:r w:rsidRPr="008B2D10">
              <w:rPr>
                <w:lang w:val="ro-RO"/>
              </w:rPr>
              <w:t>Mortalitate  100% dupa 11 zile de observatie.</w:t>
            </w:r>
          </w:p>
        </w:tc>
      </w:tr>
      <w:tr w:rsidR="00D43809" w:rsidRPr="008B2D10" w:rsidTr="00613F4A">
        <w:tc>
          <w:tcPr>
            <w:tcW w:w="1985" w:type="dxa"/>
            <w:shd w:val="clear" w:color="auto" w:fill="auto"/>
          </w:tcPr>
          <w:p w:rsidR="00D43809" w:rsidRPr="008B2D10" w:rsidRDefault="00D43809" w:rsidP="008B2D10">
            <w:pPr>
              <w:pStyle w:val="NoSpacing"/>
              <w:rPr>
                <w:lang w:val="ro-RO"/>
              </w:rPr>
            </w:pPr>
            <w:r w:rsidRPr="008B2D10">
              <w:rPr>
                <w:lang w:val="ro-RO"/>
              </w:rPr>
              <w:t>(7) Evaluarea eficacitatii</w:t>
            </w:r>
          </w:p>
          <w:p w:rsidR="00D43809" w:rsidRPr="008B2D10" w:rsidRDefault="00D43809" w:rsidP="008B2D10">
            <w:pPr>
              <w:pStyle w:val="NoSpacing"/>
              <w:rPr>
                <w:lang w:val="ro-RO"/>
              </w:rPr>
            </w:pPr>
            <w:r w:rsidRPr="008B2D10">
              <w:rPr>
                <w:lang w:val="ro-RO"/>
              </w:rPr>
              <w:t>biocide</w:t>
            </w:r>
          </w:p>
        </w:tc>
        <w:tc>
          <w:tcPr>
            <w:tcW w:w="2693" w:type="dxa"/>
            <w:shd w:val="clear" w:color="auto" w:fill="auto"/>
          </w:tcPr>
          <w:p w:rsidR="00D43809" w:rsidRPr="008B2D10" w:rsidRDefault="00D43809" w:rsidP="008B2D10">
            <w:pPr>
              <w:pStyle w:val="NoSpacing"/>
            </w:pPr>
            <w:r w:rsidRPr="008B2D10">
              <w:t>- Study Protocol (VPU) 001/10</w:t>
            </w:r>
          </w:p>
          <w:p w:rsidR="00D43809" w:rsidRPr="008B2D10" w:rsidRDefault="00D43809" w:rsidP="008B2D10">
            <w:pPr>
              <w:pStyle w:val="NoSpacing"/>
            </w:pPr>
            <w:r w:rsidRPr="008B2D10">
              <w:t>Test de hranire la</w:t>
            </w:r>
          </w:p>
          <w:p w:rsidR="00D43809" w:rsidRPr="008B2D10" w:rsidRDefault="00D43809" w:rsidP="008B2D10">
            <w:pPr>
              <w:pStyle w:val="NoSpacing"/>
            </w:pPr>
            <w:r w:rsidRPr="008B2D10">
              <w:t xml:space="preserve">alegere, individual, cu momeala la discretie (momeala imbatranita 3 ani prin depozitare in </w:t>
            </w:r>
            <w:r w:rsidRPr="008B2D10">
              <w:lastRenderedPageBreak/>
              <w:t>conditii normale) – in</w:t>
            </w:r>
          </w:p>
          <w:p w:rsidR="00D43809" w:rsidRPr="008B2D10" w:rsidRDefault="00D43809" w:rsidP="008B2D10">
            <w:pPr>
              <w:pStyle w:val="NoSpacing"/>
            </w:pPr>
            <w:r w:rsidRPr="008B2D10">
              <w:t>conditii de laborator,</w:t>
            </w:r>
          </w:p>
          <w:p w:rsidR="00D43809" w:rsidRPr="008B2D10" w:rsidRDefault="00D43809" w:rsidP="008B2D10">
            <w:pPr>
              <w:pStyle w:val="NoSpacing"/>
            </w:pPr>
            <w:r w:rsidRPr="008B2D10">
              <w:t>durata tratamentului – 4 zile</w:t>
            </w:r>
          </w:p>
        </w:tc>
        <w:tc>
          <w:tcPr>
            <w:tcW w:w="1843" w:type="dxa"/>
            <w:shd w:val="clear" w:color="auto" w:fill="auto"/>
          </w:tcPr>
          <w:p w:rsidR="00D43809" w:rsidRPr="008B2D10" w:rsidRDefault="00D43809" w:rsidP="008B2D10">
            <w:pPr>
              <w:pStyle w:val="NoSpacing"/>
              <w:rPr>
                <w:lang w:val="it-IT"/>
              </w:rPr>
            </w:pPr>
            <w:r w:rsidRPr="008B2D10">
              <w:rPr>
                <w:i/>
                <w:lang w:val="it-IT"/>
              </w:rPr>
              <w:lastRenderedPageBreak/>
              <w:t>Mus domesticus</w:t>
            </w:r>
            <w:r w:rsidRPr="008B2D10">
              <w:rPr>
                <w:lang w:val="it-IT"/>
              </w:rPr>
              <w:t xml:space="preserve"> (soarecele de</w:t>
            </w:r>
          </w:p>
          <w:p w:rsidR="00D43809" w:rsidRPr="008B2D10" w:rsidRDefault="00D43809" w:rsidP="008B2D10">
            <w:pPr>
              <w:pStyle w:val="NoSpacing"/>
              <w:rPr>
                <w:lang w:val="ro-RO"/>
              </w:rPr>
            </w:pPr>
            <w:r w:rsidRPr="008B2D10">
              <w:rPr>
                <w:lang w:val="it-IT"/>
              </w:rPr>
              <w:t xml:space="preserve">casa albinos) – din CDI Swiss House Mouse – lantul Albino; 5 masculi si 5 </w:t>
            </w:r>
            <w:r w:rsidRPr="008B2D10">
              <w:rPr>
                <w:lang w:val="it-IT"/>
              </w:rPr>
              <w:lastRenderedPageBreak/>
              <w:t>femele</w:t>
            </w:r>
          </w:p>
        </w:tc>
        <w:tc>
          <w:tcPr>
            <w:tcW w:w="1843" w:type="dxa"/>
            <w:shd w:val="clear" w:color="auto" w:fill="auto"/>
          </w:tcPr>
          <w:p w:rsidR="00D43809" w:rsidRPr="008B2D10" w:rsidRDefault="00D43809" w:rsidP="008B2D10">
            <w:pPr>
              <w:pStyle w:val="NoSpacing"/>
              <w:rPr>
                <w:lang w:val="ro-RO"/>
              </w:rPr>
            </w:pPr>
            <w:r w:rsidRPr="008B2D10">
              <w:rPr>
                <w:lang w:val="ro-RO"/>
              </w:rPr>
              <w:lastRenderedPageBreak/>
              <w:t>Media de acceptare a momelii: 74,6%.</w:t>
            </w:r>
          </w:p>
        </w:tc>
        <w:tc>
          <w:tcPr>
            <w:tcW w:w="1559" w:type="dxa"/>
            <w:shd w:val="clear" w:color="auto" w:fill="auto"/>
          </w:tcPr>
          <w:p w:rsidR="00D43809" w:rsidRPr="008B2D10" w:rsidRDefault="00D43809" w:rsidP="008B2D10">
            <w:pPr>
              <w:pStyle w:val="NoSpacing"/>
              <w:rPr>
                <w:lang w:val="ro-RO"/>
              </w:rPr>
            </w:pPr>
            <w:r w:rsidRPr="008B2D10">
              <w:rPr>
                <w:lang w:val="ro-RO"/>
              </w:rPr>
              <w:t>Mortalitate  100% dupa 14 zile de observatie.</w:t>
            </w:r>
          </w:p>
        </w:tc>
      </w:tr>
      <w:tr w:rsidR="00D43809" w:rsidRPr="008B2D10" w:rsidTr="00613F4A">
        <w:tc>
          <w:tcPr>
            <w:tcW w:w="1985" w:type="dxa"/>
            <w:shd w:val="clear" w:color="auto" w:fill="auto"/>
          </w:tcPr>
          <w:p w:rsidR="00D43809" w:rsidRPr="008B2D10" w:rsidRDefault="00D43809" w:rsidP="008B2D10">
            <w:pPr>
              <w:pStyle w:val="NoSpacing"/>
              <w:rPr>
                <w:lang w:val="ro-RO"/>
              </w:rPr>
            </w:pPr>
            <w:r w:rsidRPr="008B2D10">
              <w:rPr>
                <w:lang w:val="ro-RO"/>
              </w:rPr>
              <w:lastRenderedPageBreak/>
              <w:t>(8) Evaluarea eficacitatii</w:t>
            </w:r>
          </w:p>
          <w:p w:rsidR="00D43809" w:rsidRPr="008B2D10" w:rsidRDefault="00D43809" w:rsidP="008B2D10">
            <w:pPr>
              <w:pStyle w:val="NoSpacing"/>
              <w:rPr>
                <w:lang w:val="ro-RO"/>
              </w:rPr>
            </w:pPr>
            <w:r w:rsidRPr="008B2D10">
              <w:rPr>
                <w:lang w:val="ro-RO"/>
              </w:rPr>
              <w:t>biocide</w:t>
            </w:r>
          </w:p>
        </w:tc>
        <w:tc>
          <w:tcPr>
            <w:tcW w:w="2693" w:type="dxa"/>
            <w:shd w:val="clear" w:color="auto" w:fill="auto"/>
          </w:tcPr>
          <w:p w:rsidR="00D43809" w:rsidRPr="008B2D10" w:rsidRDefault="00D43809" w:rsidP="008B2D10">
            <w:pPr>
              <w:pStyle w:val="NoSpacing"/>
            </w:pPr>
            <w:r w:rsidRPr="008B2D10">
              <w:t>- Study Protocol (VPU) 001/10</w:t>
            </w:r>
          </w:p>
          <w:p w:rsidR="00D43809" w:rsidRPr="008B2D10" w:rsidRDefault="00D43809" w:rsidP="008B2D10">
            <w:pPr>
              <w:pStyle w:val="NoSpacing"/>
            </w:pPr>
            <w:r w:rsidRPr="008B2D10">
              <w:t>Test de hranire la</w:t>
            </w:r>
          </w:p>
          <w:p w:rsidR="00D43809" w:rsidRPr="008B2D10" w:rsidRDefault="00D43809" w:rsidP="008B2D10">
            <w:pPr>
              <w:pStyle w:val="NoSpacing"/>
            </w:pPr>
            <w:r w:rsidRPr="008B2D10">
              <w:t>alegere, individual, cu momeala la discretie (momeala imbatranita 3 ani prin depozitare in conditii normale) – in</w:t>
            </w:r>
          </w:p>
          <w:p w:rsidR="00D43809" w:rsidRPr="008B2D10" w:rsidRDefault="00D43809" w:rsidP="008B2D10">
            <w:pPr>
              <w:pStyle w:val="NoSpacing"/>
            </w:pPr>
            <w:r w:rsidRPr="008B2D10">
              <w:t>conditii de laborator,</w:t>
            </w:r>
          </w:p>
          <w:p w:rsidR="00D43809" w:rsidRPr="008B2D10" w:rsidRDefault="00D43809" w:rsidP="008B2D10">
            <w:pPr>
              <w:pStyle w:val="NoSpacing"/>
            </w:pPr>
            <w:r w:rsidRPr="008B2D10">
              <w:t>durata tratamentului – 4 zile</w:t>
            </w:r>
          </w:p>
        </w:tc>
        <w:tc>
          <w:tcPr>
            <w:tcW w:w="1843" w:type="dxa"/>
            <w:shd w:val="clear" w:color="auto" w:fill="auto"/>
          </w:tcPr>
          <w:p w:rsidR="00D43809" w:rsidRPr="008B2D10" w:rsidRDefault="00D43809" w:rsidP="008B2D10">
            <w:pPr>
              <w:pStyle w:val="NoSpacing"/>
              <w:rPr>
                <w:lang w:val="ro-RO"/>
              </w:rPr>
            </w:pPr>
            <w:r w:rsidRPr="008B2D10">
              <w:rPr>
                <w:i/>
                <w:lang w:val="ro-RO"/>
              </w:rPr>
              <w:t>Rattus norvegicus</w:t>
            </w:r>
            <w:r w:rsidRPr="008B2D10">
              <w:rPr>
                <w:lang w:val="ro-RO"/>
              </w:rPr>
              <w:t xml:space="preserve"> (sobolanul cenusiu) din lantul CD Norway Rat;</w:t>
            </w:r>
          </w:p>
          <w:p w:rsidR="00D43809" w:rsidRPr="008B2D10" w:rsidRDefault="00D43809" w:rsidP="008B2D10">
            <w:pPr>
              <w:pStyle w:val="NoSpacing"/>
              <w:rPr>
                <w:lang w:val="ro-RO"/>
              </w:rPr>
            </w:pPr>
            <w:r w:rsidRPr="008B2D10">
              <w:rPr>
                <w:lang w:val="it-IT"/>
              </w:rPr>
              <w:t>5 masculi si 5 femele</w:t>
            </w:r>
          </w:p>
        </w:tc>
        <w:tc>
          <w:tcPr>
            <w:tcW w:w="1843" w:type="dxa"/>
            <w:shd w:val="clear" w:color="auto" w:fill="auto"/>
          </w:tcPr>
          <w:p w:rsidR="00D43809" w:rsidRPr="008B2D10" w:rsidRDefault="00D43809" w:rsidP="008B2D10">
            <w:pPr>
              <w:pStyle w:val="NoSpacing"/>
              <w:rPr>
                <w:lang w:val="ro-RO"/>
              </w:rPr>
            </w:pPr>
            <w:r w:rsidRPr="008B2D10">
              <w:rPr>
                <w:lang w:val="ro-RO"/>
              </w:rPr>
              <w:t>Media de acceptare a momelii: 36,5%.</w:t>
            </w:r>
          </w:p>
        </w:tc>
        <w:tc>
          <w:tcPr>
            <w:tcW w:w="1559" w:type="dxa"/>
            <w:shd w:val="clear" w:color="auto" w:fill="auto"/>
          </w:tcPr>
          <w:p w:rsidR="00D43809" w:rsidRPr="008B2D10" w:rsidRDefault="00D43809" w:rsidP="008B2D10">
            <w:pPr>
              <w:pStyle w:val="NoSpacing"/>
              <w:rPr>
                <w:lang w:val="ro-RO"/>
              </w:rPr>
            </w:pPr>
            <w:r w:rsidRPr="008B2D10">
              <w:rPr>
                <w:lang w:val="ro-RO"/>
              </w:rPr>
              <w:t>Mortalitate  100% dupa 14 zile de observatie.</w:t>
            </w:r>
          </w:p>
        </w:tc>
      </w:tr>
      <w:tr w:rsidR="00D43809" w:rsidRPr="008B2D10" w:rsidTr="00613F4A">
        <w:tc>
          <w:tcPr>
            <w:tcW w:w="1985" w:type="dxa"/>
            <w:shd w:val="clear" w:color="auto" w:fill="auto"/>
          </w:tcPr>
          <w:p w:rsidR="00D43809" w:rsidRPr="008B2D10" w:rsidRDefault="00D43809" w:rsidP="008B2D10">
            <w:pPr>
              <w:pStyle w:val="NoSpacing"/>
              <w:rPr>
                <w:lang w:val="ro-RO"/>
              </w:rPr>
            </w:pPr>
            <w:r w:rsidRPr="008B2D10">
              <w:rPr>
                <w:lang w:val="ro-RO"/>
              </w:rPr>
              <w:t>(9) Evaluarea eficacitatii</w:t>
            </w:r>
          </w:p>
          <w:p w:rsidR="00D43809" w:rsidRPr="008B2D10" w:rsidRDefault="00D43809" w:rsidP="008B2D10">
            <w:pPr>
              <w:pStyle w:val="NoSpacing"/>
              <w:rPr>
                <w:lang w:val="ro-RO"/>
              </w:rPr>
            </w:pPr>
            <w:r w:rsidRPr="008B2D10">
              <w:rPr>
                <w:lang w:val="ro-RO"/>
              </w:rPr>
              <w:t>biocide</w:t>
            </w:r>
          </w:p>
        </w:tc>
        <w:tc>
          <w:tcPr>
            <w:tcW w:w="2693" w:type="dxa"/>
            <w:shd w:val="clear" w:color="auto" w:fill="auto"/>
          </w:tcPr>
          <w:p w:rsidR="00D43809" w:rsidRPr="008B2D10" w:rsidRDefault="00D43809" w:rsidP="008B2D10">
            <w:pPr>
              <w:pStyle w:val="NoSpacing"/>
            </w:pPr>
            <w:r w:rsidRPr="008B2D10">
              <w:t>- Study Protocol (VPU) 001/10</w:t>
            </w:r>
          </w:p>
          <w:p w:rsidR="00D43809" w:rsidRPr="008B2D10" w:rsidRDefault="00D43809" w:rsidP="008B2D10">
            <w:pPr>
              <w:pStyle w:val="NoSpacing"/>
            </w:pPr>
            <w:r w:rsidRPr="008B2D10">
              <w:t>Test de hranire la</w:t>
            </w:r>
          </w:p>
          <w:p w:rsidR="00D43809" w:rsidRPr="008B2D10" w:rsidRDefault="00D43809" w:rsidP="008B2D10">
            <w:pPr>
              <w:pStyle w:val="NoSpacing"/>
            </w:pPr>
            <w:r w:rsidRPr="008B2D10">
              <w:t>alegere, individual, cu momeala la discretie – in</w:t>
            </w:r>
          </w:p>
          <w:p w:rsidR="00D43809" w:rsidRPr="008B2D10" w:rsidRDefault="00D43809" w:rsidP="008B2D10">
            <w:pPr>
              <w:pStyle w:val="NoSpacing"/>
            </w:pPr>
            <w:r w:rsidRPr="008B2D10">
              <w:t>conditii de laborator,</w:t>
            </w:r>
          </w:p>
          <w:p w:rsidR="00D43809" w:rsidRPr="008B2D10" w:rsidRDefault="00D43809" w:rsidP="008B2D10">
            <w:pPr>
              <w:pStyle w:val="NoSpacing"/>
            </w:pPr>
            <w:r w:rsidRPr="008B2D10">
              <w:t>durata tratamentului – 4 zile</w:t>
            </w:r>
          </w:p>
        </w:tc>
        <w:tc>
          <w:tcPr>
            <w:tcW w:w="1843" w:type="dxa"/>
            <w:shd w:val="clear" w:color="auto" w:fill="auto"/>
          </w:tcPr>
          <w:p w:rsidR="00D43809" w:rsidRPr="008B2D10" w:rsidRDefault="00D43809" w:rsidP="008B2D10">
            <w:pPr>
              <w:pStyle w:val="NoSpacing"/>
              <w:rPr>
                <w:lang w:val="ro-RO"/>
              </w:rPr>
            </w:pPr>
            <w:r w:rsidRPr="008B2D10">
              <w:rPr>
                <w:i/>
                <w:lang w:val="ro-RO"/>
              </w:rPr>
              <w:t xml:space="preserve">Soarece de casa rezistent Y139C </w:t>
            </w:r>
            <w:r w:rsidRPr="008B2D10">
              <w:rPr>
                <w:lang w:val="ro-RO"/>
              </w:rPr>
              <w:t>(15-35 g); 5 masculi si 5 femele</w:t>
            </w:r>
          </w:p>
        </w:tc>
        <w:tc>
          <w:tcPr>
            <w:tcW w:w="1843" w:type="dxa"/>
            <w:shd w:val="clear" w:color="auto" w:fill="auto"/>
          </w:tcPr>
          <w:p w:rsidR="00D43809" w:rsidRPr="008B2D10" w:rsidRDefault="00D43809" w:rsidP="008B2D10">
            <w:pPr>
              <w:pStyle w:val="NoSpacing"/>
              <w:rPr>
                <w:lang w:val="ro-RO"/>
              </w:rPr>
            </w:pPr>
            <w:r w:rsidRPr="008B2D10">
              <w:rPr>
                <w:lang w:val="ro-RO"/>
              </w:rPr>
              <w:t>Media de acceptare a momelii: 85,7%.</w:t>
            </w:r>
          </w:p>
          <w:p w:rsidR="00D43809" w:rsidRPr="008B2D10" w:rsidRDefault="00D43809" w:rsidP="008B2D10">
            <w:pPr>
              <w:pStyle w:val="NoSpacing"/>
              <w:rPr>
                <w:lang w:val="ro-RO"/>
              </w:rPr>
            </w:pPr>
            <w:r w:rsidRPr="008B2D10">
              <w:rPr>
                <w:lang w:val="ro-RO"/>
              </w:rPr>
              <w:t xml:space="preserve">Consum de s.a. intre 24,5 – 45,4 mg/kg corp. </w:t>
            </w:r>
          </w:p>
        </w:tc>
        <w:tc>
          <w:tcPr>
            <w:tcW w:w="1559" w:type="dxa"/>
            <w:shd w:val="clear" w:color="auto" w:fill="auto"/>
          </w:tcPr>
          <w:p w:rsidR="00D43809" w:rsidRPr="008B2D10" w:rsidRDefault="00D43809" w:rsidP="008B2D10">
            <w:pPr>
              <w:pStyle w:val="NoSpacing"/>
              <w:rPr>
                <w:lang w:val="ro-RO"/>
              </w:rPr>
            </w:pPr>
            <w:r w:rsidRPr="008B2D10">
              <w:rPr>
                <w:lang w:val="ro-RO"/>
              </w:rPr>
              <w:t>Mortalitate  100% dupa 14 zile de observatie.</w:t>
            </w:r>
          </w:p>
        </w:tc>
      </w:tr>
      <w:tr w:rsidR="00112FCC" w:rsidRPr="008B2D10" w:rsidTr="00613F4A">
        <w:tc>
          <w:tcPr>
            <w:tcW w:w="1985" w:type="dxa"/>
            <w:shd w:val="clear" w:color="auto" w:fill="auto"/>
          </w:tcPr>
          <w:p w:rsidR="00112FCC" w:rsidRPr="008B2D10" w:rsidRDefault="00112FCC" w:rsidP="008B2D10">
            <w:pPr>
              <w:pStyle w:val="NoSpacing"/>
              <w:rPr>
                <w:lang w:val="ro-RO"/>
              </w:rPr>
            </w:pPr>
            <w:r w:rsidRPr="008B2D10">
              <w:rPr>
                <w:lang w:val="ro-RO"/>
              </w:rPr>
              <w:t>(10) Evaluarea eficacitatii</w:t>
            </w:r>
          </w:p>
          <w:p w:rsidR="00112FCC" w:rsidRPr="008B2D10" w:rsidRDefault="00112FCC" w:rsidP="008B2D10">
            <w:pPr>
              <w:pStyle w:val="NoSpacing"/>
              <w:rPr>
                <w:lang w:val="ro-RO"/>
              </w:rPr>
            </w:pPr>
            <w:r w:rsidRPr="008B2D10">
              <w:rPr>
                <w:lang w:val="ro-RO"/>
              </w:rPr>
              <w:t>biocide</w:t>
            </w:r>
          </w:p>
        </w:tc>
        <w:tc>
          <w:tcPr>
            <w:tcW w:w="2693" w:type="dxa"/>
            <w:shd w:val="clear" w:color="auto" w:fill="auto"/>
          </w:tcPr>
          <w:p w:rsidR="00112FCC" w:rsidRPr="008B2D10" w:rsidRDefault="00112FCC" w:rsidP="008B2D10">
            <w:pPr>
              <w:pStyle w:val="NoSpacing"/>
            </w:pPr>
            <w:r w:rsidRPr="008B2D10">
              <w:t>-Test in teren conform EPPO 1982</w:t>
            </w:r>
          </w:p>
          <w:p w:rsidR="00112FCC" w:rsidRPr="008B2D10" w:rsidRDefault="00112FCC" w:rsidP="008B2D10">
            <w:pPr>
              <w:pStyle w:val="NoSpacing"/>
            </w:pPr>
            <w:r w:rsidRPr="008B2D10">
              <w:t xml:space="preserve">Test de hranire la alegere – in teren, 4 locatii; durata  tratamentului – cel putin 21 de zile pentru locatia 1 pana la 42 de zile pentru locatiile 1 si 2 </w:t>
            </w:r>
          </w:p>
        </w:tc>
        <w:tc>
          <w:tcPr>
            <w:tcW w:w="1843" w:type="dxa"/>
            <w:shd w:val="clear" w:color="auto" w:fill="auto"/>
          </w:tcPr>
          <w:p w:rsidR="00112FCC" w:rsidRPr="008B2D10" w:rsidRDefault="00112FCC" w:rsidP="008B2D10">
            <w:pPr>
              <w:pStyle w:val="NoSpacing"/>
              <w:rPr>
                <w:lang w:val="ro-RO"/>
              </w:rPr>
            </w:pPr>
            <w:r w:rsidRPr="008B2D10">
              <w:rPr>
                <w:i/>
                <w:lang w:val="ro-RO"/>
              </w:rPr>
              <w:t>Rattus norvegicus</w:t>
            </w:r>
            <w:r w:rsidRPr="008B2D10">
              <w:rPr>
                <w:lang w:val="ro-RO"/>
              </w:rPr>
              <w:t xml:space="preserve"> (sobolanul cenusiu);</w:t>
            </w:r>
          </w:p>
          <w:p w:rsidR="00112FCC" w:rsidRPr="008B2D10" w:rsidRDefault="00112FCC" w:rsidP="008B2D10">
            <w:pPr>
              <w:pStyle w:val="NoSpacing"/>
              <w:rPr>
                <w:lang w:val="ro-RO"/>
              </w:rPr>
            </w:pPr>
            <w:r w:rsidRPr="008B2D10">
              <w:rPr>
                <w:lang w:val="ro-RO"/>
              </w:rPr>
              <w:t>Locatia 1: nivel ridicat de infestare (aprox. 393 sobolani);</w:t>
            </w:r>
          </w:p>
          <w:p w:rsidR="00112FCC" w:rsidRPr="008B2D10" w:rsidRDefault="00112FCC" w:rsidP="008B2D10">
            <w:pPr>
              <w:pStyle w:val="NoSpacing"/>
              <w:rPr>
                <w:lang w:val="ro-RO"/>
              </w:rPr>
            </w:pPr>
            <w:r w:rsidRPr="008B2D10">
              <w:rPr>
                <w:lang w:val="ro-RO"/>
              </w:rPr>
              <w:t>Locatia 2: nivel ridicat de infestare (aprox. 168 sobolani);</w:t>
            </w:r>
          </w:p>
          <w:p w:rsidR="00112FCC" w:rsidRPr="008B2D10" w:rsidRDefault="00112FCC" w:rsidP="008B2D10">
            <w:pPr>
              <w:pStyle w:val="NoSpacing"/>
              <w:rPr>
                <w:lang w:val="ro-RO"/>
              </w:rPr>
            </w:pPr>
            <w:r w:rsidRPr="008B2D10">
              <w:rPr>
                <w:lang w:val="ro-RO"/>
              </w:rPr>
              <w:t>Locatia 3: nivel mediu de infestare (aprox. 127 sobolani);</w:t>
            </w:r>
          </w:p>
          <w:p w:rsidR="00112FCC" w:rsidRPr="008B2D10" w:rsidRDefault="00112FCC" w:rsidP="008B2D10">
            <w:pPr>
              <w:pStyle w:val="NoSpacing"/>
              <w:rPr>
                <w:lang w:val="ro-RO"/>
              </w:rPr>
            </w:pPr>
            <w:r w:rsidRPr="008B2D10">
              <w:rPr>
                <w:lang w:val="ro-RO"/>
              </w:rPr>
              <w:t xml:space="preserve">Locatia 4: nivel scazut de infestare (aprox. </w:t>
            </w:r>
            <w:r w:rsidRPr="008B2D10">
              <w:rPr>
                <w:lang w:val="ro-RO"/>
              </w:rPr>
              <w:lastRenderedPageBreak/>
              <w:t xml:space="preserve">53 sobolani).  </w:t>
            </w:r>
          </w:p>
        </w:tc>
        <w:tc>
          <w:tcPr>
            <w:tcW w:w="1843" w:type="dxa"/>
            <w:shd w:val="clear" w:color="auto" w:fill="auto"/>
          </w:tcPr>
          <w:p w:rsidR="00112FCC" w:rsidRPr="008B2D10" w:rsidRDefault="00112FCC" w:rsidP="008B2D10">
            <w:pPr>
              <w:pStyle w:val="NoSpacing"/>
              <w:rPr>
                <w:lang w:val="ro-RO"/>
              </w:rPr>
            </w:pPr>
            <w:r w:rsidRPr="008B2D10">
              <w:rPr>
                <w:lang w:val="ro-RO"/>
              </w:rPr>
              <w:lastRenderedPageBreak/>
              <w:t>Locatia 1: 55 statii de intoxicare; 50 g momeala / statie. Perioada de tratament: 42 de zile.</w:t>
            </w:r>
          </w:p>
          <w:p w:rsidR="00112FCC" w:rsidRPr="008B2D10" w:rsidRDefault="00112FCC" w:rsidP="008B2D10">
            <w:pPr>
              <w:pStyle w:val="NoSpacing"/>
              <w:rPr>
                <w:lang w:val="ro-RO"/>
              </w:rPr>
            </w:pPr>
            <w:r w:rsidRPr="008B2D10">
              <w:rPr>
                <w:lang w:val="ro-RO"/>
              </w:rPr>
              <w:t>Locatia 2: 35 statii de intoxicare; 50 g momeala / statie. Perioada de tratament: 42 de zile.</w:t>
            </w:r>
          </w:p>
          <w:p w:rsidR="00112FCC" w:rsidRPr="008B2D10" w:rsidRDefault="00112FCC" w:rsidP="008B2D10">
            <w:pPr>
              <w:pStyle w:val="NoSpacing"/>
              <w:rPr>
                <w:lang w:val="ro-RO"/>
              </w:rPr>
            </w:pPr>
            <w:r w:rsidRPr="008B2D10">
              <w:rPr>
                <w:lang w:val="ro-RO"/>
              </w:rPr>
              <w:t xml:space="preserve">Locatia 3: 32 statii de intoxicare; 50 g momeala / statie. Perioada </w:t>
            </w:r>
            <w:r w:rsidRPr="008B2D10">
              <w:rPr>
                <w:lang w:val="ro-RO"/>
              </w:rPr>
              <w:lastRenderedPageBreak/>
              <w:t>de tratament: 21 de zile.</w:t>
            </w:r>
          </w:p>
          <w:p w:rsidR="00112FCC" w:rsidRPr="008B2D10" w:rsidRDefault="00112FCC" w:rsidP="008B2D10">
            <w:pPr>
              <w:pStyle w:val="NoSpacing"/>
              <w:rPr>
                <w:lang w:val="ro-RO"/>
              </w:rPr>
            </w:pPr>
            <w:r w:rsidRPr="008B2D10">
              <w:rPr>
                <w:lang w:val="ro-RO"/>
              </w:rPr>
              <w:t>Locatia 4: 17 statii de intoxicare; 50 g momeala / statie. Perioada de tratament: 27 de zile.</w:t>
            </w:r>
          </w:p>
        </w:tc>
        <w:tc>
          <w:tcPr>
            <w:tcW w:w="1559" w:type="dxa"/>
            <w:shd w:val="clear" w:color="auto" w:fill="auto"/>
          </w:tcPr>
          <w:p w:rsidR="00112FCC" w:rsidRPr="008B2D10" w:rsidRDefault="00112FCC" w:rsidP="008B2D10">
            <w:pPr>
              <w:pStyle w:val="NoSpacing"/>
              <w:rPr>
                <w:lang w:val="ro-RO"/>
              </w:rPr>
            </w:pPr>
            <w:r w:rsidRPr="008B2D10">
              <w:rPr>
                <w:lang w:val="ro-RO"/>
              </w:rPr>
              <w:lastRenderedPageBreak/>
              <w:t>Locatia 1: mortalitate calculata 95,82%.</w:t>
            </w:r>
          </w:p>
          <w:p w:rsidR="00112FCC" w:rsidRPr="008B2D10" w:rsidRDefault="00112FCC" w:rsidP="008B2D10">
            <w:pPr>
              <w:pStyle w:val="NoSpacing"/>
              <w:rPr>
                <w:lang w:val="ro-RO"/>
              </w:rPr>
            </w:pPr>
            <w:r w:rsidRPr="008B2D10">
              <w:rPr>
                <w:lang w:val="ro-RO"/>
              </w:rPr>
              <w:t>Locatia 2: mortalitate calculata 95,78%.</w:t>
            </w:r>
          </w:p>
          <w:p w:rsidR="00112FCC" w:rsidRPr="008B2D10" w:rsidRDefault="00112FCC" w:rsidP="008B2D10">
            <w:pPr>
              <w:pStyle w:val="NoSpacing"/>
              <w:rPr>
                <w:lang w:val="ro-RO"/>
              </w:rPr>
            </w:pPr>
            <w:r w:rsidRPr="008B2D10">
              <w:rPr>
                <w:lang w:val="ro-RO"/>
              </w:rPr>
              <w:t>Locatia 3: mortalitate calculata 95,96%.</w:t>
            </w:r>
          </w:p>
          <w:p w:rsidR="00112FCC" w:rsidRPr="008B2D10" w:rsidRDefault="00112FCC" w:rsidP="008B2D10">
            <w:pPr>
              <w:pStyle w:val="NoSpacing"/>
              <w:rPr>
                <w:lang w:val="ro-RO"/>
              </w:rPr>
            </w:pPr>
            <w:r w:rsidRPr="008B2D10">
              <w:rPr>
                <w:lang w:val="ro-RO"/>
              </w:rPr>
              <w:t>Locatia 2: mortalitate calculata 100%.</w:t>
            </w:r>
          </w:p>
        </w:tc>
      </w:tr>
      <w:tr w:rsidR="00112FCC" w:rsidRPr="008B2D10" w:rsidTr="00613F4A">
        <w:tc>
          <w:tcPr>
            <w:tcW w:w="1985" w:type="dxa"/>
            <w:shd w:val="clear" w:color="auto" w:fill="auto"/>
          </w:tcPr>
          <w:p w:rsidR="00112FCC" w:rsidRPr="008B2D10" w:rsidRDefault="00112FCC" w:rsidP="008B2D10">
            <w:pPr>
              <w:pStyle w:val="NoSpacing"/>
              <w:rPr>
                <w:lang w:val="ro-RO"/>
              </w:rPr>
            </w:pPr>
            <w:r w:rsidRPr="008B2D10">
              <w:rPr>
                <w:lang w:val="ro-RO"/>
              </w:rPr>
              <w:lastRenderedPageBreak/>
              <w:t>(11) Evaluarea eficacitatii</w:t>
            </w:r>
          </w:p>
          <w:p w:rsidR="00112FCC" w:rsidRPr="008B2D10" w:rsidRDefault="00112FCC" w:rsidP="008B2D10">
            <w:pPr>
              <w:pStyle w:val="NoSpacing"/>
              <w:rPr>
                <w:lang w:val="ro-RO"/>
              </w:rPr>
            </w:pPr>
            <w:r w:rsidRPr="008B2D10">
              <w:rPr>
                <w:lang w:val="ro-RO"/>
              </w:rPr>
              <w:t>biocide</w:t>
            </w:r>
          </w:p>
        </w:tc>
        <w:tc>
          <w:tcPr>
            <w:tcW w:w="2693" w:type="dxa"/>
            <w:shd w:val="clear" w:color="auto" w:fill="auto"/>
          </w:tcPr>
          <w:p w:rsidR="00112FCC" w:rsidRPr="008B2D10" w:rsidRDefault="00112FCC" w:rsidP="008B2D10">
            <w:pPr>
              <w:pStyle w:val="NoSpacing"/>
            </w:pPr>
            <w:r w:rsidRPr="008B2D10">
              <w:t>-Test in teren conform EPPO 1982</w:t>
            </w:r>
          </w:p>
          <w:p w:rsidR="00112FCC" w:rsidRPr="008B2D10" w:rsidRDefault="00112FCC" w:rsidP="008B2D10">
            <w:pPr>
              <w:pStyle w:val="NoSpacing"/>
            </w:pPr>
            <w:r w:rsidRPr="008B2D10">
              <w:t>Test de hranire la alegere – in teren (ferma); durata  tratamentului – incepand cu ziua 14 (dupa pre-tratament si pauza), in zilele 17 si 21, apoi saptamanal  pana in ziua 35</w:t>
            </w:r>
          </w:p>
        </w:tc>
        <w:tc>
          <w:tcPr>
            <w:tcW w:w="1843" w:type="dxa"/>
            <w:shd w:val="clear" w:color="auto" w:fill="auto"/>
          </w:tcPr>
          <w:p w:rsidR="00112FCC" w:rsidRPr="008B2D10" w:rsidRDefault="00112FCC" w:rsidP="008B2D10">
            <w:pPr>
              <w:pStyle w:val="NoSpacing"/>
              <w:rPr>
                <w:lang w:val="it-IT"/>
              </w:rPr>
            </w:pPr>
            <w:r w:rsidRPr="008B2D10">
              <w:rPr>
                <w:i/>
                <w:lang w:val="it-IT"/>
              </w:rPr>
              <w:t>Mus domesticus</w:t>
            </w:r>
            <w:r w:rsidRPr="008B2D10">
              <w:rPr>
                <w:lang w:val="it-IT"/>
              </w:rPr>
              <w:t xml:space="preserve"> (soarecele de</w:t>
            </w:r>
          </w:p>
          <w:p w:rsidR="00112FCC" w:rsidRPr="008B2D10" w:rsidRDefault="00112FCC" w:rsidP="008B2D10">
            <w:pPr>
              <w:pStyle w:val="NoSpacing"/>
              <w:rPr>
                <w:lang w:val="ro-RO"/>
              </w:rPr>
            </w:pPr>
            <w:r w:rsidRPr="008B2D10">
              <w:rPr>
                <w:lang w:val="it-IT"/>
              </w:rPr>
              <w:t xml:space="preserve">casa); </w:t>
            </w:r>
            <w:r w:rsidRPr="008B2D10">
              <w:rPr>
                <w:lang w:val="ro-RO"/>
              </w:rPr>
              <w:t>nivel ridicat de infestare (aprox. 189 soareci).</w:t>
            </w:r>
          </w:p>
          <w:p w:rsidR="00112FCC" w:rsidRPr="008B2D10" w:rsidRDefault="00112FCC" w:rsidP="008B2D10">
            <w:pPr>
              <w:pStyle w:val="NoSpacing"/>
              <w:rPr>
                <w:lang w:val="ro-RO"/>
              </w:rPr>
            </w:pPr>
          </w:p>
        </w:tc>
        <w:tc>
          <w:tcPr>
            <w:tcW w:w="1843" w:type="dxa"/>
            <w:shd w:val="clear" w:color="auto" w:fill="auto"/>
          </w:tcPr>
          <w:p w:rsidR="00112FCC" w:rsidRPr="008B2D10" w:rsidRDefault="00112FCC" w:rsidP="008B2D10">
            <w:pPr>
              <w:pStyle w:val="NoSpacing"/>
              <w:rPr>
                <w:lang w:val="ro-RO"/>
              </w:rPr>
            </w:pPr>
            <w:r w:rsidRPr="008B2D10">
              <w:rPr>
                <w:lang w:val="ro-RO"/>
              </w:rPr>
              <w:t>55 statii de intoxicare; 14 g momeala / statie. Perioada  tratamentului: 24 de zile.</w:t>
            </w:r>
          </w:p>
        </w:tc>
        <w:tc>
          <w:tcPr>
            <w:tcW w:w="1559" w:type="dxa"/>
            <w:shd w:val="clear" w:color="auto" w:fill="auto"/>
          </w:tcPr>
          <w:p w:rsidR="00112FCC" w:rsidRPr="008B2D10" w:rsidRDefault="00112FCC" w:rsidP="008B2D10">
            <w:pPr>
              <w:pStyle w:val="NoSpacing"/>
              <w:rPr>
                <w:lang w:val="ro-RO"/>
              </w:rPr>
            </w:pPr>
            <w:r w:rsidRPr="008B2D10">
              <w:rPr>
                <w:lang w:val="ro-RO"/>
              </w:rPr>
              <w:t>Mortalitate calculata 97,3%.</w:t>
            </w:r>
          </w:p>
          <w:p w:rsidR="00112FCC" w:rsidRPr="008B2D10" w:rsidRDefault="00112FCC" w:rsidP="008B2D10">
            <w:pPr>
              <w:pStyle w:val="NoSpacing"/>
              <w:rPr>
                <w:lang w:val="ro-RO"/>
              </w:rPr>
            </w:pPr>
          </w:p>
        </w:tc>
      </w:tr>
      <w:tr w:rsidR="00112FCC" w:rsidRPr="008B2D10" w:rsidTr="00613F4A">
        <w:tc>
          <w:tcPr>
            <w:tcW w:w="1985" w:type="dxa"/>
            <w:shd w:val="clear" w:color="auto" w:fill="auto"/>
          </w:tcPr>
          <w:p w:rsidR="00112FCC" w:rsidRPr="008B2D10" w:rsidRDefault="00112FCC" w:rsidP="008B2D10">
            <w:pPr>
              <w:pStyle w:val="NoSpacing"/>
              <w:rPr>
                <w:lang w:val="ro-RO"/>
              </w:rPr>
            </w:pPr>
            <w:r w:rsidRPr="008B2D10">
              <w:rPr>
                <w:lang w:val="ro-RO"/>
              </w:rPr>
              <w:t>(12) Evaluarea eficacitatii</w:t>
            </w:r>
          </w:p>
          <w:p w:rsidR="00112FCC" w:rsidRPr="008B2D10" w:rsidRDefault="00112FCC" w:rsidP="008B2D10">
            <w:pPr>
              <w:pStyle w:val="NoSpacing"/>
              <w:rPr>
                <w:lang w:val="ro-RO"/>
              </w:rPr>
            </w:pPr>
            <w:r w:rsidRPr="008B2D10">
              <w:rPr>
                <w:lang w:val="ro-RO"/>
              </w:rPr>
              <w:t>biocide</w:t>
            </w:r>
          </w:p>
        </w:tc>
        <w:tc>
          <w:tcPr>
            <w:tcW w:w="2693" w:type="dxa"/>
            <w:shd w:val="clear" w:color="auto" w:fill="auto"/>
          </w:tcPr>
          <w:p w:rsidR="00112FCC" w:rsidRPr="008B2D10" w:rsidRDefault="00112FCC" w:rsidP="008B2D10">
            <w:pPr>
              <w:pStyle w:val="NoSpacing"/>
            </w:pPr>
            <w:r w:rsidRPr="008B2D10">
              <w:t>Test de hranire la alegere – in teren, 2 ferme; durata  tratamentului – 8 saptamani pentru ferma 1 si 6 saptamani pentru ferma 2</w:t>
            </w:r>
          </w:p>
        </w:tc>
        <w:tc>
          <w:tcPr>
            <w:tcW w:w="1843" w:type="dxa"/>
            <w:shd w:val="clear" w:color="auto" w:fill="auto"/>
          </w:tcPr>
          <w:p w:rsidR="00112FCC" w:rsidRPr="008B2D10" w:rsidRDefault="00112FCC" w:rsidP="008B2D10">
            <w:pPr>
              <w:pStyle w:val="NoSpacing"/>
              <w:rPr>
                <w:lang w:val="ro-RO"/>
              </w:rPr>
            </w:pPr>
            <w:r w:rsidRPr="008B2D10">
              <w:rPr>
                <w:i/>
                <w:lang w:val="ro-RO"/>
              </w:rPr>
              <w:t xml:space="preserve">Rattus norvegicus L. </w:t>
            </w:r>
            <w:r w:rsidRPr="008B2D10">
              <w:rPr>
                <w:lang w:val="ro-RO"/>
              </w:rPr>
              <w:t>(sobolanul cenusiu) rezistent la warfarina (rezistenta 80% caracterizata de gene Y139C).</w:t>
            </w:r>
          </w:p>
          <w:p w:rsidR="00112FCC" w:rsidRPr="008B2D10" w:rsidRDefault="00112FCC" w:rsidP="008B2D10">
            <w:pPr>
              <w:pStyle w:val="NoSpacing"/>
              <w:rPr>
                <w:lang w:val="ro-RO"/>
              </w:rPr>
            </w:pPr>
          </w:p>
        </w:tc>
        <w:tc>
          <w:tcPr>
            <w:tcW w:w="1843" w:type="dxa"/>
            <w:shd w:val="clear" w:color="auto" w:fill="auto"/>
          </w:tcPr>
          <w:p w:rsidR="00112FCC" w:rsidRPr="008B2D10" w:rsidRDefault="00112FCC" w:rsidP="008B2D10">
            <w:pPr>
              <w:pStyle w:val="NoSpacing"/>
              <w:rPr>
                <w:lang w:val="ro-RO"/>
              </w:rPr>
            </w:pPr>
            <w:r w:rsidRPr="008B2D10">
              <w:rPr>
                <w:lang w:val="ro-RO"/>
              </w:rPr>
              <w:t>Statiile de intoxicare – reumplute de 2 ori in prima saptamana, apoi saptamanal (50 g momeala / statie).</w:t>
            </w:r>
          </w:p>
        </w:tc>
        <w:tc>
          <w:tcPr>
            <w:tcW w:w="1559" w:type="dxa"/>
            <w:shd w:val="clear" w:color="auto" w:fill="auto"/>
          </w:tcPr>
          <w:p w:rsidR="00112FCC" w:rsidRPr="008B2D10" w:rsidRDefault="00112FCC" w:rsidP="008B2D10">
            <w:pPr>
              <w:pStyle w:val="NoSpacing"/>
              <w:rPr>
                <w:lang w:val="ro-RO"/>
              </w:rPr>
            </w:pPr>
            <w:r w:rsidRPr="008B2D10">
              <w:rPr>
                <w:lang w:val="ro-RO"/>
              </w:rPr>
              <w:t xml:space="preserve">Ferma 1: infestarea a fost redusa cu &gt;90% (conform consumului de momeala) si cu &gt;80% (conform evaluarii activitatii) in ziua 46. </w:t>
            </w:r>
          </w:p>
          <w:p w:rsidR="00112FCC" w:rsidRPr="008B2D10" w:rsidRDefault="00112FCC" w:rsidP="008B2D10">
            <w:pPr>
              <w:pStyle w:val="NoSpacing"/>
              <w:rPr>
                <w:lang w:val="ro-RO"/>
              </w:rPr>
            </w:pPr>
            <w:r w:rsidRPr="008B2D10">
              <w:rPr>
                <w:lang w:val="ro-RO"/>
              </w:rPr>
              <w:t>Ferma 2: combatere completa dupa 6 saptamani.</w:t>
            </w:r>
          </w:p>
        </w:tc>
      </w:tr>
      <w:tr w:rsidR="00613F4A" w:rsidRPr="008B2D10" w:rsidTr="00613F4A">
        <w:tc>
          <w:tcPr>
            <w:tcW w:w="1985" w:type="dxa"/>
            <w:shd w:val="clear" w:color="auto" w:fill="auto"/>
          </w:tcPr>
          <w:p w:rsidR="00613F4A" w:rsidRPr="008B2D10" w:rsidRDefault="00613F4A" w:rsidP="008B2D10">
            <w:pPr>
              <w:pStyle w:val="NoSpacing"/>
              <w:rPr>
                <w:lang w:val="ro-RO"/>
              </w:rPr>
            </w:pPr>
            <w:r w:rsidRPr="008B2D10">
              <w:rPr>
                <w:lang w:val="ro-RO"/>
              </w:rPr>
              <w:t>(13) Evaluarea eficacitatii</w:t>
            </w:r>
          </w:p>
          <w:p w:rsidR="00613F4A" w:rsidRPr="008B2D10" w:rsidRDefault="00613F4A" w:rsidP="008B2D10">
            <w:pPr>
              <w:pStyle w:val="NoSpacing"/>
              <w:rPr>
                <w:lang w:val="ro-RO"/>
              </w:rPr>
            </w:pPr>
            <w:r w:rsidRPr="008B2D10">
              <w:rPr>
                <w:lang w:val="ro-RO"/>
              </w:rPr>
              <w:t>biocide</w:t>
            </w:r>
          </w:p>
        </w:tc>
        <w:tc>
          <w:tcPr>
            <w:tcW w:w="2693" w:type="dxa"/>
            <w:shd w:val="clear" w:color="auto" w:fill="auto"/>
          </w:tcPr>
          <w:p w:rsidR="00613F4A" w:rsidRPr="008B2D10" w:rsidRDefault="00613F4A" w:rsidP="008B2D10">
            <w:pPr>
              <w:pStyle w:val="NoSpacing"/>
            </w:pPr>
            <w:r w:rsidRPr="008B2D10">
              <w:t>-Test in teren desfasurat conform unor metode similare Capitolului 7 si Anexelor din TNsG si EPPO 1999</w:t>
            </w:r>
          </w:p>
          <w:p w:rsidR="00613F4A" w:rsidRPr="008B2D10" w:rsidRDefault="00613F4A" w:rsidP="008B2D10">
            <w:pPr>
              <w:pStyle w:val="NoSpacing"/>
            </w:pPr>
            <w:r w:rsidRPr="008B2D10">
              <w:t xml:space="preserve">Test de hranire la alegere </w:t>
            </w:r>
            <w:r w:rsidRPr="008B2D10">
              <w:lastRenderedPageBreak/>
              <w:t>(momeala Talon Pellets similara cu Klerat Pellets / hrana pentru pui) – in teren, in locatii apropiate, in interior si exterior; durata  tratamentului – 8 zile</w:t>
            </w:r>
          </w:p>
        </w:tc>
        <w:tc>
          <w:tcPr>
            <w:tcW w:w="1843" w:type="dxa"/>
            <w:shd w:val="clear" w:color="auto" w:fill="auto"/>
          </w:tcPr>
          <w:p w:rsidR="00613F4A" w:rsidRPr="008B2D10" w:rsidRDefault="00613F4A" w:rsidP="008B2D10">
            <w:pPr>
              <w:pStyle w:val="NoSpacing"/>
              <w:rPr>
                <w:lang w:val="ro-RO"/>
              </w:rPr>
            </w:pPr>
            <w:r w:rsidRPr="008B2D10">
              <w:rPr>
                <w:i/>
                <w:lang w:val="ro-RO"/>
              </w:rPr>
              <w:lastRenderedPageBreak/>
              <w:t>Rattus norvegicus</w:t>
            </w:r>
            <w:r w:rsidRPr="008B2D10">
              <w:rPr>
                <w:lang w:val="ro-RO"/>
              </w:rPr>
              <w:t xml:space="preserve"> (sobolanul cenusiu); nivel mediu de infestare (aprox. </w:t>
            </w:r>
            <w:r w:rsidRPr="008B2D10">
              <w:rPr>
                <w:lang w:val="ro-RO"/>
              </w:rPr>
              <w:lastRenderedPageBreak/>
              <w:t>50-100 sobolani / locatie).</w:t>
            </w:r>
          </w:p>
          <w:p w:rsidR="00613F4A" w:rsidRPr="008B2D10" w:rsidRDefault="00613F4A" w:rsidP="008B2D10">
            <w:pPr>
              <w:pStyle w:val="NoSpacing"/>
              <w:rPr>
                <w:lang w:val="ro-RO"/>
              </w:rPr>
            </w:pPr>
          </w:p>
          <w:p w:rsidR="00613F4A" w:rsidRPr="008B2D10" w:rsidRDefault="00613F4A" w:rsidP="008B2D10">
            <w:pPr>
              <w:pStyle w:val="NoSpacing"/>
              <w:rPr>
                <w:lang w:val="ro-RO"/>
              </w:rPr>
            </w:pPr>
          </w:p>
        </w:tc>
        <w:tc>
          <w:tcPr>
            <w:tcW w:w="1843" w:type="dxa"/>
            <w:shd w:val="clear" w:color="auto" w:fill="auto"/>
          </w:tcPr>
          <w:p w:rsidR="00613F4A" w:rsidRPr="008B2D10" w:rsidRDefault="00613F4A" w:rsidP="008B2D10">
            <w:pPr>
              <w:pStyle w:val="NoSpacing"/>
              <w:rPr>
                <w:lang w:val="ro-RO"/>
              </w:rPr>
            </w:pPr>
            <w:r w:rsidRPr="008B2D10">
              <w:rPr>
                <w:lang w:val="ro-RO"/>
              </w:rPr>
              <w:lastRenderedPageBreak/>
              <w:t xml:space="preserve">60 statii de intoxicare (din care 3 martor); 40 statii de intoxicare (2 martor) – in </w:t>
            </w:r>
            <w:r w:rsidRPr="008B2D10">
              <w:rPr>
                <w:lang w:val="ro-RO"/>
              </w:rPr>
              <w:lastRenderedPageBreak/>
              <w:t xml:space="preserve">interior, cu 100 g  momeala / hrana / statie. </w:t>
            </w:r>
          </w:p>
          <w:p w:rsidR="00613F4A" w:rsidRPr="008B2D10" w:rsidRDefault="00613F4A" w:rsidP="008B2D10">
            <w:pPr>
              <w:pStyle w:val="NoSpacing"/>
              <w:rPr>
                <w:lang w:val="ro-RO"/>
              </w:rPr>
            </w:pPr>
            <w:r w:rsidRPr="008B2D10">
              <w:rPr>
                <w:lang w:val="ro-RO"/>
              </w:rPr>
              <w:t>20 statii de intoxicare (1 martor) – in exterior, cu 200 g  momeala/hrana/</w:t>
            </w:r>
          </w:p>
          <w:p w:rsidR="00613F4A" w:rsidRPr="008B2D10" w:rsidRDefault="00613F4A" w:rsidP="008B2D10">
            <w:pPr>
              <w:pStyle w:val="NoSpacing"/>
              <w:rPr>
                <w:lang w:val="ro-RO"/>
              </w:rPr>
            </w:pPr>
            <w:r w:rsidRPr="008B2D10">
              <w:rPr>
                <w:lang w:val="ro-RO"/>
              </w:rPr>
              <w:t>statie.</w:t>
            </w:r>
          </w:p>
        </w:tc>
        <w:tc>
          <w:tcPr>
            <w:tcW w:w="1559" w:type="dxa"/>
            <w:shd w:val="clear" w:color="auto" w:fill="auto"/>
          </w:tcPr>
          <w:p w:rsidR="00613F4A" w:rsidRPr="008B2D10" w:rsidRDefault="00613F4A" w:rsidP="008B2D10">
            <w:pPr>
              <w:pStyle w:val="NoSpacing"/>
              <w:rPr>
                <w:lang w:val="ro-RO"/>
              </w:rPr>
            </w:pPr>
            <w:r w:rsidRPr="008B2D10">
              <w:rPr>
                <w:lang w:val="ro-RO"/>
              </w:rPr>
              <w:lastRenderedPageBreak/>
              <w:t>Consumul de momeala s-a redus cu 96%, iar activitatea cu 78%.</w:t>
            </w:r>
          </w:p>
        </w:tc>
      </w:tr>
      <w:tr w:rsidR="00613F4A" w:rsidRPr="008B2D10" w:rsidTr="00613F4A">
        <w:tc>
          <w:tcPr>
            <w:tcW w:w="1985" w:type="dxa"/>
            <w:shd w:val="clear" w:color="auto" w:fill="auto"/>
          </w:tcPr>
          <w:p w:rsidR="00613F4A" w:rsidRPr="008B2D10" w:rsidRDefault="00613F4A" w:rsidP="008B2D10">
            <w:pPr>
              <w:pStyle w:val="NoSpacing"/>
              <w:rPr>
                <w:lang w:val="ro-RO"/>
              </w:rPr>
            </w:pPr>
            <w:r w:rsidRPr="008B2D10">
              <w:rPr>
                <w:lang w:val="ro-RO"/>
              </w:rPr>
              <w:lastRenderedPageBreak/>
              <w:t>(14) Evaluarea eficacitatii</w:t>
            </w:r>
          </w:p>
          <w:p w:rsidR="00613F4A" w:rsidRPr="008B2D10" w:rsidRDefault="00613F4A" w:rsidP="008B2D10">
            <w:pPr>
              <w:pStyle w:val="NoSpacing"/>
              <w:rPr>
                <w:lang w:val="ro-RO"/>
              </w:rPr>
            </w:pPr>
            <w:r w:rsidRPr="008B2D10">
              <w:rPr>
                <w:lang w:val="ro-RO"/>
              </w:rPr>
              <w:t>biocide</w:t>
            </w:r>
          </w:p>
        </w:tc>
        <w:tc>
          <w:tcPr>
            <w:tcW w:w="2693" w:type="dxa"/>
            <w:shd w:val="clear" w:color="auto" w:fill="auto"/>
          </w:tcPr>
          <w:p w:rsidR="00613F4A" w:rsidRPr="008B2D10" w:rsidRDefault="00613F4A" w:rsidP="008B2D10">
            <w:pPr>
              <w:pStyle w:val="NoSpacing"/>
            </w:pPr>
            <w:r w:rsidRPr="008B2D10">
              <w:t>-Test in teren desfasurat conform unor metode similare Capitolului 7 si Anexelor din TNsG si EPPO 1999</w:t>
            </w:r>
          </w:p>
          <w:p w:rsidR="00613F4A" w:rsidRPr="008B2D10" w:rsidRDefault="00613F4A" w:rsidP="008B2D10">
            <w:pPr>
              <w:pStyle w:val="NoSpacing"/>
            </w:pPr>
            <w:r w:rsidRPr="008B2D10">
              <w:t>Test de hranire la alegere (momeala Talon Pellets similara cu Klerat Pellets) – in teren; durata tratamentului – 10 zile</w:t>
            </w:r>
          </w:p>
        </w:tc>
        <w:tc>
          <w:tcPr>
            <w:tcW w:w="1843" w:type="dxa"/>
            <w:shd w:val="clear" w:color="auto" w:fill="auto"/>
          </w:tcPr>
          <w:p w:rsidR="00613F4A" w:rsidRPr="008B2D10" w:rsidRDefault="00613F4A" w:rsidP="008B2D10">
            <w:pPr>
              <w:pStyle w:val="NoSpacing"/>
              <w:rPr>
                <w:lang w:val="ro-RO"/>
              </w:rPr>
            </w:pPr>
            <w:r w:rsidRPr="008B2D10">
              <w:rPr>
                <w:i/>
                <w:lang w:val="ro-RO"/>
              </w:rPr>
              <w:t>Rattus norvegicus</w:t>
            </w:r>
            <w:r w:rsidRPr="008B2D10">
              <w:rPr>
                <w:lang w:val="ro-RO"/>
              </w:rPr>
              <w:t xml:space="preserve"> (sobolanul cenusiu); nivel scazut de infestare (aprox. 30+ sobolani / locatie).</w:t>
            </w:r>
          </w:p>
          <w:p w:rsidR="00613F4A" w:rsidRPr="008B2D10" w:rsidRDefault="00613F4A" w:rsidP="008B2D10">
            <w:pPr>
              <w:pStyle w:val="NoSpacing"/>
              <w:rPr>
                <w:lang w:val="ro-RO"/>
              </w:rPr>
            </w:pPr>
          </w:p>
        </w:tc>
        <w:tc>
          <w:tcPr>
            <w:tcW w:w="1843" w:type="dxa"/>
            <w:shd w:val="clear" w:color="auto" w:fill="auto"/>
          </w:tcPr>
          <w:p w:rsidR="00613F4A" w:rsidRPr="008B2D10" w:rsidRDefault="00613F4A" w:rsidP="008B2D10">
            <w:pPr>
              <w:pStyle w:val="NoSpacing"/>
              <w:rPr>
                <w:lang w:val="ro-RO"/>
              </w:rPr>
            </w:pPr>
            <w:r w:rsidRPr="008B2D10">
              <w:rPr>
                <w:lang w:val="ro-RO"/>
              </w:rPr>
              <w:t>18 statii de intoxicare; 200 g momeala / statie.</w:t>
            </w:r>
          </w:p>
        </w:tc>
        <w:tc>
          <w:tcPr>
            <w:tcW w:w="1559" w:type="dxa"/>
            <w:shd w:val="clear" w:color="auto" w:fill="auto"/>
          </w:tcPr>
          <w:p w:rsidR="00613F4A" w:rsidRPr="008B2D10" w:rsidRDefault="00613F4A" w:rsidP="008B2D10">
            <w:pPr>
              <w:pStyle w:val="NoSpacing"/>
              <w:rPr>
                <w:lang w:val="ro-RO"/>
              </w:rPr>
            </w:pPr>
            <w:r w:rsidRPr="008B2D10">
              <w:rPr>
                <w:lang w:val="ro-RO"/>
              </w:rPr>
              <w:t>Consumul de momeala s-a redus cu 92%, iar activitatea cu 84%.</w:t>
            </w:r>
          </w:p>
        </w:tc>
      </w:tr>
      <w:tr w:rsidR="00613F4A" w:rsidRPr="008B2D10" w:rsidTr="00613F4A">
        <w:tc>
          <w:tcPr>
            <w:tcW w:w="1985" w:type="dxa"/>
            <w:shd w:val="clear" w:color="auto" w:fill="auto"/>
          </w:tcPr>
          <w:p w:rsidR="00613F4A" w:rsidRPr="008B2D10" w:rsidRDefault="00613F4A" w:rsidP="008B2D10">
            <w:pPr>
              <w:pStyle w:val="NoSpacing"/>
              <w:rPr>
                <w:lang w:val="ro-RO"/>
              </w:rPr>
            </w:pPr>
            <w:r w:rsidRPr="008B2D10">
              <w:rPr>
                <w:lang w:val="ro-RO"/>
              </w:rPr>
              <w:t>(15) Evaluarea eficacitatii</w:t>
            </w:r>
          </w:p>
          <w:p w:rsidR="00613F4A" w:rsidRPr="008B2D10" w:rsidRDefault="00613F4A" w:rsidP="008B2D10">
            <w:pPr>
              <w:pStyle w:val="NoSpacing"/>
              <w:rPr>
                <w:lang w:val="ro-RO"/>
              </w:rPr>
            </w:pPr>
            <w:r w:rsidRPr="008B2D10">
              <w:rPr>
                <w:lang w:val="ro-RO"/>
              </w:rPr>
              <w:t>biocide</w:t>
            </w:r>
          </w:p>
        </w:tc>
        <w:tc>
          <w:tcPr>
            <w:tcW w:w="2693" w:type="dxa"/>
            <w:shd w:val="clear" w:color="auto" w:fill="auto"/>
          </w:tcPr>
          <w:p w:rsidR="00613F4A" w:rsidRPr="008B2D10" w:rsidRDefault="00613F4A" w:rsidP="008B2D10">
            <w:pPr>
              <w:pStyle w:val="NoSpacing"/>
            </w:pPr>
            <w:r w:rsidRPr="008B2D10">
              <w:t>-Test in teren desfasurat conform unor metode similare Capitolului 7 si Anexelor din TNsG si EPPO 1999</w:t>
            </w:r>
          </w:p>
          <w:p w:rsidR="00613F4A" w:rsidRPr="008B2D10" w:rsidRDefault="00613F4A" w:rsidP="008B2D10">
            <w:pPr>
              <w:pStyle w:val="NoSpacing"/>
            </w:pPr>
            <w:r w:rsidRPr="008B2D10">
              <w:t>Test de hranire la alegere (momeala Talon Pellets similara cu Klerat Pellets) – in teren, in locatii apropiate; durata tratamentului – 11 zile</w:t>
            </w:r>
          </w:p>
        </w:tc>
        <w:tc>
          <w:tcPr>
            <w:tcW w:w="1843" w:type="dxa"/>
            <w:shd w:val="clear" w:color="auto" w:fill="auto"/>
          </w:tcPr>
          <w:p w:rsidR="00613F4A" w:rsidRPr="008B2D10" w:rsidRDefault="00613F4A" w:rsidP="008B2D10">
            <w:pPr>
              <w:pStyle w:val="NoSpacing"/>
              <w:rPr>
                <w:lang w:val="ro-RO"/>
              </w:rPr>
            </w:pPr>
            <w:r w:rsidRPr="008B2D10">
              <w:rPr>
                <w:i/>
                <w:lang w:val="ro-RO"/>
              </w:rPr>
              <w:t>Rattus norvegicus</w:t>
            </w:r>
            <w:r w:rsidRPr="008B2D10">
              <w:rPr>
                <w:lang w:val="ro-RO"/>
              </w:rPr>
              <w:t xml:space="preserve"> (sobolanul cenusiu); </w:t>
            </w:r>
          </w:p>
          <w:p w:rsidR="00613F4A" w:rsidRPr="008B2D10" w:rsidRDefault="00613F4A" w:rsidP="008B2D10">
            <w:pPr>
              <w:pStyle w:val="NoSpacing"/>
              <w:rPr>
                <w:lang w:val="ro-RO"/>
              </w:rPr>
            </w:pPr>
            <w:r w:rsidRPr="008B2D10">
              <w:rPr>
                <w:lang w:val="ro-RO"/>
              </w:rPr>
              <w:t>Mus musculus (soarece de casa);</w:t>
            </w:r>
          </w:p>
          <w:p w:rsidR="00613F4A" w:rsidRPr="008B2D10" w:rsidRDefault="00613F4A" w:rsidP="008B2D10">
            <w:pPr>
              <w:pStyle w:val="NoSpacing"/>
              <w:rPr>
                <w:lang w:val="ro-RO"/>
              </w:rPr>
            </w:pPr>
            <w:r w:rsidRPr="008B2D10">
              <w:rPr>
                <w:lang w:val="ro-RO"/>
              </w:rPr>
              <w:t>nivel scazut spre mediu de infestare (aprox. 10-50 sobolani si 10-50 soareci).</w:t>
            </w:r>
          </w:p>
        </w:tc>
        <w:tc>
          <w:tcPr>
            <w:tcW w:w="1843" w:type="dxa"/>
            <w:shd w:val="clear" w:color="auto" w:fill="auto"/>
          </w:tcPr>
          <w:p w:rsidR="00613F4A" w:rsidRPr="008B2D10" w:rsidRDefault="00613F4A" w:rsidP="008B2D10">
            <w:pPr>
              <w:pStyle w:val="NoSpacing"/>
              <w:rPr>
                <w:lang w:val="ro-RO"/>
              </w:rPr>
            </w:pPr>
            <w:r w:rsidRPr="008B2D10">
              <w:rPr>
                <w:lang w:val="ro-RO"/>
              </w:rPr>
              <w:t>35 statii de intoxicare; 100 g momeala / statie.</w:t>
            </w:r>
          </w:p>
        </w:tc>
        <w:tc>
          <w:tcPr>
            <w:tcW w:w="1559" w:type="dxa"/>
            <w:shd w:val="clear" w:color="auto" w:fill="auto"/>
          </w:tcPr>
          <w:p w:rsidR="00613F4A" w:rsidRPr="008B2D10" w:rsidRDefault="00613F4A" w:rsidP="008B2D10">
            <w:pPr>
              <w:pStyle w:val="NoSpacing"/>
              <w:rPr>
                <w:lang w:val="ro-RO"/>
              </w:rPr>
            </w:pPr>
            <w:r w:rsidRPr="008B2D10">
              <w:rPr>
                <w:lang w:val="ro-RO"/>
              </w:rPr>
              <w:t>Consumul de momeala s-a redus cu 94%</w:t>
            </w:r>
          </w:p>
        </w:tc>
      </w:tr>
      <w:tr w:rsidR="002C121A" w:rsidRPr="008B2D10" w:rsidTr="00613F4A">
        <w:tc>
          <w:tcPr>
            <w:tcW w:w="1985" w:type="dxa"/>
            <w:shd w:val="clear" w:color="auto" w:fill="auto"/>
          </w:tcPr>
          <w:p w:rsidR="002C121A" w:rsidRPr="008B2D10" w:rsidRDefault="002C121A" w:rsidP="008B2D10">
            <w:pPr>
              <w:pStyle w:val="NoSpacing"/>
              <w:rPr>
                <w:lang w:val="ro-RO"/>
              </w:rPr>
            </w:pPr>
            <w:r w:rsidRPr="008B2D10">
              <w:rPr>
                <w:lang w:val="ro-RO"/>
              </w:rPr>
              <w:t>(16) Evaluarea eficacitatii</w:t>
            </w:r>
          </w:p>
          <w:p w:rsidR="002C121A" w:rsidRPr="008B2D10" w:rsidRDefault="002C121A" w:rsidP="008B2D10">
            <w:pPr>
              <w:pStyle w:val="NoSpacing"/>
              <w:rPr>
                <w:lang w:val="ro-RO"/>
              </w:rPr>
            </w:pPr>
            <w:r w:rsidRPr="008B2D10">
              <w:rPr>
                <w:lang w:val="ro-RO"/>
              </w:rPr>
              <w:t>biocide</w:t>
            </w:r>
          </w:p>
        </w:tc>
        <w:tc>
          <w:tcPr>
            <w:tcW w:w="2693" w:type="dxa"/>
            <w:shd w:val="clear" w:color="auto" w:fill="auto"/>
          </w:tcPr>
          <w:p w:rsidR="002C121A" w:rsidRPr="008B2D10" w:rsidRDefault="002C121A" w:rsidP="008B2D10">
            <w:pPr>
              <w:pStyle w:val="NoSpacing"/>
            </w:pPr>
            <w:r w:rsidRPr="008B2D10">
              <w:t>-Test in teren desfasurat conform unor metode similare Capitolului 7 si Anexelor din TNsG si EPPO 1999</w:t>
            </w:r>
          </w:p>
          <w:p w:rsidR="002C121A" w:rsidRPr="008B2D10" w:rsidRDefault="002C121A" w:rsidP="008B2D10">
            <w:pPr>
              <w:pStyle w:val="NoSpacing"/>
            </w:pPr>
            <w:r w:rsidRPr="008B2D10">
              <w:t xml:space="preserve">Test de hranire la alegere (momeala Talon Pellets similara cu Klerat Pellets) – in teren (3 zone </w:t>
            </w:r>
            <w:r w:rsidRPr="008B2D10">
              <w:lastRenderedPageBreak/>
              <w:t>din Chicago); durata tratamentului – 35 zile</w:t>
            </w:r>
          </w:p>
        </w:tc>
        <w:tc>
          <w:tcPr>
            <w:tcW w:w="1843" w:type="dxa"/>
            <w:shd w:val="clear" w:color="auto" w:fill="auto"/>
          </w:tcPr>
          <w:p w:rsidR="002C121A" w:rsidRPr="008B2D10" w:rsidRDefault="002C121A" w:rsidP="008B2D10">
            <w:pPr>
              <w:pStyle w:val="NoSpacing"/>
              <w:rPr>
                <w:lang w:val="ro-RO"/>
              </w:rPr>
            </w:pPr>
            <w:r w:rsidRPr="008B2D10">
              <w:rPr>
                <w:i/>
                <w:lang w:val="ro-RO"/>
              </w:rPr>
              <w:lastRenderedPageBreak/>
              <w:t>Rattus norvegicus</w:t>
            </w:r>
            <w:r w:rsidRPr="008B2D10">
              <w:rPr>
                <w:lang w:val="ro-RO"/>
              </w:rPr>
              <w:t xml:space="preserve"> (sobolanul cenusiu); nivel foarte ridicat de infestare (nu a fost determinat numarul sobolanilor)</w:t>
            </w:r>
          </w:p>
          <w:p w:rsidR="002C121A" w:rsidRPr="008B2D10" w:rsidRDefault="002C121A" w:rsidP="008B2D10">
            <w:pPr>
              <w:pStyle w:val="NoSpacing"/>
              <w:rPr>
                <w:lang w:val="ro-RO"/>
              </w:rPr>
            </w:pPr>
            <w:r w:rsidRPr="008B2D10">
              <w:rPr>
                <w:lang w:val="ro-RO"/>
              </w:rPr>
              <w:lastRenderedPageBreak/>
              <w:t>S-au facut teste pe 320 sobolani, din care 208 (65%) prezentau rezistenta la raticidele anticoagulante conventionale.</w:t>
            </w:r>
          </w:p>
          <w:p w:rsidR="002C121A" w:rsidRPr="008B2D10" w:rsidRDefault="002C121A" w:rsidP="008B2D10">
            <w:pPr>
              <w:pStyle w:val="NoSpacing"/>
              <w:rPr>
                <w:lang w:val="ro-RO"/>
              </w:rPr>
            </w:pPr>
            <w:r w:rsidRPr="008B2D10">
              <w:rPr>
                <w:lang w:val="ro-RO"/>
              </w:rPr>
              <w:t xml:space="preserve">Locatia 3: 178 animale testate, din care 126 (71%) - rezistenti  </w:t>
            </w:r>
          </w:p>
        </w:tc>
        <w:tc>
          <w:tcPr>
            <w:tcW w:w="1843" w:type="dxa"/>
            <w:shd w:val="clear" w:color="auto" w:fill="auto"/>
          </w:tcPr>
          <w:p w:rsidR="002C121A" w:rsidRPr="008B2D10" w:rsidRDefault="002C121A" w:rsidP="008B2D10">
            <w:pPr>
              <w:pStyle w:val="NoSpacing"/>
              <w:rPr>
                <w:lang w:val="ro-RO"/>
              </w:rPr>
            </w:pPr>
            <w:r w:rsidRPr="008B2D10">
              <w:rPr>
                <w:lang w:val="ro-RO"/>
              </w:rPr>
              <w:lastRenderedPageBreak/>
              <w:t xml:space="preserve">S-au amplasat 31 kg momeala in locatie, in peste 500 de culcusuri . Cel putin 2 linguri (masuri) (56 g) momeala s-au aplicat in fiecare </w:t>
            </w:r>
            <w:r w:rsidRPr="008B2D10">
              <w:rPr>
                <w:lang w:val="ro-RO"/>
              </w:rPr>
              <w:lastRenderedPageBreak/>
              <w:t xml:space="preserve">culcus, in timpul a 3 tratamente: dupa 5 zile, dupa inca 17 zile si dupa 31 zile. </w:t>
            </w:r>
          </w:p>
        </w:tc>
        <w:tc>
          <w:tcPr>
            <w:tcW w:w="1559" w:type="dxa"/>
            <w:shd w:val="clear" w:color="auto" w:fill="auto"/>
          </w:tcPr>
          <w:p w:rsidR="002C121A" w:rsidRPr="008B2D10" w:rsidRDefault="002C121A" w:rsidP="008B2D10">
            <w:pPr>
              <w:pStyle w:val="NoSpacing"/>
              <w:rPr>
                <w:lang w:val="ro-RO"/>
              </w:rPr>
            </w:pPr>
            <w:r w:rsidRPr="008B2D10">
              <w:rPr>
                <w:lang w:val="ro-RO"/>
              </w:rPr>
              <w:lastRenderedPageBreak/>
              <w:t xml:space="preserve">Activitatea in jurul culcusurilor s-a redus in medie cu 78% (ceea ce poate fi considerat un rezultat foarte </w:t>
            </w:r>
            <w:r w:rsidRPr="008B2D10">
              <w:rPr>
                <w:lang w:val="ro-RO"/>
              </w:rPr>
              <w:lastRenderedPageBreak/>
              <w:t xml:space="preserve">bun, tinand cont de infestarea initiala, existenta unor surse de hrana alternativa, accesul limitat si locul in care a fost amplasata momeala)  </w:t>
            </w:r>
          </w:p>
        </w:tc>
      </w:tr>
      <w:tr w:rsidR="002C121A" w:rsidRPr="008B2D10" w:rsidTr="00613F4A">
        <w:tc>
          <w:tcPr>
            <w:tcW w:w="1985" w:type="dxa"/>
            <w:shd w:val="clear" w:color="auto" w:fill="auto"/>
          </w:tcPr>
          <w:p w:rsidR="002C121A" w:rsidRPr="008B2D10" w:rsidRDefault="002C121A" w:rsidP="008B2D10">
            <w:pPr>
              <w:pStyle w:val="NoSpacing"/>
              <w:rPr>
                <w:lang w:val="ro-RO"/>
              </w:rPr>
            </w:pPr>
            <w:r w:rsidRPr="008B2D10">
              <w:rPr>
                <w:lang w:val="ro-RO"/>
              </w:rPr>
              <w:lastRenderedPageBreak/>
              <w:t>(17) Evaluarea eficacitatii</w:t>
            </w:r>
          </w:p>
          <w:p w:rsidR="002C121A" w:rsidRPr="008B2D10" w:rsidRDefault="002C121A" w:rsidP="008B2D10">
            <w:pPr>
              <w:pStyle w:val="NoSpacing"/>
              <w:rPr>
                <w:lang w:val="ro-RO"/>
              </w:rPr>
            </w:pPr>
            <w:r w:rsidRPr="008B2D10">
              <w:rPr>
                <w:lang w:val="ro-RO"/>
              </w:rPr>
              <w:t>biocide</w:t>
            </w:r>
          </w:p>
        </w:tc>
        <w:tc>
          <w:tcPr>
            <w:tcW w:w="2693" w:type="dxa"/>
            <w:shd w:val="clear" w:color="auto" w:fill="auto"/>
          </w:tcPr>
          <w:p w:rsidR="002C121A" w:rsidRPr="008B2D10" w:rsidRDefault="002C121A" w:rsidP="008B2D10">
            <w:pPr>
              <w:pStyle w:val="NoSpacing"/>
            </w:pPr>
            <w:r w:rsidRPr="008B2D10">
              <w:t>Test de hranire la alegere – in teren; perioada de testare continua pana la mortalitate 100% sau consum momeala = 0 timp de 7 zile; 4 incercari</w:t>
            </w:r>
          </w:p>
        </w:tc>
        <w:tc>
          <w:tcPr>
            <w:tcW w:w="1843" w:type="dxa"/>
            <w:shd w:val="clear" w:color="auto" w:fill="auto"/>
          </w:tcPr>
          <w:p w:rsidR="002C121A" w:rsidRPr="008B2D10" w:rsidRDefault="002C121A" w:rsidP="008B2D10">
            <w:pPr>
              <w:pStyle w:val="NoSpacing"/>
              <w:rPr>
                <w:lang w:val="ro-RO"/>
              </w:rPr>
            </w:pPr>
            <w:r w:rsidRPr="008B2D10">
              <w:rPr>
                <w:i/>
                <w:lang w:val="ro-RO"/>
              </w:rPr>
              <w:t>Rattus rattus</w:t>
            </w:r>
            <w:r w:rsidRPr="008B2D10">
              <w:rPr>
                <w:lang w:val="ro-RO"/>
              </w:rPr>
              <w:t xml:space="preserve"> (sobolanul negru de acoperis)</w:t>
            </w:r>
          </w:p>
        </w:tc>
        <w:tc>
          <w:tcPr>
            <w:tcW w:w="1843" w:type="dxa"/>
            <w:shd w:val="clear" w:color="auto" w:fill="auto"/>
          </w:tcPr>
          <w:p w:rsidR="002C121A" w:rsidRPr="008B2D10" w:rsidRDefault="002C121A" w:rsidP="008B2D10">
            <w:pPr>
              <w:pStyle w:val="NoSpacing"/>
              <w:rPr>
                <w:lang w:val="ro-RO"/>
              </w:rPr>
            </w:pPr>
            <w:r w:rsidRPr="008B2D10">
              <w:rPr>
                <w:lang w:val="ro-RO"/>
              </w:rPr>
              <w:t xml:space="preserve">Consumul (150 g) a fost inregistrat timp de 3 zile (24 de ore) consecutiv, saptamanal. </w:t>
            </w:r>
          </w:p>
        </w:tc>
        <w:tc>
          <w:tcPr>
            <w:tcW w:w="1559" w:type="dxa"/>
            <w:shd w:val="clear" w:color="auto" w:fill="auto"/>
          </w:tcPr>
          <w:p w:rsidR="002C121A" w:rsidRPr="008B2D10" w:rsidRDefault="002C121A" w:rsidP="008B2D10">
            <w:pPr>
              <w:pStyle w:val="NoSpacing"/>
              <w:rPr>
                <w:lang w:val="ro-RO"/>
              </w:rPr>
            </w:pPr>
            <w:r w:rsidRPr="008B2D10">
              <w:rPr>
                <w:lang w:val="ro-RO"/>
              </w:rPr>
              <w:t>Motalitate 100% dupa 16 zile</w:t>
            </w:r>
          </w:p>
        </w:tc>
      </w:tr>
    </w:tbl>
    <w:p w:rsidR="00FE21AB" w:rsidRPr="008B2D10" w:rsidRDefault="00FE21AB" w:rsidP="008B2D10">
      <w:pPr>
        <w:pStyle w:val="NoSpacing"/>
        <w:rPr>
          <w:b/>
          <w:color w:val="000000"/>
          <w:sz w:val="16"/>
          <w:lang w:val="ro-RO"/>
        </w:rPr>
      </w:pPr>
    </w:p>
    <w:p w:rsidR="00B66405" w:rsidRPr="008B2D10" w:rsidRDefault="00B66405" w:rsidP="008B2D10">
      <w:pPr>
        <w:pStyle w:val="NoSpacing"/>
        <w:rPr>
          <w:b/>
          <w:color w:val="000000"/>
          <w:lang w:val="ro-RO"/>
        </w:rPr>
      </w:pPr>
      <w:r w:rsidRPr="008B2D10">
        <w:rPr>
          <w:b/>
          <w:color w:val="000000"/>
          <w:lang w:val="ro-RO"/>
        </w:rPr>
        <w:t xml:space="preserve">XIV. </w:t>
      </w:r>
      <w:r w:rsidR="004473D1" w:rsidRPr="008B2D10">
        <w:rPr>
          <w:b/>
          <w:lang w:val="ro-RO"/>
        </w:rPr>
        <w:t>INSTRUCTIUNILE  SI DOZELE DE APLICARE</w:t>
      </w:r>
      <w:r w:rsidR="004473D1" w:rsidRPr="008B2D10">
        <w:rPr>
          <w:lang w:val="ro-RO"/>
        </w:rPr>
        <w:t xml:space="preserve"> </w:t>
      </w:r>
      <w:r w:rsidR="00FE21AB" w:rsidRPr="008B2D10">
        <w:rPr>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B56AB" w:rsidRPr="008B2D10" w:rsidTr="00EB56AB">
        <w:tc>
          <w:tcPr>
            <w:tcW w:w="9923" w:type="dxa"/>
            <w:tcBorders>
              <w:top w:val="single" w:sz="4" w:space="0" w:color="auto"/>
              <w:left w:val="single" w:sz="4" w:space="0" w:color="auto"/>
              <w:bottom w:val="single" w:sz="4" w:space="0" w:color="auto"/>
              <w:right w:val="single" w:sz="4" w:space="0" w:color="auto"/>
            </w:tcBorders>
            <w:hideMark/>
          </w:tcPr>
          <w:p w:rsidR="00EB56AB" w:rsidRPr="008B2D10" w:rsidRDefault="00EB56AB" w:rsidP="008B2D10">
            <w:pPr>
              <w:pStyle w:val="NoSpacing"/>
              <w:rPr>
                <w:lang w:val="ro-RO"/>
              </w:rPr>
            </w:pPr>
            <w:r w:rsidRPr="008B2D10">
              <w:rPr>
                <w:color w:val="000000"/>
                <w:lang w:val="ro-RO"/>
              </w:rPr>
              <w:t xml:space="preserve">INSTRUCȚIUNILE SI </w:t>
            </w:r>
            <w:r w:rsidRPr="008B2D10">
              <w:rPr>
                <w:lang w:val="ro-RO"/>
              </w:rPr>
              <w:t xml:space="preserve">DOZELE DE APLICARE </w:t>
            </w:r>
          </w:p>
          <w:p w:rsidR="00EB56AB" w:rsidRPr="008B2D10" w:rsidRDefault="00EB56AB" w:rsidP="008B2D10">
            <w:pPr>
              <w:pStyle w:val="NoSpacing"/>
              <w:rPr>
                <w:u w:val="single"/>
                <w:lang w:val="ro-RO"/>
              </w:rPr>
            </w:pPr>
            <w:r w:rsidRPr="008B2D10">
              <w:rPr>
                <w:u w:val="single"/>
                <w:lang w:val="ro-RO"/>
              </w:rPr>
              <w:t>In Certificatul de Autorizare:</w:t>
            </w:r>
          </w:p>
          <w:p w:rsidR="00EB56AB" w:rsidRPr="008B2D10" w:rsidRDefault="00EB56AB" w:rsidP="008B2D10">
            <w:pPr>
              <w:pStyle w:val="NoSpacing"/>
              <w:rPr>
                <w:lang w:val="ro-RO"/>
              </w:rPr>
            </w:pPr>
            <w:r w:rsidRPr="008B2D10">
              <w:rPr>
                <w:u w:val="single"/>
                <w:lang w:val="ro-RO"/>
              </w:rPr>
              <w:t>Pentru utilizare profesionala:</w:t>
            </w:r>
          </w:p>
          <w:p w:rsidR="00EB56AB" w:rsidRPr="008B2D10" w:rsidRDefault="00EB56AB" w:rsidP="008B2D10">
            <w:pPr>
              <w:pStyle w:val="NoSpacing"/>
              <w:rPr>
                <w:rFonts w:eastAsia="SimSun"/>
                <w:lang w:val="ro-RO" w:eastAsia="ro-RO"/>
              </w:rPr>
            </w:pPr>
            <w:r w:rsidRPr="008B2D10">
              <w:rPr>
                <w:rFonts w:eastAsia="SimSun"/>
                <w:lang w:val="ro-RO" w:eastAsia="ro-RO"/>
              </w:rPr>
              <w:t>Declarație de utilizare</w:t>
            </w:r>
          </w:p>
          <w:p w:rsidR="00EB56AB" w:rsidRPr="008B2D10" w:rsidRDefault="00EB56AB" w:rsidP="008B2D10">
            <w:pPr>
              <w:pStyle w:val="NoSpacing"/>
              <w:rPr>
                <w:rFonts w:eastAsia="SimSun"/>
                <w:lang w:val="ro-RO" w:eastAsia="ro-RO"/>
              </w:rPr>
            </w:pPr>
            <w:r w:rsidRPr="008B2D10">
              <w:rPr>
                <w:rFonts w:eastAsia="SimSun"/>
                <w:cs/>
                <w:lang w:val="ro-RO" w:eastAsia="ro-RO"/>
              </w:rPr>
              <w:t>„</w:t>
            </w:r>
            <w:r w:rsidRPr="008B2D10">
              <w:rPr>
                <w:rFonts w:eastAsia="SimSun"/>
                <w:lang w:val="ro-RO" w:eastAsia="ro-RO"/>
              </w:rPr>
              <w:t>O momeală sub formă de pelete, gata de utilizare, conținând brodifacoum (0,005 % g/g), pentru folosire ca produs rodenticid, pentru controlul răspândirii șobolanilor și șoarecilor în spațiile interioare și exterioare, precum și în jurul clădirilor, de către persoane specializate (profesioniști), în vederea protejării sănătății publice, a sănătății animalelor, a produselor depozitate și materialelor.</w:t>
            </w:r>
            <w:r w:rsidRPr="008B2D10">
              <w:rPr>
                <w:rFonts w:eastAsia="SimSun"/>
                <w:cs/>
                <w:lang w:val="ro-RO" w:eastAsia="ro-RO"/>
              </w:rPr>
              <w:t>”</w:t>
            </w:r>
          </w:p>
          <w:p w:rsidR="00EB56AB" w:rsidRPr="008B2D10" w:rsidRDefault="00EB56AB" w:rsidP="008B2D10">
            <w:pPr>
              <w:pStyle w:val="NoSpacing"/>
              <w:rPr>
                <w:rFonts w:eastAsia="SimSun"/>
                <w:u w:val="single"/>
                <w:lang w:val="ro-RO" w:eastAsia="ro-RO"/>
              </w:rPr>
            </w:pPr>
            <w:r w:rsidRPr="008B2D10">
              <w:rPr>
                <w:rFonts w:eastAsia="SimSun"/>
                <w:u w:val="single"/>
                <w:lang w:val="ro-RO" w:eastAsia="ro-RO"/>
              </w:rPr>
              <w:t>Instrucțiuni pentru manipulare și utilizare în siguranță</w:t>
            </w:r>
          </w:p>
          <w:p w:rsidR="00EB56AB" w:rsidRPr="008B2D10" w:rsidRDefault="00EB56AB" w:rsidP="008B2D10">
            <w:pPr>
              <w:pStyle w:val="NoSpacing"/>
              <w:rPr>
                <w:rFonts w:eastAsia="SimSun"/>
                <w:lang w:val="ro-RO" w:eastAsia="ro-RO"/>
              </w:rPr>
            </w:pPr>
            <w:r w:rsidRPr="008B2D10">
              <w:rPr>
                <w:rFonts w:eastAsia="SimSun"/>
                <w:lang w:val="ro-RO" w:eastAsia="ro-RO"/>
              </w:rPr>
              <w:t>Vă rugăm citiţi eticheta înainte de utilizare şi urmaţi instrucţiunile furnizate.</w:t>
            </w:r>
          </w:p>
          <w:p w:rsidR="00EB56AB" w:rsidRPr="008B2D10" w:rsidRDefault="00EB56AB" w:rsidP="008B2D10">
            <w:pPr>
              <w:pStyle w:val="NoSpacing"/>
              <w:rPr>
                <w:rFonts w:eastAsia="SimSun"/>
                <w:lang w:val="ro-RO" w:eastAsia="ro-RO"/>
              </w:rPr>
            </w:pPr>
            <w:r w:rsidRPr="008B2D10">
              <w:rPr>
                <w:rFonts w:eastAsia="SimSun"/>
                <w:lang w:val="ro-RO" w:eastAsia="ro-RO"/>
              </w:rPr>
              <w:t>Evitați expunerea inutilă, şi în special evitaţi ingerarea.</w:t>
            </w:r>
          </w:p>
          <w:p w:rsidR="00EB56AB" w:rsidRPr="008B2D10" w:rsidRDefault="00EB56AB" w:rsidP="008B2D10">
            <w:pPr>
              <w:pStyle w:val="NoSpacing"/>
              <w:rPr>
                <w:rFonts w:eastAsia="SimSun"/>
                <w:lang w:val="ro-RO" w:eastAsia="ro-RO"/>
              </w:rPr>
            </w:pPr>
            <w:r w:rsidRPr="008B2D10">
              <w:rPr>
                <w:rFonts w:eastAsia="SimSun"/>
                <w:lang w:val="ro-RO" w:eastAsia="ro-RO"/>
              </w:rPr>
              <w:t>Produsul trebuie să fie manipulat într-un mod sigur.</w:t>
            </w:r>
          </w:p>
          <w:p w:rsidR="00EB56AB" w:rsidRPr="008B2D10" w:rsidRDefault="00EB56AB" w:rsidP="008B2D10">
            <w:pPr>
              <w:pStyle w:val="NoSpacing"/>
              <w:rPr>
                <w:rFonts w:eastAsia="SimSun"/>
                <w:lang w:val="ro-RO" w:eastAsia="ro-RO"/>
              </w:rPr>
            </w:pPr>
            <w:r w:rsidRPr="008B2D10">
              <w:rPr>
                <w:rFonts w:eastAsia="SimSun"/>
                <w:lang w:val="ro-RO" w:eastAsia="ro-RO"/>
              </w:rPr>
              <w:t>Nu decantaţi produsul în containere (recipiente) ne-etichetate.</w:t>
            </w:r>
          </w:p>
          <w:p w:rsidR="00EB56AB" w:rsidRPr="008B2D10" w:rsidRDefault="00EB56AB" w:rsidP="008B2D10">
            <w:pPr>
              <w:pStyle w:val="NoSpacing"/>
              <w:rPr>
                <w:rFonts w:eastAsia="SimSun"/>
                <w:lang w:val="ro-RO" w:eastAsia="ro-RO"/>
              </w:rPr>
            </w:pPr>
            <w:r w:rsidRPr="008B2D10">
              <w:rPr>
                <w:rFonts w:eastAsia="SimSun"/>
                <w:lang w:val="ro-RO" w:eastAsia="ro-RO"/>
              </w:rPr>
              <w:t>Pentru a determina gradul de infestare, un studiu aprofundat al zonei infestate este esențial, mai ales în locurile izolate și protejate..</w:t>
            </w:r>
          </w:p>
          <w:p w:rsidR="00EB56AB" w:rsidRPr="008B2D10" w:rsidRDefault="00EB56AB" w:rsidP="008B2D10">
            <w:pPr>
              <w:pStyle w:val="NoSpacing"/>
            </w:pPr>
            <w:r w:rsidRPr="008B2D10">
              <w:rPr>
                <w:lang w:val="ro-RO" w:eastAsia="ro-RO"/>
              </w:rPr>
              <w:t>Momelile trebuie să fie depozitate, în siguranță, în stații de intoxicare sau în alte stații, astfel încât să se reducă la minim riscul de consum de către animalele de companie, alte animale decât cele vizate sau copii. Acolo unde este posibil, securizaţi momelile, astfel încât acestea să nu poată fi târâte.</w:t>
            </w:r>
          </w:p>
          <w:p w:rsidR="00EB56AB" w:rsidRPr="008B2D10" w:rsidRDefault="00EB56AB" w:rsidP="008B2D10">
            <w:pPr>
              <w:pStyle w:val="NoSpacing"/>
            </w:pPr>
            <w:r w:rsidRPr="008B2D10">
              <w:rPr>
                <w:lang w:val="ro-RO" w:eastAsia="ro-RO"/>
              </w:rPr>
              <w:t xml:space="preserve">UTILIZARE ÎN ZONE PUBLICE: Atunci când produsul este utilizat în zone publice și nu sunt utilizate capcane cu sistem de blocare, trebuie să fie puse în aplicare următoarele. Atunci când produsul este utilizat în zone publice, zonele tratate trebuie să fie marcate în cursul perioadei de </w:t>
            </w:r>
            <w:r w:rsidRPr="008B2D10">
              <w:rPr>
                <w:lang w:val="ro-RO" w:eastAsia="ro-RO"/>
              </w:rPr>
              <w:lastRenderedPageBreak/>
              <w:t>tratament, iar alături de momeli trebuie să existe o notă de avertizare, care explică riscul de otrăvire primară sau secundară din cauza anticoagulantului, indicând, de asemenea, și primele măsuri care trebuie luate în caz de otrăvire. Când sunt utilizate staţii cu sistem de blocare, acestea trebuie să fie marcate în mod clar pentru a afişa faptul că acestea conţin produse rodenticide şi că nu trebuie deranjate.</w:t>
            </w:r>
          </w:p>
          <w:p w:rsidR="00EB56AB" w:rsidRPr="008B2D10" w:rsidRDefault="00EB56AB" w:rsidP="008B2D10">
            <w:pPr>
              <w:pStyle w:val="NoSpacing"/>
            </w:pPr>
            <w:r w:rsidRPr="008B2D10">
              <w:rPr>
                <w:lang w:val="ro-RO" w:eastAsia="ro-RO"/>
              </w:rPr>
              <w:t>Organele rozătoarelor moarte, resturile de momeală neutilizată sau orice fragmente de momeală găsite la distanță de stația de momeală trebuie să fie colectate în timpul tuturor operațiunilor de control pentru a minimiza riscul de consum și intoxicații la copii, animale de companie și alte animale nevizate.</w:t>
            </w:r>
          </w:p>
          <w:p w:rsidR="00EB56AB" w:rsidRPr="008B2D10" w:rsidRDefault="00EB56AB" w:rsidP="008B2D10">
            <w:pPr>
              <w:pStyle w:val="NoSpacing"/>
            </w:pPr>
            <w:r w:rsidRPr="008B2D10">
              <w:rPr>
                <w:lang w:val="ro-RO" w:eastAsia="ro-RO"/>
              </w:rPr>
              <w:t>Este ilegală utilizarea acestui produs pentru otrăvirea intenționată a animalelor nevizate, benefice și protejate.</w:t>
            </w:r>
          </w:p>
          <w:p w:rsidR="00EB56AB" w:rsidRPr="008B2D10" w:rsidRDefault="00EB56AB" w:rsidP="008B2D10">
            <w:pPr>
              <w:pStyle w:val="NoSpacing"/>
            </w:pPr>
            <w:r w:rsidRPr="008B2D10">
              <w:rPr>
                <w:lang w:val="ro-RO" w:eastAsia="ro-RO"/>
              </w:rPr>
              <w:t>Spălați-vă mâinile și fața după aplicarea și utilizarea produsului, cât și înainte de a mânca, bea sau fuma.</w:t>
            </w:r>
          </w:p>
          <w:p w:rsidR="00EB56AB" w:rsidRPr="008B2D10" w:rsidRDefault="00EB56AB" w:rsidP="008B2D10">
            <w:pPr>
              <w:pStyle w:val="NoSpacing"/>
            </w:pPr>
            <w:r w:rsidRPr="008B2D10">
              <w:rPr>
                <w:lang w:val="ro-RO" w:eastAsia="ro-RO"/>
              </w:rPr>
              <w:t>Pentru utilizatorii profesioniști, se recomandă utilizarea echipamentului individual de protecție adecvat (EPP).</w:t>
            </w:r>
          </w:p>
          <w:p w:rsidR="00EB56AB" w:rsidRPr="008B2D10" w:rsidRDefault="00EB56AB" w:rsidP="008B2D10">
            <w:pPr>
              <w:pStyle w:val="NoSpacing"/>
              <w:rPr>
                <w:u w:val="single"/>
              </w:rPr>
            </w:pPr>
            <w:r w:rsidRPr="008B2D10">
              <w:rPr>
                <w:u w:val="single"/>
                <w:lang w:val="ro-RO" w:eastAsia="ro-RO"/>
              </w:rPr>
              <w:t>Detalii aplicare:</w:t>
            </w:r>
          </w:p>
          <w:p w:rsidR="00EB56AB" w:rsidRPr="008B2D10" w:rsidRDefault="00EB56AB" w:rsidP="008B2D10">
            <w:pPr>
              <w:pStyle w:val="NoSpacing"/>
            </w:pPr>
            <w:r w:rsidRPr="008B2D10">
              <w:rPr>
                <w:lang w:val="ro-RO" w:eastAsia="ro-RO"/>
              </w:rPr>
              <w:t>Spaţii interioare şi exterioare (în jurul clădirilor)</w:t>
            </w:r>
          </w:p>
          <w:p w:rsidR="00EB56AB" w:rsidRPr="008B2D10" w:rsidRDefault="00EB56AB" w:rsidP="008B2D10">
            <w:pPr>
              <w:pStyle w:val="NoSpacing"/>
            </w:pPr>
            <w:r w:rsidRPr="008B2D10">
              <w:rPr>
                <w:lang w:val="ro-RO" w:eastAsia="ro-RO"/>
              </w:rPr>
              <w:t>Şobolani:</w:t>
            </w:r>
          </w:p>
          <w:p w:rsidR="00EB56AB" w:rsidRPr="008B2D10" w:rsidRDefault="00EB56AB" w:rsidP="008B2D10">
            <w:pPr>
              <w:pStyle w:val="NoSpacing"/>
            </w:pPr>
            <w:r w:rsidRPr="008B2D10">
              <w:rPr>
                <w:lang w:val="ro-RO" w:eastAsia="ro-RO"/>
              </w:rPr>
              <w:t>Securizați 20-50 g de momeală în stații de intoxicare acoperite, blocate, sau în puncte de momire acoperite, la 10 m distanță unele de altele (5 m distanță unele de altele, în zone puternic infestate) în zonele unde există șobolani. Verificați în mod regulat consumul de momeală și înlocuiţi momeala consumată sau răspândiţi momeala până este complet consumată. Repetaţi procedura în situaţii în care există dovada unei noi infestări (de exemplu urme proaspete sau excremente).</w:t>
            </w:r>
          </w:p>
          <w:p w:rsidR="00EB56AB" w:rsidRPr="008B2D10" w:rsidRDefault="00EB56AB" w:rsidP="008B2D10">
            <w:pPr>
              <w:pStyle w:val="NoSpacing"/>
            </w:pPr>
            <w:r w:rsidRPr="008B2D10">
              <w:rPr>
                <w:lang w:val="ro-RO" w:eastAsia="ro-RO"/>
              </w:rPr>
              <w:t>Şoareci:</w:t>
            </w:r>
          </w:p>
          <w:p w:rsidR="00EB56AB" w:rsidRPr="008B2D10" w:rsidRDefault="00EB56AB" w:rsidP="008B2D10">
            <w:pPr>
              <w:pStyle w:val="NoSpacing"/>
              <w:rPr>
                <w:lang w:val="ro-RO" w:eastAsia="ro-RO"/>
              </w:rPr>
            </w:pPr>
            <w:r w:rsidRPr="008B2D10">
              <w:rPr>
                <w:lang w:val="ro-RO" w:eastAsia="ro-RO"/>
              </w:rPr>
              <w:t>Securizați 5-25 g de momeală în stații de intoxicare acoperite, blocate, sau în puncte de momire acoperite, la 5 m distanță unele de altele (2 m distanță unele de altele, în zone puternic infestate) în zonele unde există șoareci. Verificați în mod regulat consumul de momeală și înlocuiţi momeala consumată sau răspândiţi momeala până este complet consumată. Repetaţi procedura în situaţii în care există dovada unei noi infestări (de exemplu urme proaspete sau excremente).</w:t>
            </w:r>
          </w:p>
          <w:p w:rsidR="00EB56AB" w:rsidRPr="008B2D10" w:rsidRDefault="00EB56AB" w:rsidP="008B2D10">
            <w:pPr>
              <w:pStyle w:val="NoSpacing"/>
              <w:rPr>
                <w:rFonts w:eastAsiaTheme="minorEastAsia"/>
                <w:u w:val="single"/>
                <w:lang w:val="ro-RO" w:eastAsia="ro-RO" w:bidi="ro-RO"/>
              </w:rPr>
            </w:pPr>
            <w:r w:rsidRPr="008B2D10">
              <w:rPr>
                <w:rFonts w:eastAsiaTheme="minorEastAsia"/>
                <w:u w:val="single"/>
                <w:lang w:val="ro-RO" w:eastAsia="ro-RO" w:bidi="ro-RO"/>
              </w:rPr>
              <w:t>In eticheta:</w:t>
            </w:r>
          </w:p>
          <w:p w:rsidR="00EB56AB" w:rsidRPr="008B2D10" w:rsidRDefault="00EB56AB" w:rsidP="008B2D10">
            <w:pPr>
              <w:pStyle w:val="NoSpacing"/>
              <w:rPr>
                <w:lang w:val="ro-RO"/>
              </w:rPr>
            </w:pPr>
            <w:r w:rsidRPr="008B2D10">
              <w:rPr>
                <w:lang w:val="ro-RO"/>
              </w:rPr>
              <w:t>-Pentru utilizare profesionala:</w:t>
            </w:r>
          </w:p>
          <w:tbl>
            <w:tblPr>
              <w:tblW w:w="0" w:type="auto"/>
              <w:tblBorders>
                <w:top w:val="nil"/>
                <w:left w:val="nil"/>
                <w:bottom w:val="nil"/>
                <w:right w:val="nil"/>
              </w:tblBorders>
              <w:tblLook w:val="0000" w:firstRow="0" w:lastRow="0" w:firstColumn="0" w:lastColumn="0" w:noHBand="0" w:noVBand="0"/>
            </w:tblPr>
            <w:tblGrid>
              <w:gridCol w:w="9707"/>
            </w:tblGrid>
            <w:tr w:rsidR="00EB56AB" w:rsidRPr="008B2D10" w:rsidTr="00AE1CFC">
              <w:trPr>
                <w:trHeight w:val="99"/>
              </w:trPr>
              <w:tc>
                <w:tcPr>
                  <w:tcW w:w="0" w:type="auto"/>
                </w:tcPr>
                <w:p w:rsidR="00EB56AB" w:rsidRPr="008B2D10" w:rsidRDefault="00EB56AB" w:rsidP="008B2D10">
                  <w:pPr>
                    <w:pStyle w:val="NoSpacing"/>
                    <w:rPr>
                      <w:rFonts w:eastAsiaTheme="minorHAnsi"/>
                      <w:color w:val="000000"/>
                    </w:rPr>
                  </w:pPr>
                  <w:r w:rsidRPr="008B2D10">
                    <w:rPr>
                      <w:rFonts w:eastAsiaTheme="minorHAnsi"/>
                      <w:bCs/>
                      <w:color w:val="000000"/>
                    </w:rPr>
                    <w:t xml:space="preserve">PENTRU UTILIZARE NUMAI CA RODENTICID. DOAR PENTRU UZ PROFESIONAL! PENTRU A EVITA RISCURILE PENTRU SANATATEA UMANA SI MEDIU, A SE RESPECTA INSTRUCTIUNILE DE UTILIZARE (EUH401). </w:t>
                  </w:r>
                  <w:r w:rsidRPr="008B2D10">
                    <w:rPr>
                      <w:rFonts w:eastAsiaTheme="minorHAnsi"/>
                      <w:color w:val="000000"/>
                    </w:rPr>
                    <w:t xml:space="preserve">Citiţi instrucţiunile alăturate înainte de folosire. Citiţi toate celelalte măsuri de siguranţă și instrucţiuni de utilizare înaintea folosirii produsului. Utilizați containere (recipiente) pentru momeală, marcate în mod clar „otravă" pe toate suprafețele. Îndepărtați toate resturile de momeală, rozătoare moarte în timpul și după tratament și eliminaţi-le în condiții de siguranță. Preveniţi accesul copiilor, animalelor domestice și animalelor de casă la momeală (în special pisici, câini şi porci). Produs nociv pentru animalele sălbatice. </w:t>
                  </w:r>
                </w:p>
              </w:tc>
            </w:tr>
          </w:tbl>
          <w:p w:rsidR="00EB56AB" w:rsidRPr="008B2D10" w:rsidRDefault="00EB56AB" w:rsidP="008B2D10">
            <w:pPr>
              <w:pStyle w:val="NoSpacing"/>
              <w:rPr>
                <w:lang w:val="ro-RO"/>
              </w:rPr>
            </w:pPr>
          </w:p>
        </w:tc>
      </w:tr>
    </w:tbl>
    <w:p w:rsidR="004203CC" w:rsidRDefault="004203CC" w:rsidP="008B2D10">
      <w:pPr>
        <w:pStyle w:val="NoSpacing"/>
        <w:rPr>
          <w:b/>
          <w:color w:val="000000"/>
          <w:lang w:val="ro-RO"/>
        </w:rPr>
      </w:pPr>
    </w:p>
    <w:p w:rsidR="00F516D5" w:rsidRPr="008B2D10" w:rsidRDefault="00F516D5" w:rsidP="008B2D10">
      <w:pPr>
        <w:pStyle w:val="NoSpacing"/>
        <w:rPr>
          <w:b/>
          <w:color w:val="000000"/>
          <w:lang w:val="ro-RO"/>
        </w:rPr>
      </w:pPr>
    </w:p>
    <w:p w:rsidR="00B66405" w:rsidRPr="008B2D10" w:rsidRDefault="00B66405" w:rsidP="008B2D10">
      <w:pPr>
        <w:pStyle w:val="NoSpacing"/>
        <w:rPr>
          <w:b/>
          <w:lang w:val="ro-RO"/>
        </w:rPr>
      </w:pPr>
      <w:r w:rsidRPr="008B2D10">
        <w:rPr>
          <w:b/>
          <w:lang w:val="ro-RO"/>
        </w:rPr>
        <w:lastRenderedPageBreak/>
        <w:t>XV. INSTRUC</w:t>
      </w:r>
      <w:r w:rsidR="00EF1059" w:rsidRPr="008B2D10">
        <w:rPr>
          <w:b/>
          <w:lang w:val="ro-RO"/>
        </w:rPr>
        <w:t>T</w:t>
      </w:r>
      <w:r w:rsidRPr="008B2D10">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206ED" w:rsidRPr="008B2D10" w:rsidTr="00AE1CFC">
        <w:tc>
          <w:tcPr>
            <w:tcW w:w="9923" w:type="dxa"/>
          </w:tcPr>
          <w:p w:rsidR="009206ED" w:rsidRPr="008B2D10" w:rsidRDefault="009206ED" w:rsidP="008B2D10">
            <w:pPr>
              <w:pStyle w:val="NoSpacing"/>
              <w:rPr>
                <w:lang w:val="ro-RO"/>
              </w:rPr>
            </w:pPr>
            <w:r w:rsidRPr="008B2D10">
              <w:rPr>
                <w:lang w:val="ro-RO"/>
              </w:rPr>
              <w:t>Recomandare generală:  În caz de accident sau dacă nu vă simţiţi bine, solicitaţi imediat sfatul medicului şi arătaţi, dacă estre posibil, ambalajul, eticheta sau Fişa cu date de securitate a produsului.</w:t>
            </w:r>
          </w:p>
          <w:p w:rsidR="009206ED" w:rsidRPr="008B2D10" w:rsidRDefault="009206ED" w:rsidP="008B2D10">
            <w:pPr>
              <w:pStyle w:val="NoSpacing"/>
              <w:rPr>
                <w:lang w:val="ro-RO"/>
              </w:rPr>
            </w:pPr>
            <w:r w:rsidRPr="008B2D10">
              <w:rPr>
                <w:lang w:val="ro-RO"/>
              </w:rPr>
              <w:t xml:space="preserve">În caz de </w:t>
            </w:r>
            <w:r w:rsidRPr="008B2D10">
              <w:rPr>
                <w:i/>
                <w:lang w:val="ro-RO"/>
              </w:rPr>
              <w:t>contact cu pielea</w:t>
            </w:r>
            <w:r w:rsidRPr="008B2D10">
              <w:rPr>
                <w:lang w:val="ro-RO"/>
              </w:rPr>
              <w:t>, înlăturaţi imediat îmbrăcămintea contaminată. Spălaţi foarte bine părţile afectate ale corpului cu multă apă, apoi cu săpun şi apă pentru a minimiza contactul cu pielea. Solicitaţi sfatul medicului dacă iritaţia persistă. Spălaţi îmbrăcămintea contaminată înainte de refolosire.</w:t>
            </w:r>
          </w:p>
          <w:p w:rsidR="009206ED" w:rsidRPr="008B2D10" w:rsidRDefault="009206ED" w:rsidP="008B2D10">
            <w:pPr>
              <w:pStyle w:val="NoSpacing"/>
              <w:rPr>
                <w:lang w:val="fr-FR"/>
              </w:rPr>
            </w:pPr>
            <w:r w:rsidRPr="008B2D10">
              <w:rPr>
                <w:lang w:val="ro-RO"/>
              </w:rPr>
              <w:t xml:space="preserve">În caz de </w:t>
            </w:r>
            <w:r w:rsidRPr="008B2D10">
              <w:rPr>
                <w:i/>
                <w:lang w:val="ro-RO"/>
              </w:rPr>
              <w:t xml:space="preserve">contact cu ochii, </w:t>
            </w:r>
            <w:r w:rsidRPr="008B2D10">
              <w:rPr>
                <w:lang w:val="ro-RO"/>
              </w:rPr>
              <w:t xml:space="preserve">solicitaţi imediat asistenţă medicală. Clătiţi ochii încet şi cu atenţie cu multă apă timp de 15-20 minute. </w:t>
            </w:r>
            <w:r w:rsidRPr="008B2D10">
              <w:rPr>
                <w:lang w:val="fr-FR"/>
              </w:rPr>
              <w:t xml:space="preserve">Îndepărtaţi lentilele de contact, dacă este cazul. </w:t>
            </w:r>
          </w:p>
          <w:p w:rsidR="009206ED" w:rsidRPr="008B2D10" w:rsidRDefault="009206ED" w:rsidP="008B2D10">
            <w:pPr>
              <w:pStyle w:val="NoSpacing"/>
              <w:rPr>
                <w:lang w:val="fr-FR"/>
              </w:rPr>
            </w:pPr>
            <w:r w:rsidRPr="008B2D10">
              <w:rPr>
                <w:lang w:val="fr-FR"/>
              </w:rPr>
              <w:t xml:space="preserve">În caz </w:t>
            </w:r>
            <w:proofErr w:type="gramStart"/>
            <w:r w:rsidRPr="008B2D10">
              <w:rPr>
                <w:lang w:val="fr-FR"/>
              </w:rPr>
              <w:t xml:space="preserve">de </w:t>
            </w:r>
            <w:r w:rsidRPr="008B2D10">
              <w:rPr>
                <w:i/>
                <w:lang w:val="fr-FR"/>
              </w:rPr>
              <w:t>ingestie</w:t>
            </w:r>
            <w:proofErr w:type="gramEnd"/>
            <w:r w:rsidRPr="008B2D10">
              <w:rPr>
                <w:lang w:val="fr-FR"/>
              </w:rPr>
              <w:t xml:space="preserve">, nu provocaţi vomă. Victima se va transporta imediat la spital. Se va clăti gura cu apă. </w:t>
            </w:r>
          </w:p>
          <w:p w:rsidR="009206ED" w:rsidRPr="008B2D10" w:rsidRDefault="009206ED" w:rsidP="008B2D10">
            <w:pPr>
              <w:pStyle w:val="NoSpacing"/>
              <w:rPr>
                <w:lang w:val="fr-FR"/>
              </w:rPr>
            </w:pPr>
            <w:r w:rsidRPr="008B2D10">
              <w:rPr>
                <w:lang w:val="fr-FR"/>
              </w:rPr>
              <w:t xml:space="preserve">În caz de </w:t>
            </w:r>
            <w:r w:rsidRPr="008B2D10">
              <w:rPr>
                <w:i/>
                <w:lang w:val="fr-FR"/>
              </w:rPr>
              <w:t>inhalare</w:t>
            </w:r>
            <w:r w:rsidRPr="008B2D10">
              <w:rPr>
                <w:lang w:val="fr-FR"/>
              </w:rPr>
              <w:t xml:space="preserve"> (posibilă numai dacă există praf în exces) se scoate persoana la ear curat şi se obţine imediat sfatul medicului. Dacă respiraţia este neregulată sau oprită, se va asigura respiraţie artificială. Se ţine pacientul la căldură şi fără efort.</w:t>
            </w:r>
          </w:p>
          <w:p w:rsidR="009206ED" w:rsidRPr="008B2D10" w:rsidRDefault="009206ED" w:rsidP="008B2D10">
            <w:pPr>
              <w:pStyle w:val="NoSpacing"/>
              <w:rPr>
                <w:lang w:val="ro-RO"/>
              </w:rPr>
            </w:pPr>
            <w:r w:rsidRPr="008B2D10">
              <w:rPr>
                <w:i/>
                <w:lang w:val="ro-RO"/>
              </w:rPr>
              <w:t>Recomandări pentru doctori</w:t>
            </w:r>
            <w:r w:rsidRPr="008B2D10">
              <w:rPr>
                <w:lang w:val="ro-RO"/>
              </w:rPr>
              <w:t>: Brodifacum este un anticoagulant indirect. Antidotul este vitamina K1, fitomenadiona care trebuie administrată sub supraveghere medicală. Iniţial se administrează prin injectare prin perfuzie intravenoasă lentă iar tratamentul de întreţinere se administrează pe  cale orală. Dacă se suspectează o intoxicare, se determină timpul de protrombină la cel puţin 18 ore de la consum. Dacă acesta este ridicat, se administrează vitamina K1 până când timpul de protrombină se normalizează. Se continua determinarea timpului de protrombină trei zile după retragerea antidotului şi, dacă acesta este crescut, se reia tratamentul. Poate fi nevoie de tratament  timp de mai multe luni.</w:t>
            </w:r>
          </w:p>
          <w:p w:rsidR="009206ED" w:rsidRPr="008B2D10" w:rsidRDefault="009206ED" w:rsidP="008B2D10">
            <w:pPr>
              <w:pStyle w:val="NoSpacing"/>
              <w:rPr>
                <w:lang w:val="ro-RO"/>
              </w:rPr>
            </w:pPr>
            <w:r w:rsidRPr="008B2D10">
              <w:rPr>
                <w:lang w:val="ro-RO"/>
              </w:rPr>
              <w:t>În caz de urgenţă, se va contacta:</w:t>
            </w:r>
          </w:p>
          <w:p w:rsidR="009206ED" w:rsidRPr="008B2D10" w:rsidRDefault="009206ED" w:rsidP="008B2D10">
            <w:pPr>
              <w:pStyle w:val="NoSpacing"/>
              <w:rPr>
                <w:lang w:val="ro-RO"/>
              </w:rPr>
            </w:pPr>
            <w:r w:rsidRPr="008B2D10">
              <w:rPr>
                <w:lang w:val="ro-RO"/>
              </w:rPr>
              <w:t>Syngenta Agro SRL, Bucureşti  Tel. +4021 529 25 77 sau</w:t>
            </w:r>
          </w:p>
          <w:p w:rsidR="00B66405" w:rsidRPr="008B2D10" w:rsidRDefault="009206ED" w:rsidP="008B2D10">
            <w:pPr>
              <w:pStyle w:val="NoSpacing"/>
              <w:rPr>
                <w:lang w:val="ro-RO"/>
              </w:rPr>
            </w:pPr>
            <w:r w:rsidRPr="008B2D10">
              <w:rPr>
                <w:lang w:val="ro-RO"/>
              </w:rPr>
              <w:t>Centrul de Informare toxicologică, Institutul Naţional de Sănătate Publică Bucureşti Tel.+04021 318 36 20 sau +04021 318 36 06.</w:t>
            </w:r>
          </w:p>
        </w:tc>
      </w:tr>
    </w:tbl>
    <w:p w:rsidR="00FE21AB" w:rsidRPr="008B2D10" w:rsidRDefault="00FE21AB" w:rsidP="008B2D10">
      <w:pPr>
        <w:pStyle w:val="NoSpacing"/>
        <w:rPr>
          <w:sz w:val="16"/>
          <w:lang w:val="ro-RO"/>
        </w:rPr>
      </w:pPr>
    </w:p>
    <w:p w:rsidR="00B66405" w:rsidRPr="008B2D10" w:rsidRDefault="00B66405" w:rsidP="008B2D10">
      <w:pPr>
        <w:pStyle w:val="NoSpacing"/>
        <w:rPr>
          <w:b/>
          <w:lang w:val="ro-RO"/>
        </w:rPr>
      </w:pPr>
      <w:r w:rsidRPr="008B2D10">
        <w:rPr>
          <w:b/>
          <w:lang w:val="ro-RO"/>
        </w:rPr>
        <w:t>XVI. MĂSURI PENTRU PROTEC</w:t>
      </w:r>
      <w:r w:rsidR="00400263" w:rsidRPr="008B2D10">
        <w:rPr>
          <w:b/>
          <w:lang w:val="ro-RO"/>
        </w:rPr>
        <w:t>T</w:t>
      </w:r>
      <w:r w:rsidRPr="008B2D10">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8B2D10" w:rsidTr="00AE1CFC">
        <w:tc>
          <w:tcPr>
            <w:tcW w:w="9923" w:type="dxa"/>
          </w:tcPr>
          <w:p w:rsidR="00CC3182" w:rsidRPr="008B2D10" w:rsidRDefault="00CC3182" w:rsidP="008B2D10">
            <w:pPr>
              <w:pStyle w:val="NoSpacing"/>
              <w:rPr>
                <w:u w:val="single"/>
              </w:rPr>
            </w:pPr>
            <w:r w:rsidRPr="008B2D10">
              <w:rPr>
                <w:u w:val="single"/>
              </w:rPr>
              <w:t>Restricții pentru utilizarea produsului biocid</w:t>
            </w:r>
          </w:p>
          <w:p w:rsidR="00CC3182" w:rsidRPr="008B2D10" w:rsidRDefault="002E3A07" w:rsidP="008B2D10">
            <w:pPr>
              <w:pStyle w:val="NoSpacing"/>
            </w:pPr>
            <w:r w:rsidRPr="008B2D10">
              <w:t xml:space="preserve"> Se va e</w:t>
            </w:r>
            <w:r w:rsidR="00CC3182" w:rsidRPr="008B2D10">
              <w:t>vita prin orice mijloace patrunderea in sistemul de canalizare si in ape de suprafata.</w:t>
            </w:r>
          </w:p>
          <w:p w:rsidR="00CC3182" w:rsidRPr="008B2D10" w:rsidRDefault="00CC3182" w:rsidP="008B2D10">
            <w:pPr>
              <w:pStyle w:val="NoSpacing"/>
            </w:pPr>
            <w:r w:rsidRPr="008B2D10">
              <w:rPr>
                <w:u w:val="single"/>
              </w:rPr>
              <w:t>Măsuri în caz de dispersie accidentală.</w:t>
            </w:r>
          </w:p>
          <w:p w:rsidR="00CC3182" w:rsidRPr="008B2D10" w:rsidRDefault="00CC3182" w:rsidP="008B2D10">
            <w:pPr>
              <w:pStyle w:val="NoSpacing"/>
            </w:pPr>
            <w:r w:rsidRPr="008B2D10">
              <w:t xml:space="preserve">În cazul unei imprastieri accidentale a produsului acesta se va colecta intr-un container special cu </w:t>
            </w:r>
            <w:proofErr w:type="gramStart"/>
            <w:r w:rsidRPr="008B2D10">
              <w:t>ajutorul  unui</w:t>
            </w:r>
            <w:proofErr w:type="gramEnd"/>
            <w:r w:rsidRPr="008B2D10">
              <w:t xml:space="preserve"> aspirator antiex sau prin maturare umeda. Produsul formeaza nori de praf inflamabili,de aceea se va Evita formarea de nori  de praf.Produsul colectat va fi distrus conform prevederilor legale in vigoare </w:t>
            </w:r>
          </w:p>
          <w:p w:rsidR="00CC3182" w:rsidRPr="008B2D10" w:rsidRDefault="00CC3182" w:rsidP="008B2D10">
            <w:pPr>
              <w:pStyle w:val="NoSpacing"/>
              <w:rPr>
                <w:u w:val="single"/>
              </w:rPr>
            </w:pPr>
            <w:r w:rsidRPr="008B2D10">
              <w:rPr>
                <w:u w:val="single"/>
              </w:rPr>
              <w:t>Metode de decontaminare</w:t>
            </w:r>
          </w:p>
          <w:p w:rsidR="00CC3182" w:rsidRPr="008B2D10" w:rsidRDefault="00CC3182" w:rsidP="008B2D10">
            <w:pPr>
              <w:pStyle w:val="NoSpacing"/>
            </w:pPr>
            <w:r w:rsidRPr="008B2D10">
              <w:t xml:space="preserve">Statiile si punctele de momeala sunt controlate, la interval de 3-4 zile, iar momeala consumată este înlocuită. În cazul în care rodenticidul poate ajunge pe sol trebuie să se ia măsuri imediate pentru colectarea lui și curățarea zonei. </w:t>
            </w:r>
          </w:p>
          <w:p w:rsidR="00B66405" w:rsidRPr="008B2D10" w:rsidRDefault="00CC3182" w:rsidP="008B2D10">
            <w:pPr>
              <w:pStyle w:val="NoSpacing"/>
              <w:rPr>
                <w:color w:val="FF0000"/>
                <w:lang w:val="ro-RO"/>
              </w:rPr>
            </w:pPr>
            <w:r w:rsidRPr="008B2D10">
              <w:t>In utilizarea profesionista, recipientele, chiar daca sunt complet goale, trebuie curatate inainte de eliminare.</w:t>
            </w:r>
          </w:p>
        </w:tc>
      </w:tr>
    </w:tbl>
    <w:p w:rsidR="00FE21AB" w:rsidRDefault="00FE21AB" w:rsidP="008B2D10">
      <w:pPr>
        <w:pStyle w:val="NoSpacing"/>
        <w:rPr>
          <w:b/>
          <w:sz w:val="16"/>
          <w:lang w:val="fr-FR"/>
        </w:rPr>
      </w:pPr>
    </w:p>
    <w:p w:rsidR="004203CC" w:rsidRPr="008B2D10" w:rsidRDefault="004203CC" w:rsidP="008B2D10">
      <w:pPr>
        <w:pStyle w:val="NoSpacing"/>
        <w:rPr>
          <w:b/>
          <w:sz w:val="16"/>
          <w:lang w:val="fr-FR"/>
        </w:rPr>
      </w:pPr>
    </w:p>
    <w:p w:rsidR="00B66405" w:rsidRPr="008B2D10" w:rsidRDefault="00B66405" w:rsidP="008B2D10">
      <w:pPr>
        <w:pStyle w:val="NoSpacing"/>
        <w:rPr>
          <w:b/>
          <w:lang w:val="fr-FR"/>
        </w:rPr>
      </w:pPr>
      <w:r w:rsidRPr="008B2D10">
        <w:rPr>
          <w:b/>
          <w:lang w:val="fr-FR"/>
        </w:rPr>
        <w:lastRenderedPageBreak/>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E47C0" w:rsidRPr="008B2D10" w:rsidTr="00AE1CFC">
        <w:tc>
          <w:tcPr>
            <w:tcW w:w="9923" w:type="dxa"/>
            <w:shd w:val="clear" w:color="auto" w:fill="auto"/>
          </w:tcPr>
          <w:p w:rsidR="00B66405" w:rsidRPr="008B2D10" w:rsidRDefault="003F0ED3" w:rsidP="008B2D10">
            <w:pPr>
              <w:pStyle w:val="NoSpacing"/>
              <w:rPr>
                <w:lang w:val="ro-RO"/>
              </w:rPr>
            </w:pPr>
            <w:r w:rsidRPr="008B2D10">
              <w:rPr>
                <w:lang w:val="ro-RO"/>
              </w:rPr>
              <w:t>Momelile trebuie sa fie depozitate in siguranta, in spatiile de intoxicare sau in alte statii ,astfel incat sa se reduca la minim riscul de consum de catre animalele de companie,alte animale decat cele vizate si copii. Acolo unde este posibil, securizati momelile,astfel incat acestea sa nu poata fi tarate .</w:t>
            </w:r>
          </w:p>
          <w:p w:rsidR="003F0ED3" w:rsidRPr="008B2D10" w:rsidRDefault="003F0ED3" w:rsidP="008B2D10">
            <w:pPr>
              <w:pStyle w:val="NoSpacing"/>
              <w:rPr>
                <w:lang w:val="ro-RO"/>
              </w:rPr>
            </w:pPr>
            <w:r w:rsidRPr="008B2D10">
              <w:rPr>
                <w:lang w:val="ro-RO"/>
              </w:rPr>
              <w:t>Corpurile rozatoarelor moarte , resturile de momeala neutilizata sau orice fragmente de momeala gasite la distanta de statia de momeala trebuie sa fie adunate in timpul tuturor operatiilor de control,pentru a reduce la minim riscul de consum si travire a copiilor , animalelor de companie si a altor animale nevizate .Se va impiedica accesul animalelor domestice si al animalelor de casa la momeala(in special pisici, caini si porci).Produs nociv pentru animalele salbatice .</w:t>
            </w:r>
          </w:p>
          <w:p w:rsidR="003F0ED3" w:rsidRPr="008B2D10" w:rsidRDefault="003F0ED3" w:rsidP="008B2D10">
            <w:pPr>
              <w:pStyle w:val="NoSpacing"/>
              <w:rPr>
                <w:color w:val="FF0000"/>
                <w:lang w:val="ro-RO"/>
              </w:rPr>
            </w:pPr>
            <w:r w:rsidRPr="008B2D10">
              <w:rPr>
                <w:lang w:val="ro-RO"/>
              </w:rPr>
              <w:t xml:space="preserve">UTILIZARE IN ZONE PUBLICE : Atunci cand produsul este utilizat in zone publice si nu sunt utilizate capcane cu sistem de blocare,trebuie sa fie puse in aplicare urmatoarele : zonele tratate trebuie sa fie marcate in cursul perioadei de tratament, iar alaturi de momeli trebuie sa existe o nota de avertizare, care explica riscul de otravire primara sau sacundara din cauza anticoagulantului ,indicand , de asemenea  si primele masuri care trebuie luate in caz de otravire.Camd sunt utilizate statii cu sistem de blocare ,acestea trebuie sa fie marcate in mod clar pentru a afisa faptul ca acestea contin produs erodenticide si ca nu trebuie deranjate . </w:t>
            </w:r>
          </w:p>
        </w:tc>
      </w:tr>
    </w:tbl>
    <w:p w:rsidR="00FE21AB" w:rsidRPr="008B2D10" w:rsidRDefault="00FE21AB" w:rsidP="008B2D10">
      <w:pPr>
        <w:pStyle w:val="NoSpacing"/>
        <w:rPr>
          <w:b/>
          <w:sz w:val="16"/>
          <w:lang w:val="ro-RO"/>
        </w:rPr>
      </w:pPr>
    </w:p>
    <w:p w:rsidR="00B66405" w:rsidRPr="008B2D10" w:rsidRDefault="00B66405" w:rsidP="008B2D10">
      <w:pPr>
        <w:pStyle w:val="NoSpacing"/>
        <w:rPr>
          <w:b/>
          <w:lang w:val="ro-RO"/>
        </w:rPr>
      </w:pPr>
      <w:r w:rsidRPr="008B2D10">
        <w:rPr>
          <w:b/>
          <w:lang w:val="ro-RO"/>
        </w:rPr>
        <w:t>XVIII.</w:t>
      </w:r>
      <w:r w:rsidR="00EF1059" w:rsidRPr="008B2D10">
        <w:rPr>
          <w:b/>
          <w:lang w:val="ro-RO"/>
        </w:rPr>
        <w:t xml:space="preserve"> INSTRUCT</w:t>
      </w:r>
      <w:r w:rsidRPr="008B2D10">
        <w:rPr>
          <w:b/>
          <w:lang w:val="ro-RO"/>
        </w:rPr>
        <w:t>IUNI PENTRU ELIMINAREA ÎN SIGURAN</w:t>
      </w:r>
      <w:r w:rsidR="00EF1059" w:rsidRPr="008B2D10">
        <w:rPr>
          <w:b/>
          <w:lang w:val="ro-RO"/>
        </w:rPr>
        <w:t>T</w:t>
      </w:r>
      <w:r w:rsidRPr="008B2D10">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8B2D10" w:rsidTr="00AE1CFC">
        <w:tc>
          <w:tcPr>
            <w:tcW w:w="9923" w:type="dxa"/>
          </w:tcPr>
          <w:p w:rsidR="007707AC" w:rsidRPr="008B2D10" w:rsidRDefault="000C6352" w:rsidP="008B2D10">
            <w:pPr>
              <w:pStyle w:val="NoSpacing"/>
              <w:rPr>
                <w:lang w:val="ro-RO"/>
              </w:rPr>
            </w:pPr>
            <w:r w:rsidRPr="008B2D10">
              <w:rPr>
                <w:lang w:val="ro-RO"/>
              </w:rPr>
              <w:t>P</w:t>
            </w:r>
            <w:r w:rsidR="007707AC" w:rsidRPr="008B2D10">
              <w:rPr>
                <w:lang w:val="ro-RO"/>
              </w:rPr>
              <w:t>rodusul biocid: Momelile se vor îndepărta după încheierea tratamentului, urmând să fie eliminate conform legislatiei in vigoare. Eliminarea momelilor și a cadavrelor de rozătoare se face prin incinerare, în conformitate  cu  prevederile Legii 211/2011 privind regimul deșeurilor, de către operatori autorizați.</w:t>
            </w:r>
          </w:p>
        </w:tc>
      </w:tr>
      <w:tr w:rsidR="007707AC" w:rsidRPr="008B2D10" w:rsidTr="00AE1CFC">
        <w:tc>
          <w:tcPr>
            <w:tcW w:w="9923" w:type="dxa"/>
          </w:tcPr>
          <w:p w:rsidR="007707AC" w:rsidRPr="008B2D10" w:rsidRDefault="007707AC" w:rsidP="008B2D10">
            <w:pPr>
              <w:pStyle w:val="NoSpacing"/>
              <w:rPr>
                <w:lang w:val="ro-RO"/>
              </w:rPr>
            </w:pPr>
            <w:r w:rsidRPr="008B2D10">
              <w:rPr>
                <w:lang w:val="ro-RO"/>
              </w:rPr>
              <w:t>Ambalaj:</w:t>
            </w:r>
            <w:r w:rsidRPr="008B2D10">
              <w:rPr>
                <w:i/>
                <w:lang w:val="ro-RO"/>
              </w:rPr>
              <w:t xml:space="preserve"> </w:t>
            </w:r>
            <w:r w:rsidRPr="008B2D10">
              <w:rPr>
                <w:lang w:val="ro-RO"/>
              </w:rPr>
              <w:t>Nu se reutilizează ambalajul și nu se eliberează în mediu produsul biocid</w:t>
            </w:r>
          </w:p>
        </w:tc>
      </w:tr>
    </w:tbl>
    <w:p w:rsidR="00FE21AB" w:rsidRPr="00F516D5" w:rsidRDefault="00FE21AB" w:rsidP="008B2D10">
      <w:pPr>
        <w:rPr>
          <w:b/>
          <w:color w:val="000000"/>
          <w:sz w:val="14"/>
          <w:lang w:val="ro-RO"/>
        </w:rPr>
      </w:pPr>
    </w:p>
    <w:p w:rsidR="00B66405" w:rsidRPr="008B2D10" w:rsidRDefault="00B66405" w:rsidP="008B2D10">
      <w:pPr>
        <w:rPr>
          <w:color w:val="000000"/>
          <w:lang w:val="it-IT"/>
        </w:rPr>
      </w:pPr>
      <w:r w:rsidRPr="008B2D10">
        <w:rPr>
          <w:b/>
          <w:color w:val="000000"/>
          <w:lang w:val="ro-RO"/>
        </w:rPr>
        <w:t>XIX.</w:t>
      </w:r>
      <w:r w:rsidRPr="008B2D10">
        <w:rPr>
          <w:color w:val="000000"/>
          <w:lang w:val="ro-RO"/>
        </w:rPr>
        <w:t xml:space="preserve"> </w:t>
      </w:r>
      <w:r w:rsidRPr="008B2D10">
        <w:rPr>
          <w:b/>
          <w:color w:val="000000"/>
          <w:lang w:val="ro-RO"/>
        </w:rPr>
        <w:t>CONDI</w:t>
      </w:r>
      <w:r w:rsidR="00EF1059" w:rsidRPr="008B2D10">
        <w:rPr>
          <w:b/>
          <w:color w:val="000000"/>
          <w:lang w:val="ro-RO"/>
        </w:rPr>
        <w:t>T</w:t>
      </w:r>
      <w:r w:rsidRPr="008B2D10">
        <w:rPr>
          <w:b/>
          <w:color w:val="000000"/>
          <w:lang w:val="ro-RO"/>
        </w:rPr>
        <w:t>IILE DE DEPOZITARE</w:t>
      </w:r>
      <w:r w:rsidRPr="008B2D10">
        <w:rPr>
          <w:color w:val="000000"/>
          <w:lang w:val="ro-RO"/>
        </w:rPr>
        <w:t xml:space="preserve"> </w:t>
      </w:r>
      <w:r w:rsidR="006E4D8B" w:rsidRPr="008B2D10">
        <w:rPr>
          <w:color w:val="000000"/>
          <w:lang w:val="ro-RO"/>
        </w:rPr>
        <w:t>:</w:t>
      </w:r>
      <w:r w:rsidR="006E4D8B" w:rsidRPr="008B2D10">
        <w:rPr>
          <w:lang w:val="ro-RO"/>
        </w:rPr>
        <w:t xml:space="preserve"> </w:t>
      </w:r>
      <w:r w:rsidR="006E4D8B" w:rsidRPr="008B2D10">
        <w:rPr>
          <w:color w:val="000000"/>
          <w:lang w:val="ro-RO"/>
        </w:rPr>
        <w:t>Produsul se va păstra în ambalajul original, bine închis, ferit de lumină într-un loc uscat, răcoros, bine ventilat .</w:t>
      </w:r>
      <w:r w:rsidR="006E4D8B" w:rsidRPr="008B2D10">
        <w:rPr>
          <w:lang w:val="it-IT"/>
        </w:rPr>
        <w:t xml:space="preserve"> </w:t>
      </w:r>
      <w:r w:rsidR="006E4D8B" w:rsidRPr="008B2D10">
        <w:rPr>
          <w:color w:val="000000"/>
          <w:lang w:val="it-IT"/>
        </w:rPr>
        <w:t>Produsul se va păstra în recipienţi bine închişi în locuri ventilate şi răcoroase departe de razele solare directe, în locuri sigure, inaccesibile  animalelor de companie şi a altor animale care nu sunt specii ţintă, pentru a minimiza riscul de atingere sau ingerare.</w:t>
      </w:r>
      <w:r w:rsidR="00731AA0" w:rsidRPr="008B2D10">
        <w:rPr>
          <w:color w:val="000000"/>
          <w:lang w:val="it-IT"/>
        </w:rPr>
        <w:t>Temperatura de depozitare  este cuprinsa intre 0</w:t>
      </w:r>
      <w:r w:rsidR="00731AA0" w:rsidRPr="008B2D10">
        <w:rPr>
          <w:color w:val="000000"/>
          <w:vertAlign w:val="superscript"/>
          <w:lang w:val="it-IT"/>
        </w:rPr>
        <w:t>0</w:t>
      </w:r>
      <w:r w:rsidR="00731AA0" w:rsidRPr="008B2D10">
        <w:rPr>
          <w:color w:val="000000"/>
          <w:lang w:val="it-IT"/>
        </w:rPr>
        <w:t>C si 30</w:t>
      </w:r>
      <w:r w:rsidR="00731AA0" w:rsidRPr="008B2D10">
        <w:rPr>
          <w:color w:val="000000"/>
          <w:vertAlign w:val="superscript"/>
          <w:lang w:val="it-IT"/>
        </w:rPr>
        <w:t>0</w:t>
      </w:r>
      <w:r w:rsidR="00731AA0" w:rsidRPr="008B2D10">
        <w:rPr>
          <w:color w:val="000000"/>
          <w:lang w:val="it-IT"/>
        </w:rPr>
        <w:t>C.Produsul poate forma un amestec inflamabil de praf si aer.</w:t>
      </w:r>
    </w:p>
    <w:p w:rsidR="00B66405" w:rsidRDefault="00B66405" w:rsidP="008B2D10">
      <w:pPr>
        <w:rPr>
          <w:b/>
          <w:lang w:val="ro-RO"/>
        </w:rPr>
      </w:pPr>
      <w:r w:rsidRPr="008B2D10">
        <w:rPr>
          <w:lang w:val="ro-RO"/>
        </w:rPr>
        <w:t>DURATA DE CONSERVARE A PRODUSELOR BIOCIDE ÎN CONDI</w:t>
      </w:r>
      <w:r w:rsidR="00EF1059" w:rsidRPr="008B2D10">
        <w:rPr>
          <w:lang w:val="ro-RO"/>
        </w:rPr>
        <w:t>T</w:t>
      </w:r>
      <w:r w:rsidRPr="008B2D10">
        <w:rPr>
          <w:lang w:val="ro-RO"/>
        </w:rPr>
        <w:t xml:space="preserve">II NORMALE DE DEPOZITARE </w:t>
      </w:r>
      <w:r w:rsidR="007406C6" w:rsidRPr="008B2D10">
        <w:rPr>
          <w:lang w:val="ro-RO"/>
        </w:rPr>
        <w:t xml:space="preserve">: </w:t>
      </w:r>
      <w:r w:rsidR="007406C6" w:rsidRPr="008B2D10">
        <w:rPr>
          <w:b/>
          <w:lang w:val="ro-RO"/>
        </w:rPr>
        <w:t>2</w:t>
      </w:r>
      <w:r w:rsidR="009B6708" w:rsidRPr="008B2D10">
        <w:rPr>
          <w:b/>
          <w:lang w:val="ro-RO"/>
        </w:rPr>
        <w:t xml:space="preserve"> ani</w:t>
      </w:r>
      <w:r w:rsidR="00731AA0" w:rsidRPr="008B2D10">
        <w:rPr>
          <w:b/>
          <w:lang w:val="ro-RO"/>
        </w:rPr>
        <w:t xml:space="preserve"> (24 luni)</w:t>
      </w:r>
    </w:p>
    <w:p w:rsidR="008B2D10" w:rsidRPr="00F516D5" w:rsidRDefault="008B2D10" w:rsidP="008B2D10">
      <w:pPr>
        <w:rPr>
          <w:sz w:val="14"/>
          <w:lang w:val="ro-RO"/>
        </w:rPr>
      </w:pPr>
    </w:p>
    <w:p w:rsidR="00B66405" w:rsidRPr="008B2D10" w:rsidRDefault="00C25781" w:rsidP="008B2D10">
      <w:pPr>
        <w:pStyle w:val="NoSpacing"/>
        <w:rPr>
          <w:b/>
          <w:lang w:val="ro-RO"/>
        </w:rPr>
      </w:pPr>
      <w:r w:rsidRPr="008B2D10">
        <w:rPr>
          <w:b/>
          <w:lang w:val="ro-RO"/>
        </w:rPr>
        <w:t>XX.</w:t>
      </w:r>
      <w:r w:rsidR="00B66405" w:rsidRPr="008B2D10">
        <w:rPr>
          <w:b/>
          <w:lang w:val="ro-RO"/>
        </w:rPr>
        <w:t>ALTE INFORMA</w:t>
      </w:r>
      <w:r w:rsidR="00EF1059" w:rsidRPr="008B2D10">
        <w:rPr>
          <w:b/>
          <w:lang w:val="ro-RO"/>
        </w:rPr>
        <w:t>T</w:t>
      </w:r>
      <w:r w:rsidR="00B66405" w:rsidRPr="008B2D10">
        <w:rPr>
          <w:b/>
          <w:lang w:val="ro-RO"/>
        </w:rPr>
        <w:t>II, 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8B2D10" w:rsidTr="00AE1CFC">
        <w:tc>
          <w:tcPr>
            <w:tcW w:w="9923" w:type="dxa"/>
          </w:tcPr>
          <w:p w:rsidR="00B66405" w:rsidRPr="008B2D10" w:rsidRDefault="00B66405" w:rsidP="008B2D10">
            <w:pPr>
              <w:pStyle w:val="NoSpacing"/>
              <w:rPr>
                <w:lang w:val="ro-RO"/>
              </w:rPr>
            </w:pPr>
            <w:r w:rsidRPr="008B2D10">
              <w:rPr>
                <w:lang w:val="ro-RO"/>
              </w:rPr>
              <w:t>Prezenta autoriza</w:t>
            </w:r>
            <w:r w:rsidR="007707AC" w:rsidRPr="008B2D10">
              <w:rPr>
                <w:lang w:val="ro-RO"/>
              </w:rPr>
              <w:t>t</w:t>
            </w:r>
            <w:r w:rsidRPr="008B2D10">
              <w:rPr>
                <w:lang w:val="ro-RO"/>
              </w:rPr>
              <w:t>ie este înso</w:t>
            </w:r>
            <w:r w:rsidR="007707AC" w:rsidRPr="008B2D10">
              <w:rPr>
                <w:lang w:val="ro-RO"/>
              </w:rPr>
              <w:t>t</w:t>
            </w:r>
            <w:r w:rsidRPr="008B2D10">
              <w:rPr>
                <w:lang w:val="ro-RO"/>
              </w:rPr>
              <w:t>ită de următoarele documente :</w:t>
            </w:r>
            <w:r w:rsidR="00F516D5">
              <w:rPr>
                <w:lang w:val="ro-RO"/>
              </w:rPr>
              <w:t xml:space="preserve"> </w:t>
            </w:r>
            <w:r w:rsidRPr="008B2D10">
              <w:rPr>
                <w:lang w:val="ro-RO"/>
              </w:rPr>
              <w:t>proiect de etichetă a produsului biocid</w:t>
            </w:r>
            <w:r w:rsidR="00F516D5">
              <w:rPr>
                <w:lang w:val="ro-RO"/>
              </w:rPr>
              <w:t xml:space="preserve">, </w:t>
            </w:r>
          </w:p>
          <w:p w:rsidR="00B66405" w:rsidRPr="008B2D10" w:rsidRDefault="00B66405" w:rsidP="00F516D5">
            <w:pPr>
              <w:pStyle w:val="NoSpacing"/>
              <w:rPr>
                <w:lang w:val="ro-RO"/>
              </w:rPr>
            </w:pPr>
            <w:r w:rsidRPr="008B2D10">
              <w:rPr>
                <w:lang w:val="ro-RO"/>
              </w:rPr>
              <w:t>fi</w:t>
            </w:r>
            <w:r w:rsidR="007707AC" w:rsidRPr="008B2D10">
              <w:rPr>
                <w:lang w:val="ro-RO"/>
              </w:rPr>
              <w:t>s</w:t>
            </w:r>
            <w:r w:rsidRPr="008B2D10">
              <w:rPr>
                <w:lang w:val="ro-RO"/>
              </w:rPr>
              <w:t>a cu date de securitate a produsului biocid</w:t>
            </w:r>
            <w:r w:rsidR="00F516D5">
              <w:rPr>
                <w:lang w:val="ro-RO"/>
              </w:rPr>
              <w:t xml:space="preserve"> si </w:t>
            </w:r>
            <w:bookmarkStart w:id="0" w:name="_GoBack"/>
            <w:bookmarkEnd w:id="0"/>
            <w:r w:rsidRPr="008B2D10">
              <w:rPr>
                <w:lang w:val="ro-RO"/>
              </w:rPr>
              <w:t xml:space="preserve">rezumatul caracteristicilor produsului biocid </w:t>
            </w:r>
          </w:p>
        </w:tc>
      </w:tr>
    </w:tbl>
    <w:p w:rsidR="00B66405" w:rsidRPr="008B2D10" w:rsidRDefault="00B66405" w:rsidP="008B2D10">
      <w:pPr>
        <w:numPr>
          <w:ilvl w:val="0"/>
          <w:numId w:val="7"/>
        </w:numPr>
        <w:ind w:left="709"/>
        <w:rPr>
          <w:lang w:val="ro-RO"/>
        </w:rPr>
      </w:pPr>
      <w:r w:rsidRPr="008B2D10">
        <w:rPr>
          <w:lang w:val="ro-RO"/>
        </w:rPr>
        <w:t>Este obligatorie transmiterea de către de</w:t>
      </w:r>
      <w:r w:rsidR="007707AC" w:rsidRPr="008B2D10">
        <w:rPr>
          <w:lang w:val="ro-RO"/>
        </w:rPr>
        <w:t>tinătorul autorizatiei a fis</w:t>
      </w:r>
      <w:r w:rsidRPr="008B2D10">
        <w:rPr>
          <w:lang w:val="ro-RO"/>
        </w:rPr>
        <w:t>ei cu date de</w:t>
      </w:r>
      <w:r w:rsidR="007707AC" w:rsidRPr="008B2D10">
        <w:rPr>
          <w:lang w:val="ro-RO"/>
        </w:rPr>
        <w:t xml:space="preserve"> securitate către Institutul Nat</w:t>
      </w:r>
      <w:r w:rsidRPr="008B2D10">
        <w:rPr>
          <w:lang w:val="ro-RO"/>
        </w:rPr>
        <w:t xml:space="preserve">ional de Sănătate Publică </w:t>
      </w:r>
      <w:r w:rsidR="007707AC" w:rsidRPr="008B2D10">
        <w:rPr>
          <w:lang w:val="ro-RO"/>
        </w:rPr>
        <w:t>– Biroul RSI s</w:t>
      </w:r>
      <w:r w:rsidRPr="008B2D10">
        <w:rPr>
          <w:lang w:val="ro-RO"/>
        </w:rPr>
        <w:t>i Informare Toxicologică</w:t>
      </w:r>
    </w:p>
    <w:p w:rsidR="00B66405" w:rsidRPr="008B2D10" w:rsidRDefault="00B66405" w:rsidP="008B2D10">
      <w:pPr>
        <w:numPr>
          <w:ilvl w:val="0"/>
          <w:numId w:val="7"/>
        </w:numPr>
        <w:ind w:left="709"/>
        <w:rPr>
          <w:lang w:val="ro-RO"/>
        </w:rPr>
      </w:pPr>
      <w:r w:rsidRPr="008B2D10">
        <w:rPr>
          <w:lang w:val="ro-RO"/>
        </w:rPr>
        <w:t>P</w:t>
      </w:r>
      <w:r w:rsidR="007707AC" w:rsidRPr="008B2D10">
        <w:rPr>
          <w:lang w:val="ro-RO"/>
        </w:rPr>
        <w:t>rezentul document poate fi însot</w:t>
      </w:r>
      <w:r w:rsidRPr="008B2D10">
        <w:rPr>
          <w:lang w:val="ro-RO"/>
        </w:rPr>
        <w:t>it de anexă în cazul modificărilor administrative</w:t>
      </w:r>
    </w:p>
    <w:p w:rsidR="00B66405" w:rsidRPr="008B2D10" w:rsidRDefault="00B66405" w:rsidP="008B2D10">
      <w:pPr>
        <w:rPr>
          <w:lang w:val="ro-RO"/>
        </w:rPr>
      </w:pPr>
    </w:p>
    <w:p w:rsidR="00AE1CFC" w:rsidRPr="008B2D10" w:rsidRDefault="00B66405" w:rsidP="008B2D10">
      <w:pPr>
        <w:pStyle w:val="NoSpacing"/>
        <w:rPr>
          <w:lang w:val="ro-RO"/>
        </w:rPr>
      </w:pPr>
      <w:r w:rsidRPr="008B2D10">
        <w:rPr>
          <w:color w:val="FF0000"/>
          <w:lang w:val="ro-RO"/>
        </w:rPr>
        <w:tab/>
      </w:r>
      <w:r w:rsidRPr="008B2D10">
        <w:rPr>
          <w:color w:val="FF0000"/>
          <w:lang w:val="ro-RO"/>
        </w:rPr>
        <w:tab/>
      </w:r>
      <w:r w:rsidRPr="008B2D10">
        <w:rPr>
          <w:color w:val="FF0000"/>
          <w:lang w:val="ro-RO"/>
        </w:rPr>
        <w:tab/>
      </w:r>
      <w:r w:rsidRPr="008B2D10">
        <w:rPr>
          <w:color w:val="FF0000"/>
          <w:lang w:val="ro-RO"/>
        </w:rPr>
        <w:tab/>
      </w:r>
      <w:r w:rsidRPr="008B2D10">
        <w:rPr>
          <w:color w:val="FF0000"/>
          <w:lang w:val="ro-RO"/>
        </w:rPr>
        <w:tab/>
      </w:r>
      <w:r w:rsidRPr="008B2D10">
        <w:rPr>
          <w:color w:val="FF0000"/>
          <w:lang w:val="ro-RO"/>
        </w:rPr>
        <w:tab/>
      </w:r>
      <w:r w:rsidRPr="008B2D10">
        <w:rPr>
          <w:color w:val="FF0000"/>
          <w:lang w:val="ro-RO"/>
        </w:rPr>
        <w:tab/>
      </w:r>
      <w:r w:rsidRPr="008B2D10">
        <w:rPr>
          <w:color w:val="FF0000"/>
          <w:lang w:val="ro-RO"/>
        </w:rPr>
        <w:tab/>
      </w:r>
      <w:r w:rsidRPr="008B2D10">
        <w:rPr>
          <w:lang w:val="ro-RO"/>
        </w:rPr>
        <w:t>PRE</w:t>
      </w:r>
      <w:r w:rsidR="00A616BE" w:rsidRPr="008B2D10">
        <w:rPr>
          <w:lang w:val="ro-RO"/>
        </w:rPr>
        <w:t>S</w:t>
      </w:r>
      <w:r w:rsidRPr="008B2D10">
        <w:rPr>
          <w:lang w:val="ro-RO"/>
        </w:rPr>
        <w:t>EDINTE,</w:t>
      </w:r>
    </w:p>
    <w:p w:rsidR="00A04268" w:rsidRPr="008B2D10" w:rsidRDefault="00A04268" w:rsidP="008B2D10">
      <w:pPr>
        <w:pStyle w:val="NoSpacing"/>
        <w:rPr>
          <w:lang w:val="ro-RO"/>
        </w:rPr>
      </w:pPr>
      <w:r w:rsidRPr="008B2D10">
        <w:rPr>
          <w:lang w:val="ro-RO"/>
        </w:rPr>
        <w:tab/>
      </w:r>
      <w:r w:rsidRPr="008B2D10">
        <w:rPr>
          <w:lang w:val="ro-RO"/>
        </w:rPr>
        <w:tab/>
      </w:r>
      <w:r w:rsidRPr="008B2D10">
        <w:rPr>
          <w:lang w:val="ro-RO"/>
        </w:rPr>
        <w:tab/>
      </w:r>
      <w:r w:rsidRPr="008B2D10">
        <w:rPr>
          <w:lang w:val="ro-RO"/>
        </w:rPr>
        <w:tab/>
      </w:r>
      <w:r w:rsidRPr="008B2D10">
        <w:rPr>
          <w:lang w:val="ro-RO"/>
        </w:rPr>
        <w:tab/>
      </w:r>
      <w:r w:rsidRPr="008B2D10">
        <w:rPr>
          <w:lang w:val="ro-RO"/>
        </w:rPr>
        <w:tab/>
      </w:r>
      <w:r w:rsidRPr="008B2D10">
        <w:rPr>
          <w:lang w:val="ro-RO"/>
        </w:rPr>
        <w:tab/>
      </w:r>
      <w:r w:rsidRPr="008B2D10">
        <w:rPr>
          <w:lang w:val="ro-RO"/>
        </w:rPr>
        <w:tab/>
        <w:t>Dr. Chim. Gabriela Cilinca</w:t>
      </w:r>
    </w:p>
    <w:p w:rsidR="00016938" w:rsidRPr="007707AC" w:rsidRDefault="00016938" w:rsidP="008B2D10">
      <w:r w:rsidRPr="008B2D10">
        <w:rPr>
          <w:lang w:val="ro-RO"/>
        </w:rPr>
        <w:tab/>
      </w:r>
      <w:r w:rsidRPr="008B2D10">
        <w:rPr>
          <w:lang w:val="ro-RO"/>
        </w:rPr>
        <w:tab/>
      </w:r>
      <w:r w:rsidRPr="008B2D10">
        <w:rPr>
          <w:lang w:val="ro-RO"/>
        </w:rPr>
        <w:tab/>
      </w:r>
      <w:r w:rsidRPr="008B2D10">
        <w:rPr>
          <w:lang w:val="ro-RO"/>
        </w:rPr>
        <w:tab/>
      </w:r>
      <w:r w:rsidRPr="008B2D10">
        <w:rPr>
          <w:lang w:val="ro-RO"/>
        </w:rPr>
        <w:tab/>
      </w:r>
      <w:r>
        <w:rPr>
          <w:lang w:val="ro-RO"/>
        </w:rPr>
        <w:tab/>
      </w:r>
      <w:r>
        <w:rPr>
          <w:lang w:val="ro-RO"/>
        </w:rPr>
        <w:tab/>
      </w:r>
      <w:r>
        <w:rPr>
          <w:lang w:val="ro-RO"/>
        </w:rPr>
        <w:tab/>
      </w:r>
    </w:p>
    <w:sectPr w:rsidR="00016938" w:rsidRPr="007707AC" w:rsidSect="00AE1CF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02" w:rsidRDefault="00C33B02">
      <w:r>
        <w:separator/>
      </w:r>
    </w:p>
  </w:endnote>
  <w:endnote w:type="continuationSeparator" w:id="0">
    <w:p w:rsidR="00C33B02" w:rsidRDefault="00C3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CFC" w:rsidRDefault="00AE1CFC"/>
  <w:p w:rsidR="00AE1CFC" w:rsidRDefault="00AE1CFC"/>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AE1CFC" w:rsidRPr="007A1CBD">
      <w:trPr>
        <w:cantSplit/>
      </w:trPr>
      <w:tc>
        <w:tcPr>
          <w:tcW w:w="1701" w:type="dxa"/>
          <w:shd w:val="clear" w:color="auto" w:fill="auto"/>
        </w:tcPr>
        <w:p w:rsidR="00AE1CFC" w:rsidRPr="007A1CBD" w:rsidRDefault="00AE1CFC" w:rsidP="00AE1CF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D42617">
            <w:rPr>
              <w:rFonts w:ascii="Arial" w:hAnsi="Arial"/>
              <w:noProof/>
              <w:sz w:val="18"/>
            </w:rPr>
            <w:t>12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D42617">
            <w:rPr>
              <w:rFonts w:ascii="Arial" w:hAnsi="Arial"/>
              <w:noProof/>
              <w:sz w:val="18"/>
            </w:rPr>
            <w:t>12</w:t>
          </w:r>
          <w:r w:rsidRPr="00EA2CC9">
            <w:rPr>
              <w:rFonts w:ascii="Arial" w:hAnsi="Arial"/>
              <w:sz w:val="18"/>
            </w:rPr>
            <w:fldChar w:fldCharType="end"/>
          </w:r>
        </w:p>
      </w:tc>
      <w:tc>
        <w:tcPr>
          <w:tcW w:w="8222" w:type="dxa"/>
          <w:shd w:val="clear" w:color="auto" w:fill="auto"/>
        </w:tcPr>
        <w:p w:rsidR="00AE1CFC" w:rsidRPr="007A1CBD" w:rsidRDefault="00AE1CFC" w:rsidP="00AE1CFC">
          <w:pPr>
            <w:pStyle w:val="Header"/>
            <w:jc w:val="center"/>
            <w:rPr>
              <w:rFonts w:ascii="Arial" w:hAnsi="Arial"/>
              <w:sz w:val="6"/>
            </w:rPr>
          </w:pPr>
        </w:p>
        <w:p w:rsidR="00AE1CFC" w:rsidRPr="004203CC" w:rsidRDefault="00AE1CFC" w:rsidP="00AE1CFC">
          <w:pPr>
            <w:pStyle w:val="Header"/>
            <w:jc w:val="center"/>
          </w:pPr>
          <w:r w:rsidRPr="004203CC">
            <w:t>Autorizatie nr.</w:t>
          </w:r>
          <w:r w:rsidR="004203CC" w:rsidRPr="004203CC">
            <w:t xml:space="preserve"> </w:t>
          </w:r>
          <w:r w:rsidR="004203CC" w:rsidRPr="004203CC">
            <w:rPr>
              <w:lang w:val="it-IT"/>
            </w:rPr>
            <w:t>RO/2016/0183/MRA/IE/BPA 70297</w:t>
          </w:r>
        </w:p>
      </w:tc>
    </w:tr>
  </w:tbl>
  <w:p w:rsidR="00AE1CFC" w:rsidRDefault="00AE1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02" w:rsidRDefault="00C33B02">
      <w:r>
        <w:separator/>
      </w:r>
    </w:p>
  </w:footnote>
  <w:footnote w:type="continuationSeparator" w:id="0">
    <w:p w:rsidR="00C33B02" w:rsidRDefault="00C3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AE1CFC" w:rsidRPr="007A1CBD" w:rsidTr="00AE1CFC">
      <w:trPr>
        <w:trHeight w:val="1080"/>
      </w:trPr>
      <w:tc>
        <w:tcPr>
          <w:tcW w:w="1622" w:type="dxa"/>
          <w:shd w:val="clear" w:color="auto" w:fill="auto"/>
          <w:vAlign w:val="center"/>
        </w:tcPr>
        <w:p w:rsidR="00AE1CFC" w:rsidRPr="007A1CBD" w:rsidRDefault="00AE1CFC" w:rsidP="00AE1CF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AE1CFC" w:rsidRPr="00B66405" w:rsidRDefault="00AE1CFC" w:rsidP="00AE1CF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AE1CFC" w:rsidRPr="00B66405" w:rsidRDefault="00AE1CFC" w:rsidP="00AE1CF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AE1CFC" w:rsidRPr="0075172A" w:rsidRDefault="00AE1CFC" w:rsidP="00AE1CFC">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AE1CFC" w:rsidRPr="007A1CBD" w:rsidRDefault="00AE1CFC" w:rsidP="00AE1CFC">
          <w:pPr>
            <w:pStyle w:val="Header"/>
            <w:jc w:val="center"/>
          </w:pPr>
          <w:r w:rsidRPr="0075172A">
            <w:rPr>
              <w:rFonts w:ascii="Arial" w:hAnsi="Arial"/>
              <w:sz w:val="16"/>
              <w:szCs w:val="16"/>
            </w:rPr>
            <w:t>Tel: *(+40 21) 318 36 20, Secretariat tehnic: (+40 21) 311 86 20; Fax: (+40 21) 311 86 22</w:t>
          </w:r>
        </w:p>
      </w:tc>
    </w:tr>
  </w:tbl>
  <w:p w:rsidR="00AE1CFC" w:rsidRDefault="00AE1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5"/>
      <w:numFmt w:val="upperRoman"/>
      <w:lvlText w:val="%1"/>
      <w:lvlJc w:val="left"/>
      <w:pPr>
        <w:ind w:left="507" w:hanging="395"/>
      </w:pPr>
      <w:rPr>
        <w:rFonts w:cs="Times New Roman"/>
      </w:rPr>
    </w:lvl>
    <w:lvl w:ilvl="1">
      <w:start w:val="12"/>
      <w:numFmt w:val="lowerLetter"/>
      <w:lvlText w:val="%1.%2"/>
      <w:lvlJc w:val="left"/>
      <w:pPr>
        <w:ind w:left="507" w:hanging="395"/>
      </w:pPr>
      <w:rPr>
        <w:rFonts w:ascii="Arial" w:hAnsi="Arial" w:cs="Arial"/>
        <w:b w:val="0"/>
        <w:bCs w:val="0"/>
        <w:color w:val="262626"/>
        <w:spacing w:val="-34"/>
        <w:w w:val="100"/>
        <w:sz w:val="21"/>
        <w:szCs w:val="21"/>
      </w:rPr>
    </w:lvl>
    <w:lvl w:ilvl="2">
      <w:numFmt w:val="bullet"/>
      <w:lvlText w:val="•"/>
      <w:lvlJc w:val="left"/>
      <w:pPr>
        <w:ind w:left="840" w:hanging="332"/>
      </w:pPr>
      <w:rPr>
        <w:rFonts w:ascii="Times New Roman" w:hAnsi="Times New Roman"/>
        <w:b w:val="0"/>
        <w:w w:val="131"/>
      </w:rPr>
    </w:lvl>
    <w:lvl w:ilvl="3">
      <w:numFmt w:val="bullet"/>
      <w:lvlText w:val="•"/>
      <w:lvlJc w:val="left"/>
      <w:pPr>
        <w:ind w:left="1913" w:hanging="332"/>
      </w:pPr>
    </w:lvl>
    <w:lvl w:ilvl="4">
      <w:numFmt w:val="bullet"/>
      <w:lvlText w:val="•"/>
      <w:lvlJc w:val="left"/>
      <w:pPr>
        <w:ind w:left="2449" w:hanging="332"/>
      </w:pPr>
    </w:lvl>
    <w:lvl w:ilvl="5">
      <w:numFmt w:val="bullet"/>
      <w:lvlText w:val="•"/>
      <w:lvlJc w:val="left"/>
      <w:pPr>
        <w:ind w:left="2986" w:hanging="332"/>
      </w:pPr>
    </w:lvl>
    <w:lvl w:ilvl="6">
      <w:numFmt w:val="bullet"/>
      <w:lvlText w:val="•"/>
      <w:lvlJc w:val="left"/>
      <w:pPr>
        <w:ind w:left="3522" w:hanging="332"/>
      </w:pPr>
    </w:lvl>
    <w:lvl w:ilvl="7">
      <w:numFmt w:val="bullet"/>
      <w:lvlText w:val="•"/>
      <w:lvlJc w:val="left"/>
      <w:pPr>
        <w:ind w:left="4059" w:hanging="332"/>
      </w:pPr>
    </w:lvl>
    <w:lvl w:ilvl="8">
      <w:numFmt w:val="bullet"/>
      <w:lvlText w:val="•"/>
      <w:lvlJc w:val="left"/>
      <w:pPr>
        <w:ind w:left="4595" w:hanging="332"/>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42D4C"/>
    <w:multiLevelType w:val="hybridMultilevel"/>
    <w:tmpl w:val="3A46D8EE"/>
    <w:lvl w:ilvl="0" w:tplc="6504DA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53646B7B"/>
    <w:multiLevelType w:val="hybridMultilevel"/>
    <w:tmpl w:val="4FCE18C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35154"/>
    <w:multiLevelType w:val="hybridMultilevel"/>
    <w:tmpl w:val="1DA6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1"/>
  </w:num>
  <w:num w:numId="4">
    <w:abstractNumId w:val="24"/>
  </w:num>
  <w:num w:numId="5">
    <w:abstractNumId w:val="1"/>
  </w:num>
  <w:num w:numId="6">
    <w:abstractNumId w:val="30"/>
  </w:num>
  <w:num w:numId="7">
    <w:abstractNumId w:val="9"/>
  </w:num>
  <w:num w:numId="8">
    <w:abstractNumId w:val="34"/>
  </w:num>
  <w:num w:numId="9">
    <w:abstractNumId w:val="25"/>
  </w:num>
  <w:num w:numId="10">
    <w:abstractNumId w:val="17"/>
  </w:num>
  <w:num w:numId="11">
    <w:abstractNumId w:val="33"/>
  </w:num>
  <w:num w:numId="12">
    <w:abstractNumId w:val="28"/>
  </w:num>
  <w:num w:numId="13">
    <w:abstractNumId w:val="8"/>
  </w:num>
  <w:num w:numId="14">
    <w:abstractNumId w:val="6"/>
  </w:num>
  <w:num w:numId="15">
    <w:abstractNumId w:val="15"/>
  </w:num>
  <w:num w:numId="16">
    <w:abstractNumId w:val="21"/>
  </w:num>
  <w:num w:numId="17">
    <w:abstractNumId w:val="11"/>
  </w:num>
  <w:num w:numId="18">
    <w:abstractNumId w:val="2"/>
  </w:num>
  <w:num w:numId="19">
    <w:abstractNumId w:val="3"/>
  </w:num>
  <w:num w:numId="20">
    <w:abstractNumId w:val="32"/>
  </w:num>
  <w:num w:numId="21">
    <w:abstractNumId w:val="16"/>
  </w:num>
  <w:num w:numId="22">
    <w:abstractNumId w:val="7"/>
  </w:num>
  <w:num w:numId="23">
    <w:abstractNumId w:val="10"/>
  </w:num>
  <w:num w:numId="24">
    <w:abstractNumId w:val="5"/>
  </w:num>
  <w:num w:numId="25">
    <w:abstractNumId w:val="36"/>
  </w:num>
  <w:num w:numId="26">
    <w:abstractNumId w:val="20"/>
  </w:num>
  <w:num w:numId="27">
    <w:abstractNumId w:val="19"/>
  </w:num>
  <w:num w:numId="28">
    <w:abstractNumId w:val="29"/>
  </w:num>
  <w:num w:numId="29">
    <w:abstractNumId w:val="12"/>
  </w:num>
  <w:num w:numId="30">
    <w:abstractNumId w:val="26"/>
  </w:num>
  <w:num w:numId="31">
    <w:abstractNumId w:val="14"/>
  </w:num>
  <w:num w:numId="32">
    <w:abstractNumId w:val="23"/>
  </w:num>
  <w:num w:numId="33">
    <w:abstractNumId w:val="35"/>
  </w:num>
  <w:num w:numId="34">
    <w:abstractNumId w:val="4"/>
  </w:num>
  <w:num w:numId="35">
    <w:abstractNumId w:val="27"/>
  </w:num>
  <w:num w:numId="36">
    <w:abstractNumId w:val="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2A42"/>
    <w:rsid w:val="00016938"/>
    <w:rsid w:val="000272EF"/>
    <w:rsid w:val="00027CC5"/>
    <w:rsid w:val="00031285"/>
    <w:rsid w:val="00044538"/>
    <w:rsid w:val="0004550C"/>
    <w:rsid w:val="00056E50"/>
    <w:rsid w:val="000624BD"/>
    <w:rsid w:val="00094ED4"/>
    <w:rsid w:val="000C6352"/>
    <w:rsid w:val="000C76B8"/>
    <w:rsid w:val="000E257D"/>
    <w:rsid w:val="000E652C"/>
    <w:rsid w:val="000E6728"/>
    <w:rsid w:val="000F0086"/>
    <w:rsid w:val="00111292"/>
    <w:rsid w:val="00111DB4"/>
    <w:rsid w:val="00112FCC"/>
    <w:rsid w:val="00121DDD"/>
    <w:rsid w:val="00123729"/>
    <w:rsid w:val="0013788E"/>
    <w:rsid w:val="001546AC"/>
    <w:rsid w:val="00160E12"/>
    <w:rsid w:val="001801D2"/>
    <w:rsid w:val="00182F9C"/>
    <w:rsid w:val="001859C3"/>
    <w:rsid w:val="001A096C"/>
    <w:rsid w:val="001A2F9C"/>
    <w:rsid w:val="001B1AC4"/>
    <w:rsid w:val="001C7583"/>
    <w:rsid w:val="00203F73"/>
    <w:rsid w:val="0021083B"/>
    <w:rsid w:val="00226F24"/>
    <w:rsid w:val="00232E95"/>
    <w:rsid w:val="002610E0"/>
    <w:rsid w:val="00261BB3"/>
    <w:rsid w:val="00262400"/>
    <w:rsid w:val="00294AB3"/>
    <w:rsid w:val="002A29A1"/>
    <w:rsid w:val="002B09E0"/>
    <w:rsid w:val="002C121A"/>
    <w:rsid w:val="002D65DA"/>
    <w:rsid w:val="002E133C"/>
    <w:rsid w:val="002E3A07"/>
    <w:rsid w:val="002F1B9A"/>
    <w:rsid w:val="00322856"/>
    <w:rsid w:val="0032549F"/>
    <w:rsid w:val="00346AEE"/>
    <w:rsid w:val="003711FA"/>
    <w:rsid w:val="00385365"/>
    <w:rsid w:val="003B36C0"/>
    <w:rsid w:val="003C4685"/>
    <w:rsid w:val="003E25B6"/>
    <w:rsid w:val="003E4CCE"/>
    <w:rsid w:val="003E5741"/>
    <w:rsid w:val="003F0ED3"/>
    <w:rsid w:val="003F4290"/>
    <w:rsid w:val="00400263"/>
    <w:rsid w:val="0040177A"/>
    <w:rsid w:val="004020CE"/>
    <w:rsid w:val="004058F7"/>
    <w:rsid w:val="00407CD5"/>
    <w:rsid w:val="004203CC"/>
    <w:rsid w:val="004473D1"/>
    <w:rsid w:val="004528C2"/>
    <w:rsid w:val="00467F1E"/>
    <w:rsid w:val="00491026"/>
    <w:rsid w:val="004A208E"/>
    <w:rsid w:val="004D3B31"/>
    <w:rsid w:val="004F110F"/>
    <w:rsid w:val="004F60DD"/>
    <w:rsid w:val="005061F4"/>
    <w:rsid w:val="00513FBB"/>
    <w:rsid w:val="00522A7B"/>
    <w:rsid w:val="0055665A"/>
    <w:rsid w:val="00563B04"/>
    <w:rsid w:val="00564DC0"/>
    <w:rsid w:val="00565D4E"/>
    <w:rsid w:val="005813E1"/>
    <w:rsid w:val="0059478D"/>
    <w:rsid w:val="005C2BCF"/>
    <w:rsid w:val="005E74BB"/>
    <w:rsid w:val="00605BA6"/>
    <w:rsid w:val="00613F4A"/>
    <w:rsid w:val="0061750F"/>
    <w:rsid w:val="006307E0"/>
    <w:rsid w:val="00631E8B"/>
    <w:rsid w:val="00640A10"/>
    <w:rsid w:val="006501DA"/>
    <w:rsid w:val="0066180E"/>
    <w:rsid w:val="0068479C"/>
    <w:rsid w:val="00687B1A"/>
    <w:rsid w:val="00697846"/>
    <w:rsid w:val="006A3624"/>
    <w:rsid w:val="006A6021"/>
    <w:rsid w:val="006B1D76"/>
    <w:rsid w:val="006C080F"/>
    <w:rsid w:val="006E2C7D"/>
    <w:rsid w:val="006E4D8B"/>
    <w:rsid w:val="006E6A04"/>
    <w:rsid w:val="00703B00"/>
    <w:rsid w:val="00712714"/>
    <w:rsid w:val="00725906"/>
    <w:rsid w:val="0072776A"/>
    <w:rsid w:val="00731AA0"/>
    <w:rsid w:val="007406C6"/>
    <w:rsid w:val="0074479C"/>
    <w:rsid w:val="00764EC2"/>
    <w:rsid w:val="00765C2B"/>
    <w:rsid w:val="007707AC"/>
    <w:rsid w:val="00774AD6"/>
    <w:rsid w:val="00774E2B"/>
    <w:rsid w:val="007909E4"/>
    <w:rsid w:val="00793687"/>
    <w:rsid w:val="007A5F68"/>
    <w:rsid w:val="007B3C7D"/>
    <w:rsid w:val="007B7E80"/>
    <w:rsid w:val="007D4F10"/>
    <w:rsid w:val="007D7B63"/>
    <w:rsid w:val="0080257F"/>
    <w:rsid w:val="008050E7"/>
    <w:rsid w:val="00810522"/>
    <w:rsid w:val="008272C5"/>
    <w:rsid w:val="0084654A"/>
    <w:rsid w:val="00884803"/>
    <w:rsid w:val="008B2D10"/>
    <w:rsid w:val="008C0E3D"/>
    <w:rsid w:val="008C5688"/>
    <w:rsid w:val="008E57E0"/>
    <w:rsid w:val="008E5BE9"/>
    <w:rsid w:val="008E7089"/>
    <w:rsid w:val="00904C82"/>
    <w:rsid w:val="009206ED"/>
    <w:rsid w:val="0094744F"/>
    <w:rsid w:val="00950AA5"/>
    <w:rsid w:val="00952E7F"/>
    <w:rsid w:val="00954B28"/>
    <w:rsid w:val="00955923"/>
    <w:rsid w:val="00956949"/>
    <w:rsid w:val="0097595E"/>
    <w:rsid w:val="0097717D"/>
    <w:rsid w:val="009847DB"/>
    <w:rsid w:val="009913F6"/>
    <w:rsid w:val="009A6C9D"/>
    <w:rsid w:val="009B6140"/>
    <w:rsid w:val="009B6708"/>
    <w:rsid w:val="009C0DEC"/>
    <w:rsid w:val="009D24A7"/>
    <w:rsid w:val="009D3AAA"/>
    <w:rsid w:val="009E5DDE"/>
    <w:rsid w:val="00A04268"/>
    <w:rsid w:val="00A257EE"/>
    <w:rsid w:val="00A516B1"/>
    <w:rsid w:val="00A54726"/>
    <w:rsid w:val="00A616BE"/>
    <w:rsid w:val="00A64BFA"/>
    <w:rsid w:val="00A76D58"/>
    <w:rsid w:val="00A856E1"/>
    <w:rsid w:val="00A95A75"/>
    <w:rsid w:val="00AA7DB0"/>
    <w:rsid w:val="00AB6076"/>
    <w:rsid w:val="00AE1CFC"/>
    <w:rsid w:val="00AE2645"/>
    <w:rsid w:val="00AF0B6E"/>
    <w:rsid w:val="00B01816"/>
    <w:rsid w:val="00B03652"/>
    <w:rsid w:val="00B05124"/>
    <w:rsid w:val="00B12538"/>
    <w:rsid w:val="00B25ABA"/>
    <w:rsid w:val="00B34D0B"/>
    <w:rsid w:val="00B35571"/>
    <w:rsid w:val="00B434F4"/>
    <w:rsid w:val="00B66405"/>
    <w:rsid w:val="00B7542D"/>
    <w:rsid w:val="00B75A0D"/>
    <w:rsid w:val="00BD2AC4"/>
    <w:rsid w:val="00BD5D56"/>
    <w:rsid w:val="00C02372"/>
    <w:rsid w:val="00C15D4A"/>
    <w:rsid w:val="00C21190"/>
    <w:rsid w:val="00C25781"/>
    <w:rsid w:val="00C33B02"/>
    <w:rsid w:val="00C40F69"/>
    <w:rsid w:val="00C43A97"/>
    <w:rsid w:val="00C5247F"/>
    <w:rsid w:val="00C531B2"/>
    <w:rsid w:val="00C548E1"/>
    <w:rsid w:val="00C7109B"/>
    <w:rsid w:val="00CC3182"/>
    <w:rsid w:val="00CE47C0"/>
    <w:rsid w:val="00CE5FEB"/>
    <w:rsid w:val="00CE732B"/>
    <w:rsid w:val="00CE797D"/>
    <w:rsid w:val="00CF4C68"/>
    <w:rsid w:val="00CF5A90"/>
    <w:rsid w:val="00D039F0"/>
    <w:rsid w:val="00D1290E"/>
    <w:rsid w:val="00D143A7"/>
    <w:rsid w:val="00D27580"/>
    <w:rsid w:val="00D30533"/>
    <w:rsid w:val="00D42617"/>
    <w:rsid w:val="00D43809"/>
    <w:rsid w:val="00D447E1"/>
    <w:rsid w:val="00D81852"/>
    <w:rsid w:val="00D85580"/>
    <w:rsid w:val="00D87EFC"/>
    <w:rsid w:val="00DA6D2A"/>
    <w:rsid w:val="00DA7192"/>
    <w:rsid w:val="00DB4F8D"/>
    <w:rsid w:val="00DC4E27"/>
    <w:rsid w:val="00DD76ED"/>
    <w:rsid w:val="00DE5738"/>
    <w:rsid w:val="00E10648"/>
    <w:rsid w:val="00E30465"/>
    <w:rsid w:val="00E443E2"/>
    <w:rsid w:val="00E6478C"/>
    <w:rsid w:val="00E7415E"/>
    <w:rsid w:val="00E75083"/>
    <w:rsid w:val="00E842EC"/>
    <w:rsid w:val="00E906CC"/>
    <w:rsid w:val="00E95505"/>
    <w:rsid w:val="00EA634D"/>
    <w:rsid w:val="00EB56AB"/>
    <w:rsid w:val="00EC19B2"/>
    <w:rsid w:val="00EC4992"/>
    <w:rsid w:val="00ED4708"/>
    <w:rsid w:val="00EF1059"/>
    <w:rsid w:val="00EF6F11"/>
    <w:rsid w:val="00F04F99"/>
    <w:rsid w:val="00F07B10"/>
    <w:rsid w:val="00F1361B"/>
    <w:rsid w:val="00F20DAC"/>
    <w:rsid w:val="00F33E41"/>
    <w:rsid w:val="00F51301"/>
    <w:rsid w:val="00F516D5"/>
    <w:rsid w:val="00F7088C"/>
    <w:rsid w:val="00F81BAB"/>
    <w:rsid w:val="00FA2FAC"/>
    <w:rsid w:val="00F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EB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EB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284D68-67D3-40FB-BC80-7BDFB516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12</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154</cp:revision>
  <cp:lastPrinted>2016-07-29T10:21:00Z</cp:lastPrinted>
  <dcterms:created xsi:type="dcterms:W3CDTF">2014-10-24T09:12:00Z</dcterms:created>
  <dcterms:modified xsi:type="dcterms:W3CDTF">2016-07-29T10:26:00Z</dcterms:modified>
</cp:coreProperties>
</file>