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53996" w14:textId="77777777" w:rsidR="00F57736" w:rsidRPr="003016DF" w:rsidRDefault="00E86372" w:rsidP="00F57736">
      <w:r>
        <w:rPr>
          <w:rFonts w:eastAsiaTheme="minorHAnsi"/>
          <w:noProof/>
          <w:szCs w:val="24"/>
          <w:lang w:val="sv-SE" w:eastAsia="sv-SE"/>
        </w:rPr>
        <mc:AlternateContent>
          <mc:Choice Requires="wps">
            <w:drawing>
              <wp:anchor distT="91440" distB="91440" distL="114300" distR="114300" simplePos="0" relativeHeight="251659264" behindDoc="0" locked="0" layoutInCell="0" allowOverlap="1" wp14:anchorId="68353A5A" wp14:editId="6A45CAAE">
                <wp:simplePos x="0" y="0"/>
                <wp:positionH relativeFrom="margin">
                  <wp:posOffset>3047365</wp:posOffset>
                </wp:positionH>
                <wp:positionV relativeFrom="margin">
                  <wp:posOffset>419100</wp:posOffset>
                </wp:positionV>
                <wp:extent cx="2409825" cy="1341120"/>
                <wp:effectExtent l="0" t="0" r="0" b="0"/>
                <wp:wrapSquare wrapText="bothSides"/>
                <wp:docPr id="698" name="Rectangl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09825" cy="1341120"/>
                        </a:xfrm>
                        <a:prstGeom prst="rect">
                          <a:avLst/>
                        </a:prstGeom>
                        <a:noFill/>
                        <a:ln w="9525">
                          <a:noFill/>
                          <a:miter lim="800000"/>
                          <a:headEnd/>
                          <a:tailEnd/>
                        </a:ln>
                        <a:effectLst/>
                      </wps:spPr>
                      <wps:txbx>
                        <w:txbxContent>
                          <w:p w14:paraId="68353A6C" w14:textId="2458700C" w:rsidR="00E86372" w:rsidRDefault="009F209D" w:rsidP="00E86372">
                            <w:pPr>
                              <w:rPr>
                                <w:color w:val="4F81BD" w:themeColor="accent1"/>
                              </w:rPr>
                            </w:pPr>
                            <w:r>
                              <w:rPr>
                                <w:color w:val="4F81BD" w:themeColor="accent1"/>
                              </w:rPr>
                              <w:t xml:space="preserve">       </w:t>
                            </w:r>
                            <w:r w:rsidRPr="00A710E4">
                              <w:rPr>
                                <w:noProof/>
                              </w:rPr>
                              <w:drawing>
                                <wp:inline distT="0" distB="0" distL="0" distR="0" wp14:anchorId="7C793EBB" wp14:editId="52687C40">
                                  <wp:extent cx="1409700" cy="7620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0" cy="762000"/>
                                          </a:xfrm>
                                          <a:prstGeom prst="rect">
                                            <a:avLst/>
                                          </a:prstGeom>
                                          <a:noFill/>
                                          <a:ln>
                                            <a:noFill/>
                                          </a:ln>
                                        </pic:spPr>
                                      </pic:pic>
                                    </a:graphicData>
                                  </a:graphic>
                                </wp:inline>
                              </w:drawing>
                            </w:r>
                          </w:p>
                          <w:p w14:paraId="68353A6D" w14:textId="28722849" w:rsidR="00E86372" w:rsidRDefault="009F209D" w:rsidP="00E86372">
                            <w:pPr>
                              <w:rPr>
                                <w:color w:val="4F81BD" w:themeColor="accent1"/>
                              </w:rPr>
                            </w:pPr>
                            <w:r>
                              <w:rPr>
                                <w:color w:val="4F81BD" w:themeColor="accent1"/>
                              </w:rPr>
                              <w:t xml:space="preserve"> </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68353A5A" id="Rectangle 698" o:spid="_x0000_s1026" style="position:absolute;margin-left:239.95pt;margin-top:33pt;width:189.75pt;height:105.6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" o:allowincell="f" filled="f" stroked="f">
                <v:textbox inset="21.6pt,21.6pt,21.6pt,21.6pt">
                  <w:txbxContent>
                    <w:p w14:paraId="68353A6C" w14:textId="2458700C" w:rsidR="00E86372" w:rsidRDefault="009F209D" w:rsidP="00E86372">
                      <w:pPr>
                        <w:rPr>
                          <w:color w:val="4F81BD" w:themeColor="accent1"/>
                        </w:rPr>
                      </w:pPr>
                      <w:r>
                        <w:rPr>
                          <w:color w:val="4F81BD" w:themeColor="accent1"/>
                        </w:rPr>
                        <w:t xml:space="preserve">       </w:t>
                      </w:r>
                      <w:r w:rsidRPr="00A710E4">
                        <w:rPr>
                          <w:noProof/>
                        </w:rPr>
                        <w:drawing>
                          <wp:inline distT="0" distB="0" distL="0" distR="0" wp14:anchorId="7C793EBB" wp14:editId="52687C40">
                            <wp:extent cx="1409700" cy="7620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0" cy="762000"/>
                                    </a:xfrm>
                                    <a:prstGeom prst="rect">
                                      <a:avLst/>
                                    </a:prstGeom>
                                    <a:noFill/>
                                    <a:ln>
                                      <a:noFill/>
                                    </a:ln>
                                  </pic:spPr>
                                </pic:pic>
                              </a:graphicData>
                            </a:graphic>
                          </wp:inline>
                        </w:drawing>
                      </w:r>
                    </w:p>
                    <w:p w14:paraId="68353A6D" w14:textId="28722849" w:rsidR="00E86372" w:rsidRDefault="009F209D" w:rsidP="00E86372">
                      <w:pPr>
                        <w:rPr>
                          <w:color w:val="4F81BD" w:themeColor="accent1"/>
                        </w:rPr>
                      </w:pPr>
                      <w:r>
                        <w:rPr>
                          <w:color w:val="4F81BD" w:themeColor="accent1"/>
                        </w:rPr>
                        <w:t xml:space="preserve"> </w:t>
                      </w:r>
                    </w:p>
                  </w:txbxContent>
                </v:textbox>
                <w10:wrap type="square" anchorx="margin" anchory="margin"/>
              </v:rect>
            </w:pict>
          </mc:Fallback>
        </mc:AlternateContent>
      </w:r>
    </w:p>
    <w:p w14:paraId="68353997" w14:textId="77777777" w:rsidR="00F57736" w:rsidRPr="003016DF" w:rsidRDefault="00F57736" w:rsidP="00F57736"/>
    <w:p w14:paraId="68353998" w14:textId="77777777" w:rsidR="00F57736" w:rsidRPr="003016DF" w:rsidRDefault="00F57736" w:rsidP="00F57736"/>
    <w:p w14:paraId="68353999" w14:textId="77777777" w:rsidR="00F57736" w:rsidRPr="003016DF" w:rsidRDefault="00F57736" w:rsidP="00F57736"/>
    <w:p w14:paraId="6835399A" w14:textId="77777777" w:rsidR="00F57736" w:rsidRPr="003016DF" w:rsidRDefault="00F57736" w:rsidP="00F57736"/>
    <w:p w14:paraId="6835399B" w14:textId="77777777" w:rsidR="00F57736" w:rsidRPr="003016DF" w:rsidRDefault="00F57736" w:rsidP="00F57736"/>
    <w:p w14:paraId="6835399C" w14:textId="77777777" w:rsidR="00F57736" w:rsidRPr="003016DF" w:rsidRDefault="00F57736" w:rsidP="00F57736">
      <w:pPr>
        <w:jc w:val="center"/>
        <w:rPr>
          <w:b/>
          <w:sz w:val="28"/>
          <w:szCs w:val="28"/>
        </w:rPr>
      </w:pPr>
    </w:p>
    <w:p w14:paraId="6835399D" w14:textId="77777777" w:rsidR="00F57736" w:rsidRDefault="00F57736" w:rsidP="00F57736">
      <w:pPr>
        <w:spacing w:after="360"/>
        <w:jc w:val="center"/>
        <w:rPr>
          <w:b/>
          <w:sz w:val="32"/>
          <w:szCs w:val="32"/>
        </w:rPr>
      </w:pPr>
    </w:p>
    <w:p w14:paraId="6835399E" w14:textId="77777777" w:rsidR="00F57736" w:rsidRDefault="00F57736" w:rsidP="00F57736">
      <w:pPr>
        <w:spacing w:after="360"/>
        <w:jc w:val="center"/>
        <w:rPr>
          <w:b/>
          <w:sz w:val="32"/>
          <w:szCs w:val="32"/>
        </w:rPr>
      </w:pPr>
    </w:p>
    <w:p w14:paraId="6835399F" w14:textId="77777777" w:rsidR="00F57736" w:rsidRPr="00E86372" w:rsidRDefault="00F57736" w:rsidP="00F57736">
      <w:pPr>
        <w:spacing w:after="360"/>
        <w:jc w:val="center"/>
        <w:rPr>
          <w:b/>
          <w:sz w:val="24"/>
          <w:szCs w:val="24"/>
        </w:rPr>
      </w:pPr>
    </w:p>
    <w:p w14:paraId="683539A0" w14:textId="6CDC0AA4" w:rsidR="00F57736" w:rsidRPr="00933AC5" w:rsidRDefault="001C1F13" w:rsidP="00E86372">
      <w:pPr>
        <w:spacing w:after="360"/>
        <w:jc w:val="center"/>
        <w:rPr>
          <w:b/>
          <w:sz w:val="24"/>
          <w:szCs w:val="24"/>
        </w:rPr>
      </w:pPr>
      <w:r w:rsidRPr="00933AC5">
        <w:rPr>
          <w:b/>
          <w:sz w:val="24"/>
          <w:szCs w:val="24"/>
        </w:rPr>
        <w:t>Risk Management Option Analysis Conclusion Document</w:t>
      </w:r>
      <w:r w:rsidR="00F57736" w:rsidRPr="00933AC5">
        <w:rPr>
          <w:b/>
          <w:sz w:val="24"/>
          <w:szCs w:val="24"/>
        </w:rPr>
        <w:t xml:space="preserve"> </w:t>
      </w:r>
    </w:p>
    <w:p w14:paraId="683539A2" w14:textId="77777777" w:rsidR="00F57736" w:rsidRPr="00933AC5" w:rsidRDefault="00F57736" w:rsidP="00F57736">
      <w:pPr>
        <w:jc w:val="center"/>
        <w:rPr>
          <w:b/>
          <w:sz w:val="28"/>
          <w:szCs w:val="28"/>
        </w:rPr>
      </w:pPr>
    </w:p>
    <w:p w14:paraId="683539A3" w14:textId="77777777" w:rsidR="00E86372" w:rsidRPr="00933AC5" w:rsidRDefault="00E86372" w:rsidP="00E86372">
      <w:pPr>
        <w:pStyle w:val="Brdtext"/>
        <w:rPr>
          <w:b/>
        </w:rPr>
      </w:pPr>
    </w:p>
    <w:p w14:paraId="683539A4" w14:textId="2D0BCDA6" w:rsidR="00E86372" w:rsidRPr="00937276" w:rsidRDefault="00E86372" w:rsidP="00E86372">
      <w:pPr>
        <w:pStyle w:val="Brdtext"/>
      </w:pPr>
      <w:r>
        <w:rPr>
          <w:b/>
        </w:rPr>
        <w:t>Substance Name</w:t>
      </w:r>
      <w:r w:rsidRPr="003607CA">
        <w:rPr>
          <w:b/>
        </w:rPr>
        <w:t>:</w:t>
      </w:r>
      <w:r w:rsidR="009F209D">
        <w:rPr>
          <w:b/>
        </w:rPr>
        <w:t xml:space="preserve"> </w:t>
      </w:r>
      <w:r w:rsidR="009F209D" w:rsidRPr="009F209D">
        <w:rPr>
          <w:b/>
        </w:rPr>
        <w:t xml:space="preserve">Barium </w:t>
      </w:r>
      <w:proofErr w:type="spellStart"/>
      <w:r w:rsidR="009F209D" w:rsidRPr="009F209D">
        <w:rPr>
          <w:b/>
        </w:rPr>
        <w:t>diboron</w:t>
      </w:r>
      <w:proofErr w:type="spellEnd"/>
      <w:r w:rsidR="009F209D" w:rsidRPr="009F209D">
        <w:rPr>
          <w:b/>
        </w:rPr>
        <w:t xml:space="preserve"> </w:t>
      </w:r>
      <w:proofErr w:type="spellStart"/>
      <w:r w:rsidR="009F209D" w:rsidRPr="009F209D">
        <w:rPr>
          <w:b/>
        </w:rPr>
        <w:t>tetraoxide</w:t>
      </w:r>
      <w:proofErr w:type="spellEnd"/>
    </w:p>
    <w:p w14:paraId="683539A5" w14:textId="44886271" w:rsidR="00E86372" w:rsidRPr="00937276" w:rsidRDefault="00E86372" w:rsidP="00E86372">
      <w:pPr>
        <w:pStyle w:val="Brdtext"/>
      </w:pPr>
      <w:r w:rsidRPr="003607CA">
        <w:rPr>
          <w:b/>
        </w:rPr>
        <w:t>EC Number:</w:t>
      </w:r>
      <w:r w:rsidR="009F209D">
        <w:rPr>
          <w:b/>
        </w:rPr>
        <w:t xml:space="preserve"> </w:t>
      </w:r>
      <w:r w:rsidR="009F209D" w:rsidRPr="009F209D">
        <w:rPr>
          <w:b/>
        </w:rPr>
        <w:t>237-222-4</w:t>
      </w:r>
    </w:p>
    <w:p w14:paraId="683539A6" w14:textId="43A0EDEC" w:rsidR="00E86372" w:rsidRPr="00937276" w:rsidRDefault="00E86372" w:rsidP="00E86372">
      <w:pPr>
        <w:pStyle w:val="Brdtext"/>
        <w:rPr>
          <w:sz w:val="32"/>
        </w:rPr>
      </w:pPr>
      <w:r w:rsidRPr="003607CA">
        <w:rPr>
          <w:b/>
        </w:rPr>
        <w:t>CAS Number:</w:t>
      </w:r>
      <w:r w:rsidR="009F209D">
        <w:rPr>
          <w:b/>
        </w:rPr>
        <w:t xml:space="preserve"> </w:t>
      </w:r>
      <w:r w:rsidR="009F209D" w:rsidRPr="009F209D">
        <w:rPr>
          <w:b/>
        </w:rPr>
        <w:t>13701-59-2</w:t>
      </w:r>
    </w:p>
    <w:p w14:paraId="683539A7" w14:textId="77777777" w:rsidR="00E86372" w:rsidRDefault="00E86372" w:rsidP="00E86372">
      <w:pPr>
        <w:pStyle w:val="Brdtext"/>
        <w:rPr>
          <w:b/>
          <w:sz w:val="32"/>
        </w:rPr>
      </w:pPr>
    </w:p>
    <w:p w14:paraId="683539A8" w14:textId="53F1E447" w:rsidR="00E86372" w:rsidRDefault="00E86372" w:rsidP="00E86372">
      <w:pPr>
        <w:pStyle w:val="Brdtext"/>
        <w:rPr>
          <w:b/>
          <w:sz w:val="32"/>
        </w:rPr>
      </w:pPr>
      <w:r w:rsidRPr="006119A2">
        <w:rPr>
          <w:b/>
        </w:rPr>
        <w:t>Authority:</w:t>
      </w:r>
      <w:r w:rsidR="009F209D">
        <w:rPr>
          <w:b/>
        </w:rPr>
        <w:t xml:space="preserve"> </w:t>
      </w:r>
      <w:r w:rsidR="009F209D" w:rsidRPr="009F209D">
        <w:rPr>
          <w:b/>
        </w:rPr>
        <w:t>Swedish Chemicals Agency</w:t>
      </w:r>
    </w:p>
    <w:p w14:paraId="683539A9" w14:textId="5E573556" w:rsidR="00E86372" w:rsidRDefault="00E86372" w:rsidP="00E86372">
      <w:pPr>
        <w:pStyle w:val="Brdtext"/>
        <w:rPr>
          <w:b/>
        </w:rPr>
      </w:pPr>
      <w:r w:rsidRPr="00FE0A7A">
        <w:rPr>
          <w:b/>
        </w:rPr>
        <w:t>Date:</w:t>
      </w:r>
      <w:r w:rsidR="009F209D" w:rsidRPr="00FE0A7A">
        <w:rPr>
          <w:b/>
          <w:lang w:eastAsia="en-GB"/>
        </w:rPr>
        <w:t xml:space="preserve"> </w:t>
      </w:r>
      <w:r w:rsidR="00FE0A7A" w:rsidRPr="00FE0A7A">
        <w:rPr>
          <w:b/>
          <w:lang w:eastAsia="en-GB"/>
        </w:rPr>
        <w:t>7 March</w:t>
      </w:r>
      <w:r w:rsidR="009F209D" w:rsidRPr="00FE0A7A">
        <w:rPr>
          <w:b/>
          <w:lang w:eastAsia="en-GB"/>
        </w:rPr>
        <w:t xml:space="preserve"> 2022</w:t>
      </w:r>
    </w:p>
    <w:p w14:paraId="683539AA" w14:textId="77777777" w:rsidR="00A41F93" w:rsidRDefault="00A41F93" w:rsidP="00A41F93">
      <w:pPr>
        <w:widowControl/>
        <w:spacing w:after="200" w:line="276" w:lineRule="auto"/>
        <w:rPr>
          <w:b/>
          <w:i/>
          <w:color w:val="FF0000"/>
        </w:rPr>
      </w:pPr>
    </w:p>
    <w:p w14:paraId="683539AB" w14:textId="77777777" w:rsidR="00A41F93" w:rsidRDefault="00A41F93" w:rsidP="00A41F93">
      <w:pPr>
        <w:widowControl/>
        <w:spacing w:after="200" w:line="276" w:lineRule="auto"/>
        <w:rPr>
          <w:b/>
          <w:i/>
          <w:color w:val="FF0000"/>
        </w:rPr>
      </w:pPr>
    </w:p>
    <w:p w14:paraId="683539AC" w14:textId="77777777" w:rsidR="00A41F93" w:rsidRDefault="00A41F93" w:rsidP="00A41F93">
      <w:pPr>
        <w:widowControl/>
        <w:spacing w:after="200" w:line="276" w:lineRule="auto"/>
        <w:rPr>
          <w:b/>
          <w:i/>
          <w:color w:val="FF0000"/>
        </w:rPr>
      </w:pPr>
    </w:p>
    <w:p w14:paraId="683539AD" w14:textId="77777777" w:rsidR="00E86372" w:rsidRDefault="00E86372" w:rsidP="00A41F93">
      <w:pPr>
        <w:widowControl/>
        <w:spacing w:after="200" w:line="276" w:lineRule="auto"/>
        <w:rPr>
          <w:b/>
          <w:i/>
          <w:color w:val="FF0000"/>
        </w:rPr>
      </w:pPr>
    </w:p>
    <w:p w14:paraId="683539AE" w14:textId="77777777" w:rsidR="00E86372" w:rsidRDefault="00E86372" w:rsidP="00A41F93">
      <w:pPr>
        <w:widowControl/>
        <w:spacing w:after="200" w:line="276" w:lineRule="auto"/>
        <w:rPr>
          <w:b/>
          <w:i/>
          <w:color w:val="FF0000"/>
        </w:rPr>
      </w:pPr>
    </w:p>
    <w:p w14:paraId="683539AF" w14:textId="77777777" w:rsidR="00E86372" w:rsidRDefault="00E86372" w:rsidP="00A41F93">
      <w:pPr>
        <w:widowControl/>
        <w:spacing w:after="200" w:line="276" w:lineRule="auto"/>
        <w:rPr>
          <w:b/>
          <w:i/>
          <w:color w:val="FF0000"/>
        </w:rPr>
      </w:pPr>
    </w:p>
    <w:p w14:paraId="683539B0" w14:textId="77777777" w:rsidR="00E86372" w:rsidRDefault="00E86372" w:rsidP="00A41F93">
      <w:pPr>
        <w:widowControl/>
        <w:spacing w:after="200" w:line="276" w:lineRule="auto"/>
        <w:rPr>
          <w:b/>
          <w:i/>
          <w:color w:val="FF0000"/>
        </w:rPr>
      </w:pPr>
    </w:p>
    <w:p w14:paraId="683539B1" w14:textId="77777777" w:rsidR="002E4026" w:rsidRDefault="002E4026" w:rsidP="00471457">
      <w:pPr>
        <w:spacing w:after="120"/>
        <w:jc w:val="both"/>
        <w:rPr>
          <w:b/>
        </w:rPr>
        <w:sectPr w:rsidR="002E4026">
          <w:headerReference w:type="default" r:id="rId14"/>
          <w:pgSz w:w="11906" w:h="16838"/>
          <w:pgMar w:top="1440" w:right="1440" w:bottom="1440" w:left="1440" w:header="708" w:footer="708" w:gutter="0"/>
          <w:cols w:space="708"/>
          <w:docGrid w:linePitch="360"/>
        </w:sectPr>
      </w:pPr>
    </w:p>
    <w:p w14:paraId="683539B2" w14:textId="77777777" w:rsidR="00AD40AE" w:rsidRDefault="00AD40AE" w:rsidP="00AD40AE">
      <w:pPr>
        <w:jc w:val="center"/>
        <w:rPr>
          <w:b/>
          <w:iCs/>
        </w:rPr>
      </w:pPr>
      <w:bookmarkStart w:id="0" w:name="_Toc387819847"/>
    </w:p>
    <w:p w14:paraId="683539B3" w14:textId="77777777" w:rsidR="00AD40AE" w:rsidRDefault="00AD40AE" w:rsidP="00AD40AE">
      <w:pPr>
        <w:jc w:val="center"/>
        <w:rPr>
          <w:b/>
          <w:iCs/>
        </w:rPr>
      </w:pPr>
    </w:p>
    <w:p w14:paraId="683539B4" w14:textId="77777777" w:rsidR="00AD40AE" w:rsidRPr="0013615E" w:rsidRDefault="00AD40AE" w:rsidP="00AD40AE">
      <w:pPr>
        <w:jc w:val="center"/>
        <w:rPr>
          <w:b/>
          <w:iCs/>
        </w:rPr>
      </w:pPr>
      <w:r w:rsidRPr="0013615E">
        <w:rPr>
          <w:b/>
          <w:iCs/>
        </w:rPr>
        <w:t>DISCLAIMER</w:t>
      </w:r>
    </w:p>
    <w:p w14:paraId="683539B5" w14:textId="77777777" w:rsidR="00AD40AE" w:rsidRDefault="00AD40AE" w:rsidP="00AD40AE">
      <w:pPr>
        <w:pStyle w:val="Brdtext"/>
        <w:jc w:val="center"/>
      </w:pPr>
    </w:p>
    <w:p w14:paraId="683539B6" w14:textId="77777777" w:rsidR="00AD40AE" w:rsidRDefault="00AD40AE" w:rsidP="00AD40AE">
      <w:pPr>
        <w:pStyle w:val="Brdtext"/>
        <w:jc w:val="center"/>
      </w:pPr>
    </w:p>
    <w:p w14:paraId="683539B7" w14:textId="183D0041" w:rsidR="007A39FF" w:rsidRDefault="007A39FF" w:rsidP="007A39FF">
      <w:pPr>
        <w:pStyle w:val="Brdtext"/>
      </w:pPr>
    </w:p>
    <w:p w14:paraId="683539BC" w14:textId="451BBF13" w:rsidR="007A39FF" w:rsidRDefault="001C1F13" w:rsidP="007A39FF">
      <w:pPr>
        <w:pStyle w:val="Brdtext"/>
        <w:jc w:val="both"/>
      </w:pPr>
      <w:r w:rsidRPr="001C1F13">
        <w:t xml:space="preserve">The author does not accept any liability </w:t>
      </w:r>
      <w:proofErr w:type="gramStart"/>
      <w:r w:rsidRPr="001C1F13">
        <w:t>with regard to</w:t>
      </w:r>
      <w:proofErr w:type="gramEnd"/>
      <w:r w:rsidRPr="001C1F13">
        <w:t xml:space="preserve"> the use that may be made of the information contained in this document. Usage of the information remains under the sole responsibility of the user. Statements made or information contained in the document are without prejudice to any further regulatory work that ECHA or the Member States may initiate at a later stage. Risk Management Option Analyses and their conclusions are compiled </w:t>
      </w:r>
      <w:proofErr w:type="gramStart"/>
      <w:r w:rsidRPr="001C1F13">
        <w:t>on the basis of</w:t>
      </w:r>
      <w:proofErr w:type="gramEnd"/>
      <w:r w:rsidRPr="001C1F13">
        <w:t xml:space="preserve"> available information and may change in light of newly available information or further assessment.</w:t>
      </w:r>
    </w:p>
    <w:p w14:paraId="683539BD" w14:textId="77777777" w:rsidR="007A39FF" w:rsidRPr="00270FFE" w:rsidRDefault="007A39FF" w:rsidP="007A39FF">
      <w:pPr>
        <w:pStyle w:val="Brdtext"/>
        <w:jc w:val="both"/>
        <w:sectPr w:rsidR="007A39FF" w:rsidRPr="00270FFE">
          <w:footerReference w:type="default" r:id="rId15"/>
          <w:pgSz w:w="11906" w:h="16838"/>
          <w:pgMar w:top="1440" w:right="1440" w:bottom="1440" w:left="1440" w:header="708" w:footer="708" w:gutter="0"/>
          <w:cols w:space="708"/>
          <w:docGrid w:linePitch="360"/>
        </w:sectPr>
      </w:pPr>
    </w:p>
    <w:p w14:paraId="683539BE" w14:textId="77777777" w:rsidR="002E4026" w:rsidRPr="002E4026" w:rsidRDefault="002E4026" w:rsidP="002E4026">
      <w:pPr>
        <w:pStyle w:val="Rubrik1"/>
        <w:rPr>
          <w:color w:val="4F81BD"/>
        </w:rPr>
      </w:pPr>
      <w:r w:rsidRPr="002E4026">
        <w:rPr>
          <w:color w:val="4F81BD"/>
        </w:rPr>
        <w:lastRenderedPageBreak/>
        <w:t>Foreword</w:t>
      </w:r>
      <w:bookmarkEnd w:id="0"/>
    </w:p>
    <w:p w14:paraId="683539BF" w14:textId="77777777" w:rsidR="002E4026" w:rsidRPr="003016DF" w:rsidRDefault="002E4026" w:rsidP="002E4026">
      <w:pPr>
        <w:rPr>
          <w:sz w:val="24"/>
          <w:szCs w:val="24"/>
        </w:rPr>
      </w:pPr>
    </w:p>
    <w:p w14:paraId="0640B7FF" w14:textId="77777777" w:rsidR="001C1F13" w:rsidRDefault="001C1F13" w:rsidP="001C1F13">
      <w:pPr>
        <w:jc w:val="both"/>
      </w:pPr>
      <w:r>
        <w:t xml:space="preserve">The purpose of Risk Management Option analysis (RMOA) is to help authorities decide whether further regulatory risk management activities are required for a substance and to identify the most appropriate instrument to address a concern. </w:t>
      </w:r>
    </w:p>
    <w:p w14:paraId="7BDF57EC" w14:textId="77777777" w:rsidR="001C1F13" w:rsidRDefault="001C1F13" w:rsidP="001C1F13">
      <w:pPr>
        <w:jc w:val="both"/>
      </w:pPr>
    </w:p>
    <w:p w14:paraId="423CF1F8" w14:textId="77777777" w:rsidR="001C1F13" w:rsidRDefault="001C1F13" w:rsidP="001C1F13">
      <w:pPr>
        <w:jc w:val="both"/>
      </w:pPr>
      <w:r>
        <w:t xml:space="preserve">RMOA is a voluntary step, i.e., it is not part of the processes as defined in the legislation. For authorities, documenting the RMOA allows the sharing of information and promoting early discussion, which helps lead to a common understanding on the action pursued. A Member State or ECHA (at the request of the Commission) can carry out this case-by-case analysis </w:t>
      </w:r>
      <w:proofErr w:type="gramStart"/>
      <w:r>
        <w:t>in order to</w:t>
      </w:r>
      <w:proofErr w:type="gramEnd"/>
      <w:r>
        <w:t xml:space="preserve"> conclude whether a substance is a 'relevant substance of very high concern (SVHC)' in the sense of the SVHC Roadmap to 2020</w:t>
      </w:r>
      <w:r>
        <w:rPr>
          <w:rStyle w:val="Fotnotsreferens"/>
        </w:rPr>
        <w:footnoteReference w:id="1"/>
      </w:r>
      <w:r>
        <w:t>.</w:t>
      </w:r>
    </w:p>
    <w:p w14:paraId="371B8D0A" w14:textId="77777777" w:rsidR="001C1F13" w:rsidRDefault="001C1F13" w:rsidP="001C1F13">
      <w:pPr>
        <w:jc w:val="both"/>
      </w:pPr>
    </w:p>
    <w:p w14:paraId="36FE7939" w14:textId="77777777" w:rsidR="001C1F13" w:rsidRDefault="001C1F13" w:rsidP="001C1F13">
      <w:pPr>
        <w:jc w:val="both"/>
      </w:pPr>
      <w:r>
        <w:t>An RMOA can conclude that regulatory risk management at EU level is required for a substance (</w:t>
      </w:r>
      <w:proofErr w:type="gramStart"/>
      <w:r>
        <w:t>e.g.</w:t>
      </w:r>
      <w:proofErr w:type="gramEnd"/>
      <w:r>
        <w:t xml:space="preserve"> harmonised classification and labelling, Candidate List inclusion, restriction, other EU legislation) or that no regulatory action is required at EU level. Any subsequent regulatory processes under the REACH Regulation include consultation of interested parties and appropriate </w:t>
      </w:r>
      <w:proofErr w:type="gramStart"/>
      <w:r>
        <w:t>decision making</w:t>
      </w:r>
      <w:proofErr w:type="gramEnd"/>
      <w:r>
        <w:t xml:space="preserve"> involving Member State Competent Authorities and the European Commission as defined in REACH.</w:t>
      </w:r>
    </w:p>
    <w:p w14:paraId="5B7D4936" w14:textId="77777777" w:rsidR="001C1F13" w:rsidRDefault="001C1F13" w:rsidP="001C1F13">
      <w:pPr>
        <w:spacing w:after="120"/>
        <w:jc w:val="both"/>
      </w:pPr>
    </w:p>
    <w:p w14:paraId="706E7DB9" w14:textId="6925A024" w:rsidR="001C1F13" w:rsidRDefault="001C1F13" w:rsidP="001C1F13">
      <w:pPr>
        <w:spacing w:after="120"/>
        <w:jc w:val="both"/>
      </w:pPr>
      <w:r>
        <w:t xml:space="preserve">This Conclusion document provides the </w:t>
      </w:r>
      <w:r w:rsidRPr="003016DF">
        <w:t xml:space="preserve">outcome of the </w:t>
      </w:r>
      <w:r>
        <w:t>RMOA</w:t>
      </w:r>
      <w:r w:rsidRPr="003016DF">
        <w:t xml:space="preserve"> carried out by the </w:t>
      </w:r>
      <w:r>
        <w:t>author authority</w:t>
      </w:r>
      <w:r w:rsidRPr="003016DF">
        <w:t xml:space="preserve">.  In this conclusion document, the </w:t>
      </w:r>
      <w:r>
        <w:t>authority</w:t>
      </w:r>
      <w:r w:rsidRPr="003016DF">
        <w:t xml:space="preserve"> consider</w:t>
      </w:r>
      <w:r>
        <w:t>s</w:t>
      </w:r>
      <w:r w:rsidRPr="003016DF">
        <w:t xml:space="preserve"> how the</w:t>
      </w:r>
      <w:r>
        <w:t xml:space="preserve"> available </w:t>
      </w:r>
      <w:r w:rsidRPr="003016DF">
        <w:t xml:space="preserve">information </w:t>
      </w:r>
      <w:r>
        <w:t xml:space="preserve">collected </w:t>
      </w:r>
      <w:r w:rsidRPr="003016DF">
        <w:t xml:space="preserve">on the substance can be used </w:t>
      </w:r>
      <w:r>
        <w:t xml:space="preserve">to conclude whether regulatory risk management activities are required for a </w:t>
      </w:r>
      <w:proofErr w:type="gramStart"/>
      <w:r>
        <w:t>substance</w:t>
      </w:r>
      <w:proofErr w:type="gramEnd"/>
      <w:r>
        <w:t xml:space="preserve"> and which is the most appropriate instrument to address a concern</w:t>
      </w:r>
      <w:r w:rsidRPr="003016DF">
        <w:t>. Wi</w:t>
      </w:r>
      <w:r>
        <w:t xml:space="preserve">th this Conclusion document </w:t>
      </w:r>
      <w:r w:rsidRPr="003016DF">
        <w:t>the Commission, the competent authorities of the other Member States</w:t>
      </w:r>
      <w:r>
        <w:t xml:space="preserve"> and stakeholders</w:t>
      </w:r>
      <w:r w:rsidRPr="003016DF">
        <w:t xml:space="preserve"> are informed of the considerations of the </w:t>
      </w:r>
      <w:r>
        <w:t>author authority</w:t>
      </w:r>
      <w:r w:rsidRPr="003016DF">
        <w:t xml:space="preserve">. In case the </w:t>
      </w:r>
      <w:r>
        <w:t>author authority</w:t>
      </w:r>
      <w:r w:rsidRPr="003016DF">
        <w:t xml:space="preserve"> proposes</w:t>
      </w:r>
      <w:r>
        <w:t xml:space="preserve"> in this conclusion document</w:t>
      </w:r>
      <w:r w:rsidRPr="003016DF">
        <w:t xml:space="preserve"> further regulatory risk management measures, this shall not be considered initiating those other measures or processes. </w:t>
      </w:r>
      <w:r>
        <w:t>Since this document only reflects the views of the author authority, it does not preclude Member States or the European Commission from considering or initiating regulatory risk management measures which they deem appropriate.</w:t>
      </w:r>
    </w:p>
    <w:p w14:paraId="683539C7" w14:textId="77777777" w:rsidR="002E4026" w:rsidRDefault="002E4026" w:rsidP="002E4026">
      <w:pPr>
        <w:spacing w:after="120"/>
        <w:jc w:val="both"/>
        <w:rPr>
          <w:b/>
        </w:rPr>
        <w:sectPr w:rsidR="002E4026">
          <w:pgSz w:w="11906" w:h="16838"/>
          <w:pgMar w:top="1440" w:right="1440" w:bottom="1440" w:left="1440" w:header="708" w:footer="708" w:gutter="0"/>
          <w:cols w:space="708"/>
          <w:docGrid w:linePitch="360"/>
        </w:sectPr>
      </w:pPr>
    </w:p>
    <w:p w14:paraId="683539C8" w14:textId="77777777" w:rsidR="00BE5AF4" w:rsidRPr="000711F7" w:rsidRDefault="009C2172" w:rsidP="00BE5AF4">
      <w:pPr>
        <w:pStyle w:val="Rubrik3"/>
        <w:numPr>
          <w:ilvl w:val="0"/>
          <w:numId w:val="6"/>
        </w:numPr>
        <w:rPr>
          <w:color w:val="4F81BD" w:themeColor="accent1"/>
          <w:sz w:val="24"/>
          <w:szCs w:val="28"/>
        </w:rPr>
      </w:pPr>
      <w:r w:rsidRPr="000711F7">
        <w:rPr>
          <w:color w:val="4F81BD" w:themeColor="accent1"/>
          <w:sz w:val="24"/>
          <w:szCs w:val="28"/>
        </w:rPr>
        <w:lastRenderedPageBreak/>
        <w:t xml:space="preserve">OVERVIEW OF OTHER </w:t>
      </w:r>
      <w:r w:rsidR="00BE5AF4" w:rsidRPr="000711F7">
        <w:rPr>
          <w:color w:val="4F81BD" w:themeColor="accent1"/>
          <w:sz w:val="24"/>
          <w:szCs w:val="28"/>
        </w:rPr>
        <w:t>PROCESSES</w:t>
      </w:r>
      <w:r w:rsidR="00262180" w:rsidRPr="000711F7">
        <w:rPr>
          <w:color w:val="4F81BD" w:themeColor="accent1"/>
          <w:sz w:val="24"/>
          <w:szCs w:val="28"/>
        </w:rPr>
        <w:t xml:space="preserve"> / EU </w:t>
      </w:r>
      <w:r w:rsidR="005575E6" w:rsidRPr="000711F7">
        <w:rPr>
          <w:color w:val="4F81BD" w:themeColor="accent1"/>
          <w:sz w:val="24"/>
          <w:szCs w:val="28"/>
        </w:rPr>
        <w:t>LEGISLATION</w:t>
      </w:r>
    </w:p>
    <w:p w14:paraId="683539CB" w14:textId="442B324A" w:rsidR="00E86372" w:rsidRDefault="002367F9" w:rsidP="002367F9">
      <w:pPr>
        <w:pStyle w:val="Brdtext"/>
        <w:spacing w:after="0"/>
        <w:ind w:right="-477"/>
        <w:rPr>
          <w:iCs/>
        </w:rPr>
      </w:pPr>
      <w:r w:rsidRPr="009B4160">
        <w:rPr>
          <w:iCs/>
        </w:rPr>
        <w:t xml:space="preserve">Barium </w:t>
      </w:r>
      <w:proofErr w:type="spellStart"/>
      <w:r w:rsidRPr="009B4160">
        <w:rPr>
          <w:iCs/>
        </w:rPr>
        <w:t>diboron</w:t>
      </w:r>
      <w:proofErr w:type="spellEnd"/>
      <w:r w:rsidRPr="009B4160">
        <w:rPr>
          <w:iCs/>
        </w:rPr>
        <w:t xml:space="preserve"> </w:t>
      </w:r>
      <w:proofErr w:type="spellStart"/>
      <w:r w:rsidRPr="009B4160">
        <w:rPr>
          <w:iCs/>
        </w:rPr>
        <w:t>tetraoxide</w:t>
      </w:r>
      <w:proofErr w:type="spellEnd"/>
      <w:r w:rsidRPr="009B4160">
        <w:rPr>
          <w:iCs/>
        </w:rPr>
        <w:t xml:space="preserve"> currently has a harmonised classification as Acute Tox 4, H302</w:t>
      </w:r>
      <w:r>
        <w:rPr>
          <w:iCs/>
        </w:rPr>
        <w:t xml:space="preserve"> </w:t>
      </w:r>
      <w:r w:rsidRPr="009B4160">
        <w:rPr>
          <w:iCs/>
        </w:rPr>
        <w:t>(oral) and H332</w:t>
      </w:r>
      <w:r>
        <w:rPr>
          <w:iCs/>
        </w:rPr>
        <w:t xml:space="preserve"> </w:t>
      </w:r>
      <w:r w:rsidRPr="009B4160">
        <w:rPr>
          <w:iCs/>
        </w:rPr>
        <w:t xml:space="preserve">(inhalation) based on </w:t>
      </w:r>
      <w:r>
        <w:rPr>
          <w:iCs/>
        </w:rPr>
        <w:t xml:space="preserve">the group entry </w:t>
      </w:r>
      <w:r w:rsidRPr="002A4EC1">
        <w:rPr>
          <w:iCs/>
        </w:rPr>
        <w:t>“barium salts, with the exception of barium sulphate, salts of 1-azo-2-hydroxynaphthalenyl aryl sulphonic acid, and of salts specified elsewhere in Annex VI of EC No 1272/2008”</w:t>
      </w:r>
      <w:r>
        <w:rPr>
          <w:iCs/>
        </w:rPr>
        <w:t xml:space="preserve">. As of </w:t>
      </w:r>
      <w:r w:rsidRPr="008B132F">
        <w:rPr>
          <w:iCs/>
        </w:rPr>
        <w:t>the 1</w:t>
      </w:r>
      <w:r>
        <w:rPr>
          <w:iCs/>
        </w:rPr>
        <w:t>8</w:t>
      </w:r>
      <w:r w:rsidRPr="008B132F">
        <w:rPr>
          <w:iCs/>
        </w:rPr>
        <w:t xml:space="preserve">th ATP to Annex VI of CLP </w:t>
      </w:r>
      <w:r>
        <w:rPr>
          <w:iCs/>
        </w:rPr>
        <w:t>(</w:t>
      </w:r>
      <w:r w:rsidRPr="00877EC7">
        <w:rPr>
          <w:iCs/>
        </w:rPr>
        <w:t>adopted by the Commission but not yet published in the EU Official Journal</w:t>
      </w:r>
      <w:r>
        <w:rPr>
          <w:iCs/>
        </w:rPr>
        <w:t>) b</w:t>
      </w:r>
      <w:r w:rsidRPr="008B132F">
        <w:rPr>
          <w:iCs/>
        </w:rPr>
        <w:t xml:space="preserve">arium </w:t>
      </w:r>
      <w:proofErr w:type="spellStart"/>
      <w:r w:rsidRPr="00E228F7">
        <w:rPr>
          <w:iCs/>
        </w:rPr>
        <w:t>diboron</w:t>
      </w:r>
      <w:proofErr w:type="spellEnd"/>
      <w:r w:rsidRPr="00E228F7">
        <w:rPr>
          <w:iCs/>
        </w:rPr>
        <w:t xml:space="preserve"> </w:t>
      </w:r>
      <w:proofErr w:type="spellStart"/>
      <w:r w:rsidRPr="00E228F7">
        <w:rPr>
          <w:iCs/>
        </w:rPr>
        <w:t>tetraoxide</w:t>
      </w:r>
      <w:proofErr w:type="spellEnd"/>
      <w:r w:rsidRPr="00E228F7">
        <w:rPr>
          <w:iCs/>
        </w:rPr>
        <w:t xml:space="preserve"> </w:t>
      </w:r>
      <w:r>
        <w:rPr>
          <w:iCs/>
        </w:rPr>
        <w:t xml:space="preserve">will be separated from the group entry since it </w:t>
      </w:r>
      <w:r w:rsidRPr="00E228F7">
        <w:rPr>
          <w:iCs/>
        </w:rPr>
        <w:t>is included in a</w:t>
      </w:r>
      <w:r>
        <w:rPr>
          <w:iCs/>
        </w:rPr>
        <w:t xml:space="preserve"> separate entry </w:t>
      </w:r>
      <w:r w:rsidRPr="00E73701">
        <w:rPr>
          <w:iCs/>
        </w:rPr>
        <w:t xml:space="preserve">as toxic </w:t>
      </w:r>
      <w:r>
        <w:rPr>
          <w:iCs/>
        </w:rPr>
        <w:t>to</w:t>
      </w:r>
      <w:r w:rsidRPr="00E73701">
        <w:rPr>
          <w:iCs/>
        </w:rPr>
        <w:t xml:space="preserve"> reproduction category 1B </w:t>
      </w:r>
      <w:r>
        <w:rPr>
          <w:iCs/>
        </w:rPr>
        <w:t>(</w:t>
      </w:r>
      <w:r w:rsidRPr="00E73701">
        <w:rPr>
          <w:iCs/>
        </w:rPr>
        <w:t>H360FD</w:t>
      </w:r>
      <w:r>
        <w:rPr>
          <w:iCs/>
        </w:rPr>
        <w:t xml:space="preserve">), acute inhalation toxicity category 4 (H332) and </w:t>
      </w:r>
      <w:r w:rsidRPr="00110507">
        <w:rPr>
          <w:iCs/>
        </w:rPr>
        <w:t xml:space="preserve">acute </w:t>
      </w:r>
      <w:r>
        <w:rPr>
          <w:iCs/>
        </w:rPr>
        <w:t xml:space="preserve">oral </w:t>
      </w:r>
      <w:r w:rsidRPr="00110507">
        <w:rPr>
          <w:iCs/>
        </w:rPr>
        <w:t xml:space="preserve">toxicity category </w:t>
      </w:r>
      <w:r>
        <w:rPr>
          <w:iCs/>
        </w:rPr>
        <w:t>3</w:t>
      </w:r>
      <w:r w:rsidRPr="00110507">
        <w:rPr>
          <w:iCs/>
        </w:rPr>
        <w:t xml:space="preserve"> (H30</w:t>
      </w:r>
      <w:r>
        <w:rPr>
          <w:iCs/>
        </w:rPr>
        <w:t>1</w:t>
      </w:r>
      <w:r w:rsidRPr="00110507">
        <w:rPr>
          <w:iCs/>
        </w:rPr>
        <w:t>)</w:t>
      </w:r>
      <w:r>
        <w:rPr>
          <w:iCs/>
        </w:rPr>
        <w:t>.</w:t>
      </w:r>
    </w:p>
    <w:p w14:paraId="48350DE9" w14:textId="77777777" w:rsidR="002367F9" w:rsidRPr="002367F9" w:rsidRDefault="002367F9" w:rsidP="002367F9">
      <w:pPr>
        <w:pStyle w:val="Brdtext"/>
        <w:spacing w:after="0"/>
        <w:ind w:right="-477"/>
        <w:rPr>
          <w:iCs/>
        </w:rPr>
      </w:pPr>
    </w:p>
    <w:p w14:paraId="683539CC" w14:textId="77777777" w:rsidR="00BE5AF4" w:rsidRPr="000711F7" w:rsidRDefault="00BE5AF4" w:rsidP="00BE5AF4">
      <w:pPr>
        <w:pStyle w:val="Rubrik3"/>
        <w:numPr>
          <w:ilvl w:val="0"/>
          <w:numId w:val="6"/>
        </w:numPr>
        <w:rPr>
          <w:color w:val="4F81BD" w:themeColor="accent1"/>
          <w:sz w:val="24"/>
          <w:szCs w:val="28"/>
        </w:rPr>
      </w:pPr>
      <w:r w:rsidRPr="000711F7">
        <w:rPr>
          <w:color w:val="4F81BD" w:themeColor="accent1"/>
          <w:sz w:val="24"/>
          <w:szCs w:val="28"/>
        </w:rPr>
        <w:t>CONCLUSION</w:t>
      </w:r>
      <w:r w:rsidR="00166209" w:rsidRPr="000711F7">
        <w:rPr>
          <w:color w:val="4F81BD" w:themeColor="accent1"/>
          <w:sz w:val="24"/>
          <w:szCs w:val="28"/>
        </w:rPr>
        <w:t xml:space="preserve"> OF RMOA</w:t>
      </w:r>
    </w:p>
    <w:p w14:paraId="683539CD" w14:textId="77777777" w:rsidR="00BE5AF4" w:rsidRPr="00D53A3D" w:rsidRDefault="00BE5AF4" w:rsidP="00FB30A3">
      <w:r w:rsidRPr="00D53A3D">
        <w:t xml:space="preserve">This conclusion is based on the REACH and CLP data as well as other available relevant information </w:t>
      </w:r>
      <w:proofErr w:type="gramStart"/>
      <w:r w:rsidRPr="00D53A3D">
        <w:t>taking into account</w:t>
      </w:r>
      <w:proofErr w:type="gramEnd"/>
      <w:r w:rsidRPr="00D53A3D">
        <w:t xml:space="preserve"> the SVHC Roadmap to 2020, where appropriate.</w:t>
      </w:r>
    </w:p>
    <w:p w14:paraId="683539D0" w14:textId="77777777" w:rsidR="00BE5AF4" w:rsidRDefault="00BE5AF4" w:rsidP="00BE5AF4">
      <w:pPr>
        <w:pStyle w:val="Brd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912"/>
      </w:tblGrid>
      <w:tr w:rsidR="00B2524D" w:rsidRPr="00B2524D" w:rsidDel="001E1883" w14:paraId="683539D3" w14:textId="77777777" w:rsidTr="009D30A3">
        <w:trPr>
          <w:trHeight w:val="175"/>
        </w:trPr>
        <w:tc>
          <w:tcPr>
            <w:tcW w:w="7338" w:type="dxa"/>
            <w:shd w:val="clear" w:color="auto" w:fill="auto"/>
          </w:tcPr>
          <w:p w14:paraId="683539D1" w14:textId="77777777" w:rsidR="00B2524D" w:rsidRPr="00B2524D" w:rsidRDefault="00B2524D" w:rsidP="00B2524D">
            <w:pPr>
              <w:spacing w:before="120"/>
              <w:rPr>
                <w:b/>
              </w:rPr>
            </w:pPr>
            <w:r w:rsidRPr="00B2524D">
              <w:rPr>
                <w:b/>
              </w:rPr>
              <w:t>Conclusions</w:t>
            </w:r>
          </w:p>
        </w:tc>
        <w:tc>
          <w:tcPr>
            <w:tcW w:w="912" w:type="dxa"/>
          </w:tcPr>
          <w:p w14:paraId="683539D2" w14:textId="77777777" w:rsidR="00B2524D" w:rsidRPr="00B2524D" w:rsidDel="001E1883" w:rsidRDefault="00B2524D" w:rsidP="00B2524D">
            <w:pPr>
              <w:rPr>
                <w:b/>
              </w:rPr>
            </w:pPr>
            <w:r w:rsidRPr="00B2524D">
              <w:rPr>
                <w:b/>
              </w:rPr>
              <w:t>Tick box</w:t>
            </w:r>
          </w:p>
        </w:tc>
      </w:tr>
      <w:tr w:rsidR="00B2524D" w:rsidRPr="00B2524D" w:rsidDel="001E1883" w14:paraId="683539D6" w14:textId="77777777" w:rsidTr="009D30A3">
        <w:trPr>
          <w:trHeight w:val="454"/>
        </w:trPr>
        <w:tc>
          <w:tcPr>
            <w:tcW w:w="7338" w:type="dxa"/>
            <w:tcBorders>
              <w:bottom w:val="dashed" w:sz="4" w:space="0" w:color="auto"/>
            </w:tcBorders>
            <w:shd w:val="clear" w:color="auto" w:fill="auto"/>
            <w:vAlign w:val="center"/>
          </w:tcPr>
          <w:p w14:paraId="683539D4" w14:textId="77777777" w:rsidR="00B2524D" w:rsidRPr="00B2524D" w:rsidDel="001E1883" w:rsidRDefault="00B2524D" w:rsidP="00B2524D">
            <w:pPr>
              <w:spacing w:line="276" w:lineRule="auto"/>
            </w:pPr>
            <w:r w:rsidRPr="00B2524D">
              <w:t>Need for follow-up regulatory action at EU level:</w:t>
            </w:r>
          </w:p>
        </w:tc>
        <w:tc>
          <w:tcPr>
            <w:tcW w:w="912" w:type="dxa"/>
            <w:tcBorders>
              <w:bottom w:val="dashed" w:sz="4" w:space="0" w:color="auto"/>
            </w:tcBorders>
            <w:vAlign w:val="center"/>
          </w:tcPr>
          <w:p w14:paraId="683539D5" w14:textId="77777777" w:rsidR="00B2524D" w:rsidRPr="00B2524D" w:rsidDel="001E1883" w:rsidRDefault="00B2524D" w:rsidP="00B2524D">
            <w:pPr>
              <w:spacing w:line="276" w:lineRule="auto"/>
            </w:pPr>
          </w:p>
        </w:tc>
      </w:tr>
      <w:tr w:rsidR="00B2524D" w:rsidRPr="00B2524D" w14:paraId="683539D9" w14:textId="77777777" w:rsidTr="009D30A3">
        <w:trPr>
          <w:trHeight w:val="227"/>
        </w:trPr>
        <w:tc>
          <w:tcPr>
            <w:tcW w:w="7338" w:type="dxa"/>
            <w:tcBorders>
              <w:top w:val="dashed" w:sz="4" w:space="0" w:color="auto"/>
              <w:bottom w:val="dashed" w:sz="4" w:space="0" w:color="auto"/>
            </w:tcBorders>
            <w:shd w:val="clear" w:color="auto" w:fill="auto"/>
          </w:tcPr>
          <w:p w14:paraId="683539D7" w14:textId="77777777" w:rsidR="00B2524D" w:rsidRPr="00B2524D" w:rsidRDefault="00B2524D" w:rsidP="00B2524D">
            <w:pPr>
              <w:spacing w:line="276" w:lineRule="auto"/>
              <w:ind w:left="340"/>
              <w:rPr>
                <w:i/>
              </w:rPr>
            </w:pPr>
            <w:r w:rsidRPr="00B2524D">
              <w:rPr>
                <w:i/>
              </w:rPr>
              <w:t>Harmonised classification and labelling</w:t>
            </w:r>
          </w:p>
        </w:tc>
        <w:tc>
          <w:tcPr>
            <w:tcW w:w="912" w:type="dxa"/>
            <w:tcBorders>
              <w:top w:val="dashed" w:sz="4" w:space="0" w:color="auto"/>
              <w:bottom w:val="dashed" w:sz="4" w:space="0" w:color="auto"/>
            </w:tcBorders>
            <w:vAlign w:val="center"/>
          </w:tcPr>
          <w:p w14:paraId="683539D8" w14:textId="77777777" w:rsidR="00B2524D" w:rsidRPr="00B2524D" w:rsidRDefault="00B2524D" w:rsidP="00B2524D"/>
        </w:tc>
      </w:tr>
      <w:tr w:rsidR="00B2524D" w:rsidRPr="00B2524D" w14:paraId="683539DC" w14:textId="77777777" w:rsidTr="009D30A3">
        <w:trPr>
          <w:trHeight w:val="227"/>
        </w:trPr>
        <w:tc>
          <w:tcPr>
            <w:tcW w:w="7338" w:type="dxa"/>
            <w:tcBorders>
              <w:top w:val="dashed" w:sz="4" w:space="0" w:color="auto"/>
              <w:bottom w:val="dashed" w:sz="4" w:space="0" w:color="auto"/>
            </w:tcBorders>
            <w:shd w:val="clear" w:color="auto" w:fill="auto"/>
          </w:tcPr>
          <w:p w14:paraId="683539DA" w14:textId="77777777" w:rsidR="00B2524D" w:rsidRPr="00B2524D" w:rsidRDefault="00B2524D" w:rsidP="00B2524D">
            <w:pPr>
              <w:spacing w:line="276" w:lineRule="auto"/>
              <w:ind w:left="340"/>
              <w:rPr>
                <w:i/>
              </w:rPr>
            </w:pPr>
            <w:r w:rsidRPr="00B2524D">
              <w:rPr>
                <w:i/>
              </w:rPr>
              <w:t>Identification as SVHC (authorisation)</w:t>
            </w:r>
          </w:p>
        </w:tc>
        <w:tc>
          <w:tcPr>
            <w:tcW w:w="912" w:type="dxa"/>
            <w:tcBorders>
              <w:top w:val="dashed" w:sz="4" w:space="0" w:color="auto"/>
              <w:bottom w:val="dashed" w:sz="4" w:space="0" w:color="auto"/>
            </w:tcBorders>
            <w:vAlign w:val="center"/>
          </w:tcPr>
          <w:p w14:paraId="683539DB" w14:textId="167D8973" w:rsidR="00B2524D" w:rsidRPr="00B2524D" w:rsidRDefault="00136A08" w:rsidP="00B2524D">
            <w:pPr>
              <w:jc w:val="center"/>
            </w:pPr>
            <w:r>
              <w:t>x</w:t>
            </w:r>
          </w:p>
        </w:tc>
      </w:tr>
      <w:tr w:rsidR="00B2524D" w:rsidRPr="00B2524D" w14:paraId="683539DF" w14:textId="77777777" w:rsidTr="009D30A3">
        <w:trPr>
          <w:trHeight w:val="227"/>
        </w:trPr>
        <w:tc>
          <w:tcPr>
            <w:tcW w:w="7338" w:type="dxa"/>
            <w:tcBorders>
              <w:top w:val="dashed" w:sz="4" w:space="0" w:color="auto"/>
              <w:bottom w:val="dashed" w:sz="4" w:space="0" w:color="auto"/>
            </w:tcBorders>
            <w:shd w:val="clear" w:color="auto" w:fill="auto"/>
          </w:tcPr>
          <w:p w14:paraId="683539DD" w14:textId="77777777" w:rsidR="00B2524D" w:rsidRPr="00B2524D" w:rsidRDefault="008A1880" w:rsidP="00B2524D">
            <w:pPr>
              <w:spacing w:line="276" w:lineRule="auto"/>
              <w:ind w:left="340"/>
              <w:rPr>
                <w:i/>
              </w:rPr>
            </w:pPr>
            <w:r>
              <w:rPr>
                <w:i/>
              </w:rPr>
              <w:t>Restriction</w:t>
            </w:r>
            <w:r w:rsidR="00B2524D" w:rsidRPr="00B2524D">
              <w:rPr>
                <w:i/>
              </w:rPr>
              <w:t xml:space="preserve"> under REACH</w:t>
            </w:r>
          </w:p>
        </w:tc>
        <w:tc>
          <w:tcPr>
            <w:tcW w:w="912" w:type="dxa"/>
            <w:tcBorders>
              <w:top w:val="dashed" w:sz="4" w:space="0" w:color="auto"/>
              <w:bottom w:val="dashed" w:sz="4" w:space="0" w:color="auto"/>
            </w:tcBorders>
            <w:vAlign w:val="center"/>
          </w:tcPr>
          <w:p w14:paraId="683539DE" w14:textId="77777777" w:rsidR="00B2524D" w:rsidRPr="00B2524D" w:rsidRDefault="00B2524D" w:rsidP="00B2524D"/>
        </w:tc>
      </w:tr>
      <w:tr w:rsidR="00B2524D" w:rsidRPr="00B2524D" w14:paraId="683539E2" w14:textId="77777777" w:rsidTr="009D30A3">
        <w:trPr>
          <w:trHeight w:val="227"/>
        </w:trPr>
        <w:tc>
          <w:tcPr>
            <w:tcW w:w="7338" w:type="dxa"/>
            <w:tcBorders>
              <w:top w:val="dashed" w:sz="4" w:space="0" w:color="auto"/>
            </w:tcBorders>
            <w:shd w:val="clear" w:color="auto" w:fill="auto"/>
          </w:tcPr>
          <w:p w14:paraId="683539E0" w14:textId="77777777" w:rsidR="00B2524D" w:rsidRPr="00B2524D" w:rsidRDefault="00B2524D" w:rsidP="00B2524D">
            <w:pPr>
              <w:spacing w:line="276" w:lineRule="auto"/>
              <w:ind w:left="340"/>
              <w:rPr>
                <w:i/>
              </w:rPr>
            </w:pPr>
            <w:r w:rsidRPr="00B2524D">
              <w:rPr>
                <w:i/>
              </w:rPr>
              <w:t>Other EU-wide regulatory measures</w:t>
            </w:r>
          </w:p>
        </w:tc>
        <w:tc>
          <w:tcPr>
            <w:tcW w:w="912" w:type="dxa"/>
            <w:tcBorders>
              <w:top w:val="dashed" w:sz="4" w:space="0" w:color="auto"/>
            </w:tcBorders>
            <w:vAlign w:val="center"/>
          </w:tcPr>
          <w:p w14:paraId="683539E1" w14:textId="77777777" w:rsidR="00B2524D" w:rsidRPr="00B2524D" w:rsidRDefault="00B2524D" w:rsidP="00B2524D">
            <w:pPr>
              <w:jc w:val="center"/>
            </w:pPr>
          </w:p>
        </w:tc>
      </w:tr>
      <w:tr w:rsidR="00B2524D" w:rsidRPr="00B2524D" w14:paraId="683539E5" w14:textId="77777777" w:rsidTr="009D30A3">
        <w:trPr>
          <w:trHeight w:val="227"/>
        </w:trPr>
        <w:tc>
          <w:tcPr>
            <w:tcW w:w="7338" w:type="dxa"/>
            <w:shd w:val="clear" w:color="auto" w:fill="auto"/>
            <w:vAlign w:val="center"/>
          </w:tcPr>
          <w:p w14:paraId="683539E3" w14:textId="77777777" w:rsidR="00B2524D" w:rsidRPr="00B2524D" w:rsidRDefault="00B2524D" w:rsidP="00B2524D">
            <w:pPr>
              <w:spacing w:line="276" w:lineRule="auto"/>
            </w:pPr>
            <w:r w:rsidRPr="00B2524D">
              <w:t>Need for action other than EU regulatory action</w:t>
            </w:r>
          </w:p>
        </w:tc>
        <w:tc>
          <w:tcPr>
            <w:tcW w:w="912" w:type="dxa"/>
            <w:vAlign w:val="center"/>
          </w:tcPr>
          <w:p w14:paraId="683539E4" w14:textId="77777777" w:rsidR="00B2524D" w:rsidRPr="00B2524D" w:rsidRDefault="00B2524D" w:rsidP="00B2524D">
            <w:pPr>
              <w:spacing w:line="276" w:lineRule="auto"/>
              <w:jc w:val="center"/>
            </w:pPr>
          </w:p>
        </w:tc>
      </w:tr>
      <w:tr w:rsidR="00B2524D" w:rsidRPr="00B2524D" w14:paraId="683539E8" w14:textId="77777777" w:rsidTr="009D30A3">
        <w:trPr>
          <w:trHeight w:val="227"/>
        </w:trPr>
        <w:tc>
          <w:tcPr>
            <w:tcW w:w="7338" w:type="dxa"/>
            <w:shd w:val="clear" w:color="auto" w:fill="auto"/>
            <w:vAlign w:val="center"/>
          </w:tcPr>
          <w:p w14:paraId="683539E6" w14:textId="77777777" w:rsidR="00B2524D" w:rsidRPr="00B2524D" w:rsidRDefault="00B2524D" w:rsidP="00B2524D">
            <w:pPr>
              <w:spacing w:line="276" w:lineRule="auto"/>
            </w:pPr>
            <w:r w:rsidRPr="00B2524D">
              <w:t>No action needed at this time</w:t>
            </w:r>
          </w:p>
        </w:tc>
        <w:tc>
          <w:tcPr>
            <w:tcW w:w="912" w:type="dxa"/>
            <w:vAlign w:val="center"/>
          </w:tcPr>
          <w:p w14:paraId="683539E7" w14:textId="77777777" w:rsidR="00B2524D" w:rsidRPr="00B2524D" w:rsidRDefault="00B2524D" w:rsidP="00B2524D">
            <w:pPr>
              <w:spacing w:line="276" w:lineRule="auto"/>
            </w:pPr>
          </w:p>
        </w:tc>
      </w:tr>
    </w:tbl>
    <w:p w14:paraId="683539E9" w14:textId="77777777" w:rsidR="00B2524D" w:rsidRDefault="00B2524D" w:rsidP="00BE5AF4">
      <w:pPr>
        <w:pStyle w:val="Brdtext"/>
      </w:pPr>
    </w:p>
    <w:p w14:paraId="68353A01" w14:textId="77777777" w:rsidR="00A446BC" w:rsidRDefault="00A446BC" w:rsidP="00471457"/>
    <w:p w14:paraId="68353A02" w14:textId="77777777" w:rsidR="00A446BC" w:rsidRPr="006E3CBA" w:rsidRDefault="00A446BC" w:rsidP="00471457"/>
    <w:p w14:paraId="68353A11" w14:textId="0EA05A51" w:rsidR="004F6831" w:rsidRPr="00136A08" w:rsidRDefault="00AF77F1" w:rsidP="004F6831">
      <w:pPr>
        <w:pStyle w:val="Rubrik3"/>
        <w:numPr>
          <w:ilvl w:val="0"/>
          <w:numId w:val="6"/>
        </w:numPr>
        <w:rPr>
          <w:color w:val="4F81BD" w:themeColor="accent1"/>
          <w:sz w:val="24"/>
          <w:szCs w:val="28"/>
        </w:rPr>
      </w:pPr>
      <w:r w:rsidRPr="00270FFE">
        <w:rPr>
          <w:caps/>
          <w:color w:val="4F81BD" w:themeColor="accent1"/>
          <w:sz w:val="24"/>
          <w:szCs w:val="28"/>
        </w:rPr>
        <w:t>Need for follow-up regulatory action at EU level</w:t>
      </w:r>
      <w:r w:rsidR="00471457" w:rsidRPr="000711F7">
        <w:rPr>
          <w:color w:val="4F81BD" w:themeColor="accent1"/>
          <w:sz w:val="24"/>
          <w:szCs w:val="28"/>
        </w:rPr>
        <w:t xml:space="preserve"> </w:t>
      </w:r>
      <w:bookmarkStart w:id="1" w:name="_Toc357683639"/>
    </w:p>
    <w:p w14:paraId="68353A13" w14:textId="0D1388AD" w:rsidR="004F6831" w:rsidRPr="000B38AF" w:rsidRDefault="008A1880" w:rsidP="00270FFE">
      <w:pPr>
        <w:pStyle w:val="Rubrik3"/>
        <w:widowControl/>
        <w:numPr>
          <w:ilvl w:val="1"/>
          <w:numId w:val="6"/>
        </w:numPr>
        <w:spacing w:before="200" w:after="0" w:line="276" w:lineRule="auto"/>
        <w:rPr>
          <w:color w:val="365F91" w:themeColor="accent1" w:themeShade="BF"/>
          <w:sz w:val="24"/>
          <w:szCs w:val="24"/>
        </w:rPr>
      </w:pPr>
      <w:r w:rsidRPr="008A1880">
        <w:rPr>
          <w:color w:val="365F91" w:themeColor="accent1" w:themeShade="BF"/>
          <w:sz w:val="24"/>
          <w:szCs w:val="24"/>
        </w:rPr>
        <w:t>Identification as a substance of very high concern, SVHC (first step towards authorisation)</w:t>
      </w:r>
    </w:p>
    <w:p w14:paraId="657DF26B" w14:textId="77777777" w:rsidR="000B38AF" w:rsidRPr="00136A08" w:rsidRDefault="000B38AF" w:rsidP="000B38AF">
      <w:pPr>
        <w:keepNext/>
        <w:widowControl/>
        <w:spacing w:before="120" w:after="90"/>
        <w:rPr>
          <w:b/>
          <w:bCs/>
          <w:snapToGrid/>
          <w:lang w:eastAsia="en-US"/>
        </w:rPr>
      </w:pPr>
      <w:r w:rsidRPr="00136A08">
        <w:rPr>
          <w:b/>
          <w:bCs/>
          <w:snapToGrid/>
          <w:lang w:eastAsia="en-US"/>
        </w:rPr>
        <w:t>SVHC Roadmap 2020 criteria</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1537"/>
        <w:gridCol w:w="1259"/>
      </w:tblGrid>
      <w:tr w:rsidR="000B38AF" w:rsidRPr="00136A08" w14:paraId="5ACD9629" w14:textId="77777777" w:rsidTr="00666A37">
        <w:tc>
          <w:tcPr>
            <w:tcW w:w="5313" w:type="dxa"/>
            <w:shd w:val="clear" w:color="auto" w:fill="auto"/>
          </w:tcPr>
          <w:p w14:paraId="2BC9E284" w14:textId="77777777" w:rsidR="000B38AF" w:rsidRPr="00136A08" w:rsidRDefault="000B38AF" w:rsidP="00666A37">
            <w:pPr>
              <w:widowControl/>
              <w:spacing w:after="180"/>
              <w:ind w:left="360"/>
              <w:contextualSpacing/>
              <w:rPr>
                <w:snapToGrid/>
                <w:lang w:val="en-US" w:eastAsia="en-US"/>
              </w:rPr>
            </w:pPr>
          </w:p>
        </w:tc>
        <w:tc>
          <w:tcPr>
            <w:tcW w:w="1537" w:type="dxa"/>
            <w:shd w:val="clear" w:color="auto" w:fill="auto"/>
          </w:tcPr>
          <w:p w14:paraId="7B03AE27" w14:textId="77777777" w:rsidR="000B38AF" w:rsidRPr="00136A08" w:rsidRDefault="000B38AF" w:rsidP="00666A37">
            <w:pPr>
              <w:widowControl/>
              <w:spacing w:after="180"/>
              <w:jc w:val="center"/>
              <w:rPr>
                <w:snapToGrid/>
                <w:lang w:val="en-US" w:eastAsia="en-US"/>
              </w:rPr>
            </w:pPr>
            <w:r w:rsidRPr="00136A08">
              <w:rPr>
                <w:snapToGrid/>
                <w:lang w:val="en-US" w:eastAsia="en-US"/>
              </w:rPr>
              <w:t>Yes</w:t>
            </w:r>
          </w:p>
        </w:tc>
        <w:tc>
          <w:tcPr>
            <w:tcW w:w="1259" w:type="dxa"/>
            <w:shd w:val="clear" w:color="auto" w:fill="auto"/>
          </w:tcPr>
          <w:p w14:paraId="573D03F4" w14:textId="77777777" w:rsidR="000B38AF" w:rsidRPr="00136A08" w:rsidRDefault="000B38AF" w:rsidP="00666A37">
            <w:pPr>
              <w:widowControl/>
              <w:spacing w:after="180"/>
              <w:jc w:val="center"/>
              <w:rPr>
                <w:snapToGrid/>
                <w:lang w:val="en-US" w:eastAsia="en-US"/>
              </w:rPr>
            </w:pPr>
            <w:r w:rsidRPr="00136A08">
              <w:rPr>
                <w:snapToGrid/>
                <w:lang w:val="en-US" w:eastAsia="en-US"/>
              </w:rPr>
              <w:t>No</w:t>
            </w:r>
          </w:p>
        </w:tc>
      </w:tr>
      <w:tr w:rsidR="000B38AF" w:rsidRPr="00136A08" w14:paraId="0B7BB2F6" w14:textId="77777777" w:rsidTr="00666A37">
        <w:tc>
          <w:tcPr>
            <w:tcW w:w="5313" w:type="dxa"/>
            <w:shd w:val="clear" w:color="auto" w:fill="auto"/>
          </w:tcPr>
          <w:p w14:paraId="1C0679AA" w14:textId="77777777" w:rsidR="000B38AF" w:rsidRPr="00136A08" w:rsidRDefault="000B38AF" w:rsidP="00666A37">
            <w:pPr>
              <w:widowControl/>
              <w:spacing w:after="180"/>
              <w:rPr>
                <w:snapToGrid/>
                <w:lang w:val="en-US" w:eastAsia="en-US"/>
              </w:rPr>
            </w:pPr>
            <w:r w:rsidRPr="00136A08">
              <w:rPr>
                <w:snapToGrid/>
                <w:lang w:val="en-US" w:eastAsia="en-US"/>
              </w:rPr>
              <w:t>a) Art 57 criteria fulfilled?</w:t>
            </w:r>
          </w:p>
        </w:tc>
        <w:tc>
          <w:tcPr>
            <w:tcW w:w="1537" w:type="dxa"/>
            <w:shd w:val="clear" w:color="auto" w:fill="auto"/>
          </w:tcPr>
          <w:p w14:paraId="3F762F45" w14:textId="77777777" w:rsidR="000B38AF" w:rsidRPr="00136A08" w:rsidRDefault="000B38AF" w:rsidP="00666A37">
            <w:pPr>
              <w:widowControl/>
              <w:spacing w:after="180"/>
              <w:jc w:val="center"/>
              <w:rPr>
                <w:snapToGrid/>
                <w:lang w:val="en-US" w:eastAsia="en-US"/>
              </w:rPr>
            </w:pPr>
            <w:r w:rsidRPr="00136A08">
              <w:rPr>
                <w:snapToGrid/>
                <w:lang w:val="en-US" w:eastAsia="en-US"/>
              </w:rPr>
              <w:t>√</w:t>
            </w:r>
          </w:p>
        </w:tc>
        <w:tc>
          <w:tcPr>
            <w:tcW w:w="1259" w:type="dxa"/>
            <w:shd w:val="clear" w:color="auto" w:fill="auto"/>
          </w:tcPr>
          <w:p w14:paraId="340052F8" w14:textId="77777777" w:rsidR="000B38AF" w:rsidRPr="00136A08" w:rsidRDefault="000B38AF" w:rsidP="00666A37">
            <w:pPr>
              <w:widowControl/>
              <w:spacing w:after="180"/>
              <w:rPr>
                <w:snapToGrid/>
                <w:lang w:val="en-US" w:eastAsia="en-US"/>
              </w:rPr>
            </w:pPr>
          </w:p>
        </w:tc>
      </w:tr>
      <w:tr w:rsidR="000B38AF" w:rsidRPr="00136A08" w14:paraId="1B73BAFC" w14:textId="77777777" w:rsidTr="00666A37">
        <w:tc>
          <w:tcPr>
            <w:tcW w:w="5313" w:type="dxa"/>
            <w:shd w:val="clear" w:color="auto" w:fill="auto"/>
          </w:tcPr>
          <w:p w14:paraId="238D4A0E" w14:textId="77777777" w:rsidR="000B38AF" w:rsidRPr="00136A08" w:rsidRDefault="000B38AF" w:rsidP="00666A37">
            <w:pPr>
              <w:widowControl/>
              <w:spacing w:after="180"/>
              <w:rPr>
                <w:snapToGrid/>
                <w:lang w:val="en-US" w:eastAsia="en-US"/>
              </w:rPr>
            </w:pPr>
            <w:r w:rsidRPr="00136A08">
              <w:rPr>
                <w:snapToGrid/>
                <w:lang w:val="en-US" w:eastAsia="en-US"/>
              </w:rPr>
              <w:t>b) Registrations in accordance with Article 10?</w:t>
            </w:r>
          </w:p>
        </w:tc>
        <w:tc>
          <w:tcPr>
            <w:tcW w:w="1537" w:type="dxa"/>
            <w:shd w:val="clear" w:color="auto" w:fill="auto"/>
          </w:tcPr>
          <w:p w14:paraId="7E5EC7E2" w14:textId="77777777" w:rsidR="000B38AF" w:rsidRPr="00136A08" w:rsidRDefault="000B38AF" w:rsidP="00666A37">
            <w:pPr>
              <w:widowControl/>
              <w:spacing w:after="180"/>
              <w:jc w:val="center"/>
              <w:rPr>
                <w:snapToGrid/>
                <w:lang w:val="en-US" w:eastAsia="en-US"/>
              </w:rPr>
            </w:pPr>
            <w:r w:rsidRPr="00136A08">
              <w:rPr>
                <w:snapToGrid/>
                <w:lang w:val="en-US" w:eastAsia="en-US"/>
              </w:rPr>
              <w:t>√</w:t>
            </w:r>
          </w:p>
        </w:tc>
        <w:tc>
          <w:tcPr>
            <w:tcW w:w="1259" w:type="dxa"/>
            <w:shd w:val="clear" w:color="auto" w:fill="auto"/>
          </w:tcPr>
          <w:p w14:paraId="15273046" w14:textId="77777777" w:rsidR="000B38AF" w:rsidRPr="00136A08" w:rsidRDefault="000B38AF" w:rsidP="00666A37">
            <w:pPr>
              <w:widowControl/>
              <w:spacing w:after="180"/>
              <w:rPr>
                <w:snapToGrid/>
                <w:lang w:val="en-US" w:eastAsia="en-US"/>
              </w:rPr>
            </w:pPr>
          </w:p>
        </w:tc>
      </w:tr>
      <w:tr w:rsidR="000B38AF" w:rsidRPr="00136A08" w14:paraId="631CC883" w14:textId="77777777" w:rsidTr="00666A37">
        <w:tc>
          <w:tcPr>
            <w:tcW w:w="5313" w:type="dxa"/>
            <w:shd w:val="clear" w:color="auto" w:fill="auto"/>
          </w:tcPr>
          <w:p w14:paraId="41D908F3" w14:textId="77777777" w:rsidR="000B38AF" w:rsidRPr="00136A08" w:rsidRDefault="000B38AF" w:rsidP="00666A37">
            <w:pPr>
              <w:widowControl/>
              <w:spacing w:after="180"/>
              <w:rPr>
                <w:snapToGrid/>
                <w:lang w:val="en-US" w:eastAsia="en-US"/>
              </w:rPr>
            </w:pPr>
            <w:r w:rsidRPr="00136A08">
              <w:rPr>
                <w:snapToGrid/>
                <w:lang w:val="en-US" w:eastAsia="en-US"/>
              </w:rPr>
              <w:t xml:space="preserve">c) Registrations include uses within scope of </w:t>
            </w:r>
            <w:proofErr w:type="spellStart"/>
            <w:r w:rsidRPr="00136A08">
              <w:rPr>
                <w:snapToGrid/>
                <w:lang w:val="en-US" w:eastAsia="en-US"/>
              </w:rPr>
              <w:t>authorisation</w:t>
            </w:r>
            <w:proofErr w:type="spellEnd"/>
            <w:r w:rsidRPr="00136A08">
              <w:rPr>
                <w:snapToGrid/>
                <w:lang w:val="en-US" w:eastAsia="en-US"/>
              </w:rPr>
              <w:t>?</w:t>
            </w:r>
          </w:p>
        </w:tc>
        <w:tc>
          <w:tcPr>
            <w:tcW w:w="1537" w:type="dxa"/>
            <w:shd w:val="clear" w:color="auto" w:fill="auto"/>
          </w:tcPr>
          <w:p w14:paraId="3E391CFB" w14:textId="77777777" w:rsidR="000B38AF" w:rsidRPr="00136A08" w:rsidRDefault="000B38AF" w:rsidP="00666A37">
            <w:pPr>
              <w:widowControl/>
              <w:spacing w:after="180"/>
              <w:jc w:val="center"/>
              <w:rPr>
                <w:snapToGrid/>
                <w:lang w:val="en-US" w:eastAsia="en-US"/>
              </w:rPr>
            </w:pPr>
            <w:r w:rsidRPr="00136A08">
              <w:rPr>
                <w:snapToGrid/>
                <w:lang w:val="en-US" w:eastAsia="en-US"/>
              </w:rPr>
              <w:t>√</w:t>
            </w:r>
          </w:p>
        </w:tc>
        <w:tc>
          <w:tcPr>
            <w:tcW w:w="1259" w:type="dxa"/>
            <w:shd w:val="clear" w:color="auto" w:fill="auto"/>
          </w:tcPr>
          <w:p w14:paraId="3019A6B2" w14:textId="77777777" w:rsidR="000B38AF" w:rsidRPr="00136A08" w:rsidRDefault="000B38AF" w:rsidP="00666A37">
            <w:pPr>
              <w:widowControl/>
              <w:spacing w:after="180"/>
              <w:rPr>
                <w:snapToGrid/>
                <w:lang w:val="en-US" w:eastAsia="en-US"/>
              </w:rPr>
            </w:pPr>
          </w:p>
        </w:tc>
      </w:tr>
      <w:tr w:rsidR="000B38AF" w:rsidRPr="00136A08" w14:paraId="687717F9" w14:textId="77777777" w:rsidTr="00666A37">
        <w:tc>
          <w:tcPr>
            <w:tcW w:w="5313" w:type="dxa"/>
            <w:shd w:val="clear" w:color="auto" w:fill="auto"/>
          </w:tcPr>
          <w:p w14:paraId="62453F3A" w14:textId="77777777" w:rsidR="000B38AF" w:rsidRPr="00136A08" w:rsidRDefault="000B38AF" w:rsidP="00666A37">
            <w:pPr>
              <w:widowControl/>
              <w:spacing w:after="180"/>
              <w:rPr>
                <w:snapToGrid/>
                <w:lang w:val="en-US" w:eastAsia="en-US"/>
              </w:rPr>
            </w:pPr>
            <w:r w:rsidRPr="00136A08">
              <w:rPr>
                <w:snapToGrid/>
                <w:lang w:val="en-US" w:eastAsia="en-US"/>
              </w:rPr>
              <w:t xml:space="preserve">d) Known uses </w:t>
            </w:r>
            <w:r w:rsidRPr="00136A08">
              <w:rPr>
                <w:snapToGrid/>
                <w:u w:val="single"/>
                <w:lang w:val="en-US" w:eastAsia="en-US"/>
              </w:rPr>
              <w:t>not</w:t>
            </w:r>
            <w:r w:rsidRPr="00136A08">
              <w:rPr>
                <w:snapToGrid/>
                <w:lang w:val="en-US" w:eastAsia="en-US"/>
              </w:rPr>
              <w:t xml:space="preserve"> already regulated by specific EU legislation that provides a pressure for substitution?</w:t>
            </w:r>
          </w:p>
        </w:tc>
        <w:tc>
          <w:tcPr>
            <w:tcW w:w="1537" w:type="dxa"/>
            <w:shd w:val="clear" w:color="auto" w:fill="auto"/>
          </w:tcPr>
          <w:p w14:paraId="159774A8" w14:textId="77777777" w:rsidR="000B38AF" w:rsidRPr="00136A08" w:rsidRDefault="000B38AF" w:rsidP="00666A37">
            <w:pPr>
              <w:widowControl/>
              <w:spacing w:after="180"/>
              <w:jc w:val="center"/>
              <w:rPr>
                <w:snapToGrid/>
                <w:lang w:val="en-US" w:eastAsia="en-US"/>
              </w:rPr>
            </w:pPr>
            <w:r w:rsidRPr="00136A08">
              <w:rPr>
                <w:snapToGrid/>
                <w:lang w:val="en-US" w:eastAsia="en-US"/>
              </w:rPr>
              <w:t>√</w:t>
            </w:r>
          </w:p>
        </w:tc>
        <w:tc>
          <w:tcPr>
            <w:tcW w:w="1259" w:type="dxa"/>
            <w:shd w:val="clear" w:color="auto" w:fill="auto"/>
          </w:tcPr>
          <w:p w14:paraId="6E6309AD" w14:textId="77777777" w:rsidR="000B38AF" w:rsidRPr="00136A08" w:rsidRDefault="000B38AF" w:rsidP="00666A37">
            <w:pPr>
              <w:widowControl/>
              <w:spacing w:after="180"/>
              <w:rPr>
                <w:snapToGrid/>
                <w:lang w:val="en-US" w:eastAsia="en-US"/>
              </w:rPr>
            </w:pPr>
          </w:p>
        </w:tc>
      </w:tr>
    </w:tbl>
    <w:p w14:paraId="6810BF0B" w14:textId="77777777" w:rsidR="000B38AF" w:rsidRDefault="000B38AF" w:rsidP="00136A08">
      <w:pPr>
        <w:rPr>
          <w:iCs/>
        </w:rPr>
      </w:pPr>
    </w:p>
    <w:p w14:paraId="3F2F55FB" w14:textId="611554E9" w:rsidR="00136A08" w:rsidRDefault="00136A08" w:rsidP="00136A08">
      <w:pPr>
        <w:rPr>
          <w:iCs/>
        </w:rPr>
      </w:pPr>
      <w:r w:rsidRPr="00136A08">
        <w:rPr>
          <w:iCs/>
        </w:rPr>
        <w:t xml:space="preserve">Barium </w:t>
      </w:r>
      <w:proofErr w:type="spellStart"/>
      <w:r w:rsidRPr="00136A08">
        <w:rPr>
          <w:iCs/>
        </w:rPr>
        <w:t>diboron</w:t>
      </w:r>
      <w:proofErr w:type="spellEnd"/>
      <w:r w:rsidRPr="00136A08">
        <w:rPr>
          <w:iCs/>
        </w:rPr>
        <w:t xml:space="preserve"> </w:t>
      </w:r>
      <w:proofErr w:type="spellStart"/>
      <w:r w:rsidRPr="00136A08">
        <w:rPr>
          <w:iCs/>
        </w:rPr>
        <w:t>tetraoxide</w:t>
      </w:r>
      <w:proofErr w:type="spellEnd"/>
      <w:r w:rsidRPr="00136A08">
        <w:rPr>
          <w:iCs/>
        </w:rPr>
        <w:t xml:space="preserve"> has a harmonised classification as toxic to reproduction (Category 1B) and therefore meets the criteria for identification as SVHC for inclusion in the Candidate List according to Article 57 (c) of REACH.</w:t>
      </w:r>
    </w:p>
    <w:p w14:paraId="7960B520" w14:textId="77777777" w:rsidR="00136A08" w:rsidRPr="00136A08" w:rsidRDefault="00136A08" w:rsidP="00136A08">
      <w:pPr>
        <w:rPr>
          <w:iCs/>
        </w:rPr>
      </w:pPr>
    </w:p>
    <w:p w14:paraId="53CEF601" w14:textId="77777777" w:rsidR="00BD6675" w:rsidRDefault="00136A08" w:rsidP="00BD6675">
      <w:pPr>
        <w:widowControl/>
        <w:spacing w:after="180"/>
        <w:jc w:val="both"/>
        <w:rPr>
          <w:snapToGrid/>
          <w:lang w:eastAsia="en-US"/>
        </w:rPr>
      </w:pPr>
      <w:r w:rsidRPr="00136A08">
        <w:rPr>
          <w:iCs/>
        </w:rPr>
        <w:t xml:space="preserve">Barium </w:t>
      </w:r>
      <w:proofErr w:type="spellStart"/>
      <w:r w:rsidRPr="00136A08">
        <w:rPr>
          <w:iCs/>
        </w:rPr>
        <w:t>diboron</w:t>
      </w:r>
      <w:proofErr w:type="spellEnd"/>
      <w:r w:rsidRPr="00136A08">
        <w:rPr>
          <w:iCs/>
        </w:rPr>
        <w:t xml:space="preserve"> </w:t>
      </w:r>
      <w:proofErr w:type="spellStart"/>
      <w:r w:rsidRPr="00136A08">
        <w:rPr>
          <w:iCs/>
        </w:rPr>
        <w:t>tetraoxide</w:t>
      </w:r>
      <w:proofErr w:type="spellEnd"/>
      <w:r w:rsidRPr="00136A08">
        <w:rPr>
          <w:iCs/>
        </w:rPr>
        <w:t xml:space="preserve"> is registered at medium tonnages and uses are within the scope of authorisation.</w:t>
      </w:r>
      <w:r w:rsidR="00BD6675" w:rsidRPr="00BD6675">
        <w:rPr>
          <w:snapToGrid/>
          <w:lang w:eastAsia="en-US"/>
        </w:rPr>
        <w:t xml:space="preserve"> </w:t>
      </w:r>
    </w:p>
    <w:p w14:paraId="040EF5FD" w14:textId="4C7031AE" w:rsidR="00BD6675" w:rsidRDefault="00BD6675" w:rsidP="00BD6675">
      <w:pPr>
        <w:widowControl/>
        <w:spacing w:after="180"/>
        <w:jc w:val="both"/>
        <w:rPr>
          <w:snapToGrid/>
          <w:lang w:eastAsia="en-US"/>
        </w:rPr>
      </w:pPr>
      <w:r w:rsidRPr="003862B9">
        <w:rPr>
          <w:snapToGrid/>
          <w:lang w:eastAsia="en-US"/>
        </w:rPr>
        <w:lastRenderedPageBreak/>
        <w:t xml:space="preserve">Barium </w:t>
      </w:r>
      <w:proofErr w:type="spellStart"/>
      <w:r w:rsidRPr="003862B9">
        <w:rPr>
          <w:snapToGrid/>
          <w:lang w:eastAsia="en-US"/>
        </w:rPr>
        <w:t>diboron</w:t>
      </w:r>
      <w:proofErr w:type="spellEnd"/>
      <w:r w:rsidRPr="003862B9">
        <w:rPr>
          <w:snapToGrid/>
          <w:lang w:eastAsia="en-US"/>
        </w:rPr>
        <w:t xml:space="preserve"> </w:t>
      </w:r>
      <w:proofErr w:type="spellStart"/>
      <w:r w:rsidRPr="003862B9">
        <w:rPr>
          <w:snapToGrid/>
          <w:lang w:eastAsia="en-US"/>
        </w:rPr>
        <w:t>tetraoxide</w:t>
      </w:r>
      <w:proofErr w:type="spellEnd"/>
      <w:r w:rsidRPr="003862B9">
        <w:rPr>
          <w:snapToGrid/>
          <w:lang w:eastAsia="en-US"/>
        </w:rPr>
        <w:t xml:space="preserve"> only has limited uses</w:t>
      </w:r>
      <w:r>
        <w:rPr>
          <w:snapToGrid/>
          <w:lang w:eastAsia="en-US"/>
        </w:rPr>
        <w:t>/functions</w:t>
      </w:r>
      <w:r w:rsidRPr="003862B9">
        <w:rPr>
          <w:snapToGrid/>
          <w:lang w:eastAsia="en-US"/>
        </w:rPr>
        <w:t xml:space="preserve"> (in formulation of paints and coatings). However, these uses/functions overlap with some of the uses/functions of borates currently included in the Candidate List. This indicates that barium </w:t>
      </w:r>
      <w:proofErr w:type="spellStart"/>
      <w:r w:rsidRPr="003862B9">
        <w:rPr>
          <w:snapToGrid/>
          <w:lang w:eastAsia="en-US"/>
        </w:rPr>
        <w:t>diboron</w:t>
      </w:r>
      <w:proofErr w:type="spellEnd"/>
      <w:r w:rsidRPr="003862B9">
        <w:rPr>
          <w:snapToGrid/>
          <w:lang w:eastAsia="en-US"/>
        </w:rPr>
        <w:t xml:space="preserve"> </w:t>
      </w:r>
      <w:proofErr w:type="spellStart"/>
      <w:r w:rsidRPr="003862B9">
        <w:rPr>
          <w:snapToGrid/>
          <w:lang w:eastAsia="en-US"/>
        </w:rPr>
        <w:t>tetraoxide</w:t>
      </w:r>
      <w:proofErr w:type="spellEnd"/>
      <w:r w:rsidRPr="003862B9">
        <w:rPr>
          <w:snapToGrid/>
          <w:lang w:eastAsia="en-US"/>
        </w:rPr>
        <w:t xml:space="preserve"> could be a potential substitute for these borates</w:t>
      </w:r>
      <w:r>
        <w:rPr>
          <w:snapToGrid/>
          <w:lang w:eastAsia="en-US"/>
        </w:rPr>
        <w:t>.</w:t>
      </w:r>
    </w:p>
    <w:bookmarkEnd w:id="1"/>
    <w:p w14:paraId="68353A2F" w14:textId="45C0701C" w:rsidR="00471457" w:rsidRPr="00BD6675" w:rsidRDefault="000B38AF" w:rsidP="00BD6675">
      <w:r w:rsidRPr="0044190D">
        <w:t xml:space="preserve">The Swedish </w:t>
      </w:r>
      <w:r>
        <w:t>Chemicals Agency</w:t>
      </w:r>
      <w:r w:rsidRPr="0044190D">
        <w:t xml:space="preserve"> concludes </w:t>
      </w:r>
      <w:r>
        <w:t>that inclusion of</w:t>
      </w:r>
      <w:r w:rsidRPr="0044190D">
        <w:t xml:space="preserve"> </w:t>
      </w:r>
      <w:bookmarkStart w:id="2" w:name="_Hlk85812830"/>
      <w:r w:rsidRPr="0044190D">
        <w:t xml:space="preserve">barium </w:t>
      </w:r>
      <w:proofErr w:type="spellStart"/>
      <w:r w:rsidRPr="0044190D">
        <w:t>diboron</w:t>
      </w:r>
      <w:proofErr w:type="spellEnd"/>
      <w:r w:rsidRPr="0044190D">
        <w:t xml:space="preserve"> </w:t>
      </w:r>
      <w:proofErr w:type="spellStart"/>
      <w:r w:rsidRPr="0044190D">
        <w:t>tetraoxide</w:t>
      </w:r>
      <w:bookmarkEnd w:id="2"/>
      <w:proofErr w:type="spellEnd"/>
      <w:r>
        <w:t xml:space="preserve"> </w:t>
      </w:r>
      <w:r w:rsidRPr="0044190D">
        <w:t xml:space="preserve">in the Candidate list </w:t>
      </w:r>
      <w:r w:rsidRPr="00CE6420">
        <w:t xml:space="preserve">of substances of very high concern </w:t>
      </w:r>
      <w:r w:rsidRPr="0044190D">
        <w:t>is the most appropriate risk management option.</w:t>
      </w:r>
      <w:r>
        <w:t xml:space="preserve"> </w:t>
      </w:r>
      <w:r w:rsidRPr="00704C7F">
        <w:t xml:space="preserve">This is to </w:t>
      </w:r>
      <w:r w:rsidRPr="00B32B84">
        <w:t>prevent regrettable substitution</w:t>
      </w:r>
      <w:r>
        <w:t xml:space="preserve"> of borates already on the Candidate list </w:t>
      </w:r>
      <w:r w:rsidRPr="00704C7F">
        <w:t>and as an incentive for substitution</w:t>
      </w:r>
      <w:r>
        <w:t xml:space="preserve"> of barium </w:t>
      </w:r>
      <w:proofErr w:type="spellStart"/>
      <w:r>
        <w:t>diboron</w:t>
      </w:r>
      <w:proofErr w:type="spellEnd"/>
      <w:r>
        <w:t xml:space="preserve"> </w:t>
      </w:r>
      <w:proofErr w:type="spellStart"/>
      <w:r>
        <w:t>tetraoxide</w:t>
      </w:r>
      <w:proofErr w:type="spellEnd"/>
      <w:r>
        <w:t xml:space="preserve"> itself</w:t>
      </w:r>
      <w:r w:rsidRPr="00704C7F">
        <w:t xml:space="preserve">. </w:t>
      </w:r>
      <w:r>
        <w:t xml:space="preserve">If there are uses in which barium </w:t>
      </w:r>
      <w:proofErr w:type="spellStart"/>
      <w:r>
        <w:t>diboron</w:t>
      </w:r>
      <w:proofErr w:type="spellEnd"/>
      <w:r>
        <w:t xml:space="preserve"> </w:t>
      </w:r>
      <w:proofErr w:type="spellStart"/>
      <w:r>
        <w:t>tetraoxide</w:t>
      </w:r>
      <w:proofErr w:type="spellEnd"/>
      <w:r>
        <w:t xml:space="preserve"> cannot be substituted, </w:t>
      </w:r>
      <w:r w:rsidRPr="00704C7F">
        <w:t>the authorisation system will apply to assure proper control of the risks</w:t>
      </w:r>
      <w:r>
        <w:t xml:space="preserve"> to professional and industrial workers</w:t>
      </w:r>
      <w:r w:rsidRPr="00704C7F">
        <w:t>.</w:t>
      </w:r>
      <w:r>
        <w:t xml:space="preserve"> </w:t>
      </w:r>
    </w:p>
    <w:p w14:paraId="066003D9" w14:textId="37FCFECE" w:rsidR="00492518" w:rsidRPr="00F85D6C" w:rsidRDefault="00492518" w:rsidP="00F85D6C">
      <w:pPr>
        <w:widowControl/>
        <w:spacing w:after="200" w:line="276" w:lineRule="auto"/>
        <w:rPr>
          <w:rFonts w:cs="Arial"/>
          <w:b/>
          <w:bCs/>
          <w:snapToGrid/>
          <w:color w:val="4F81BD" w:themeColor="accent1"/>
          <w:sz w:val="28"/>
          <w:szCs w:val="28"/>
        </w:rPr>
      </w:pPr>
    </w:p>
    <w:p w14:paraId="68353A4B" w14:textId="2CB4A9FC" w:rsidR="00A14C19" w:rsidRPr="00F85D6C" w:rsidRDefault="006617E0" w:rsidP="00F85D6C">
      <w:pPr>
        <w:pStyle w:val="Rubrik3"/>
        <w:numPr>
          <w:ilvl w:val="0"/>
          <w:numId w:val="6"/>
        </w:numPr>
        <w:rPr>
          <w:caps/>
          <w:color w:val="4F81BD" w:themeColor="accent1"/>
          <w:sz w:val="24"/>
          <w:szCs w:val="28"/>
        </w:rPr>
      </w:pPr>
      <w:r w:rsidRPr="00270FFE">
        <w:rPr>
          <w:caps/>
          <w:color w:val="4F81BD" w:themeColor="accent1"/>
          <w:sz w:val="24"/>
          <w:szCs w:val="28"/>
        </w:rPr>
        <w:t>TENTATIVE PLAN FOR FOLLOW-UP ACTIONS IF NECESSARY</w:t>
      </w:r>
    </w:p>
    <w:p w14:paraId="68353A4C" w14:textId="77777777" w:rsidR="00A14C19" w:rsidRPr="00166209" w:rsidRDefault="00A14C19" w:rsidP="00FB30A3">
      <w:pPr>
        <w:spacing w:after="360"/>
      </w:pPr>
      <w:r w:rsidRPr="00166209">
        <w:t xml:space="preserve">Indication of a tentative plan is not a formal commitment </w:t>
      </w:r>
      <w:r w:rsidR="006E2B7B">
        <w:t>by</w:t>
      </w:r>
      <w:r w:rsidRPr="00166209">
        <w:t xml:space="preserve"> the </w:t>
      </w:r>
      <w:r w:rsidR="006E2B7B">
        <w:t>authority</w:t>
      </w:r>
      <w:r w:rsidRPr="00166209">
        <w:t xml:space="preserve">. A commitment to prepare a REACH Annex XV dossier (SVHC, restrictions) and/or CLP Annex VI dossier </w:t>
      </w:r>
      <w:r w:rsidR="00AC79ED" w:rsidRPr="00166209">
        <w:t>sh</w:t>
      </w:r>
      <w:r w:rsidR="00AC79ED">
        <w:t>ould</w:t>
      </w:r>
      <w:r w:rsidR="00AC79ED" w:rsidRPr="00166209">
        <w:t xml:space="preserve"> </w:t>
      </w:r>
      <w:r w:rsidRPr="00166209">
        <w:t>be made via the Registry of Intentions.</w:t>
      </w:r>
      <w:r w:rsidR="00AF6E00">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520"/>
        <w:gridCol w:w="3780"/>
      </w:tblGrid>
      <w:tr w:rsidR="00A14C19" w:rsidRPr="003016DF" w14:paraId="68353A50" w14:textId="77777777" w:rsidTr="00A2050D">
        <w:tc>
          <w:tcPr>
            <w:tcW w:w="2808" w:type="dxa"/>
            <w:shd w:val="clear" w:color="auto" w:fill="auto"/>
          </w:tcPr>
          <w:p w14:paraId="68353A4D" w14:textId="77777777" w:rsidR="00A14C19" w:rsidRPr="003016DF" w:rsidRDefault="00A14C19" w:rsidP="00A2050D">
            <w:pPr>
              <w:rPr>
                <w:b/>
              </w:rPr>
            </w:pPr>
            <w:r w:rsidRPr="003016DF">
              <w:rPr>
                <w:b/>
              </w:rPr>
              <w:t>Follow-up action</w:t>
            </w:r>
          </w:p>
        </w:tc>
        <w:tc>
          <w:tcPr>
            <w:tcW w:w="2520" w:type="dxa"/>
            <w:shd w:val="clear" w:color="auto" w:fill="auto"/>
          </w:tcPr>
          <w:p w14:paraId="68353A4E" w14:textId="515A07FF" w:rsidR="00A14C19" w:rsidRPr="003016DF" w:rsidRDefault="00A14C19" w:rsidP="00BB3275">
            <w:pPr>
              <w:rPr>
                <w:b/>
              </w:rPr>
            </w:pPr>
            <w:r w:rsidRPr="003016DF">
              <w:rPr>
                <w:b/>
              </w:rPr>
              <w:t xml:space="preserve">Date for </w:t>
            </w:r>
            <w:r w:rsidR="00BB3275">
              <w:rPr>
                <w:b/>
              </w:rPr>
              <w:t>follow-up</w:t>
            </w:r>
            <w:r w:rsidRPr="003016DF">
              <w:rPr>
                <w:b/>
              </w:rPr>
              <w:t xml:space="preserve"> </w:t>
            </w:r>
          </w:p>
        </w:tc>
        <w:tc>
          <w:tcPr>
            <w:tcW w:w="3780" w:type="dxa"/>
            <w:shd w:val="clear" w:color="auto" w:fill="auto"/>
          </w:tcPr>
          <w:p w14:paraId="68353A4F" w14:textId="77777777" w:rsidR="00A14C19" w:rsidRPr="003016DF" w:rsidRDefault="00A14C19" w:rsidP="00A2050D">
            <w:pPr>
              <w:rPr>
                <w:b/>
              </w:rPr>
            </w:pPr>
            <w:r w:rsidRPr="003016DF">
              <w:rPr>
                <w:b/>
              </w:rPr>
              <w:t>Actor</w:t>
            </w:r>
          </w:p>
        </w:tc>
      </w:tr>
      <w:tr w:rsidR="00A14C19" w:rsidRPr="003016DF" w14:paraId="68353A54" w14:textId="77777777" w:rsidTr="00A2050D">
        <w:trPr>
          <w:trHeight w:val="624"/>
        </w:trPr>
        <w:tc>
          <w:tcPr>
            <w:tcW w:w="2808" w:type="dxa"/>
            <w:shd w:val="clear" w:color="auto" w:fill="auto"/>
          </w:tcPr>
          <w:p w14:paraId="68353A51" w14:textId="13940CFF" w:rsidR="00A14C19" w:rsidRPr="003016DF" w:rsidRDefault="00A14C19" w:rsidP="00A2050D">
            <w:pPr>
              <w:spacing w:after="120"/>
            </w:pPr>
            <w:r w:rsidRPr="003016DF">
              <w:t xml:space="preserve">Annex XV dossier for </w:t>
            </w:r>
            <w:r w:rsidR="004F00C7">
              <w:t>SVHC identification</w:t>
            </w:r>
          </w:p>
        </w:tc>
        <w:tc>
          <w:tcPr>
            <w:tcW w:w="2520" w:type="dxa"/>
            <w:shd w:val="clear" w:color="auto" w:fill="auto"/>
          </w:tcPr>
          <w:p w14:paraId="68353A52" w14:textId="6ED02288" w:rsidR="00A14C19" w:rsidRPr="00A829AB" w:rsidRDefault="008873A5" w:rsidP="00A2050D">
            <w:pPr>
              <w:rPr>
                <w:highlight w:val="yellow"/>
              </w:rPr>
            </w:pPr>
            <w:r w:rsidRPr="008873A5">
              <w:t xml:space="preserve">August </w:t>
            </w:r>
            <w:r w:rsidR="00F85D6C" w:rsidRPr="008873A5">
              <w:t>2022</w:t>
            </w:r>
            <w:r w:rsidR="00A14C19" w:rsidRPr="008873A5">
              <w:t xml:space="preserve"> </w:t>
            </w:r>
          </w:p>
        </w:tc>
        <w:tc>
          <w:tcPr>
            <w:tcW w:w="3780" w:type="dxa"/>
            <w:shd w:val="clear" w:color="auto" w:fill="auto"/>
          </w:tcPr>
          <w:p w14:paraId="68353A53" w14:textId="77777777" w:rsidR="00A14C19" w:rsidRPr="003016DF" w:rsidRDefault="00A14C19" w:rsidP="00A2050D">
            <w:r w:rsidRPr="003016DF">
              <w:t>Member State</w:t>
            </w:r>
          </w:p>
        </w:tc>
      </w:tr>
    </w:tbl>
    <w:p w14:paraId="68353A59" w14:textId="77777777" w:rsidR="00997177" w:rsidRDefault="00FE0A7A"/>
    <w:sectPr w:rsidR="00997177">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7190B" w14:textId="77777777" w:rsidR="00F145F2" w:rsidRDefault="00F145F2" w:rsidP="00471457">
      <w:r>
        <w:separator/>
      </w:r>
    </w:p>
  </w:endnote>
  <w:endnote w:type="continuationSeparator" w:id="0">
    <w:p w14:paraId="5DBE71B0" w14:textId="77777777" w:rsidR="00F145F2" w:rsidRDefault="00F145F2" w:rsidP="0047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3A68" w14:textId="2A6C43AA" w:rsidR="002E4026" w:rsidRPr="00B66083" w:rsidRDefault="00E86372" w:rsidP="002E4026">
    <w:pPr>
      <w:pStyle w:val="Sidfot"/>
      <w:jc w:val="center"/>
    </w:pPr>
    <w:r w:rsidRPr="009A61C8">
      <w:rPr>
        <w:sz w:val="18"/>
        <w:szCs w:val="18"/>
      </w:rPr>
      <w:t xml:space="preserve">EC no </w:t>
    </w:r>
    <w:r w:rsidR="002367F9" w:rsidRPr="002367F9">
      <w:rPr>
        <w:sz w:val="18"/>
        <w:szCs w:val="18"/>
      </w:rPr>
      <w:t>237-222-4</w:t>
    </w:r>
    <w:r w:rsidRPr="009A61C8">
      <w:rPr>
        <w:sz w:val="18"/>
        <w:szCs w:val="18"/>
      </w:rPr>
      <w:tab/>
      <w:t xml:space="preserve">MSCA </w:t>
    </w:r>
    <w:r w:rsidR="002367F9">
      <w:rPr>
        <w:sz w:val="18"/>
        <w:szCs w:val="18"/>
      </w:rPr>
      <w:t>- Sweden</w:t>
    </w:r>
    <w:r>
      <w:rPr>
        <w:sz w:val="18"/>
        <w:szCs w:val="18"/>
      </w:rPr>
      <w:tab/>
    </w:r>
    <w:r w:rsidR="002E4026" w:rsidRPr="009320DD">
      <w:rPr>
        <w:sz w:val="18"/>
        <w:szCs w:val="18"/>
      </w:rPr>
      <w:t xml:space="preserve">Page </w:t>
    </w:r>
    <w:r w:rsidR="002E4026" w:rsidRPr="009320DD">
      <w:rPr>
        <w:sz w:val="18"/>
        <w:szCs w:val="18"/>
      </w:rPr>
      <w:fldChar w:fldCharType="begin"/>
    </w:r>
    <w:r w:rsidR="002E4026" w:rsidRPr="009320DD">
      <w:rPr>
        <w:sz w:val="18"/>
        <w:szCs w:val="18"/>
      </w:rPr>
      <w:instrText xml:space="preserve"> PAGE </w:instrText>
    </w:r>
    <w:r w:rsidR="002E4026" w:rsidRPr="009320DD">
      <w:rPr>
        <w:sz w:val="18"/>
        <w:szCs w:val="18"/>
      </w:rPr>
      <w:fldChar w:fldCharType="separate"/>
    </w:r>
    <w:r w:rsidR="00862992">
      <w:rPr>
        <w:noProof/>
        <w:sz w:val="18"/>
        <w:szCs w:val="18"/>
      </w:rPr>
      <w:t>2</w:t>
    </w:r>
    <w:r w:rsidR="002E4026" w:rsidRPr="009320DD">
      <w:rPr>
        <w:sz w:val="18"/>
        <w:szCs w:val="18"/>
      </w:rPr>
      <w:fldChar w:fldCharType="end"/>
    </w:r>
    <w:r w:rsidR="002E4026" w:rsidRPr="009320DD">
      <w:rPr>
        <w:sz w:val="18"/>
        <w:szCs w:val="18"/>
      </w:rPr>
      <w:t xml:space="preserve"> of </w:t>
    </w:r>
    <w:r w:rsidR="002E4026" w:rsidRPr="009320DD">
      <w:rPr>
        <w:sz w:val="18"/>
        <w:szCs w:val="18"/>
      </w:rPr>
      <w:fldChar w:fldCharType="begin"/>
    </w:r>
    <w:r w:rsidR="002E4026" w:rsidRPr="009320DD">
      <w:rPr>
        <w:sz w:val="18"/>
        <w:szCs w:val="18"/>
      </w:rPr>
      <w:instrText xml:space="preserve"> NUMPAGES </w:instrText>
    </w:r>
    <w:r w:rsidR="002E4026" w:rsidRPr="009320DD">
      <w:rPr>
        <w:sz w:val="18"/>
        <w:szCs w:val="18"/>
      </w:rPr>
      <w:fldChar w:fldCharType="separate"/>
    </w:r>
    <w:r w:rsidR="00862992">
      <w:rPr>
        <w:noProof/>
        <w:sz w:val="18"/>
        <w:szCs w:val="18"/>
      </w:rPr>
      <w:t>6</w:t>
    </w:r>
    <w:r w:rsidR="002E4026" w:rsidRPr="009320DD">
      <w:rPr>
        <w:sz w:val="18"/>
        <w:szCs w:val="18"/>
      </w:rPr>
      <w:fldChar w:fldCharType="end"/>
    </w:r>
  </w:p>
  <w:p w14:paraId="68353A69" w14:textId="77777777" w:rsidR="002E4026" w:rsidRDefault="002E402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3A6A" w14:textId="43D0B1C8" w:rsidR="00C0335E" w:rsidRPr="00B66083" w:rsidRDefault="00E86372" w:rsidP="00B66083">
    <w:pPr>
      <w:pStyle w:val="Sidfot"/>
      <w:jc w:val="center"/>
    </w:pPr>
    <w:r w:rsidRPr="009A61C8">
      <w:rPr>
        <w:sz w:val="18"/>
        <w:szCs w:val="18"/>
      </w:rPr>
      <w:t xml:space="preserve">EC no </w:t>
    </w:r>
    <w:r w:rsidR="00F85D6C" w:rsidRPr="002367F9">
      <w:rPr>
        <w:sz w:val="18"/>
        <w:szCs w:val="18"/>
      </w:rPr>
      <w:t>237-222-4</w:t>
    </w:r>
    <w:r w:rsidRPr="009A61C8">
      <w:rPr>
        <w:sz w:val="18"/>
        <w:szCs w:val="18"/>
      </w:rPr>
      <w:tab/>
      <w:t xml:space="preserve">MSCA - </w:t>
    </w:r>
    <w:r w:rsidR="00F85D6C">
      <w:rPr>
        <w:sz w:val="18"/>
        <w:szCs w:val="18"/>
      </w:rPr>
      <w:t>Sweden</w:t>
    </w:r>
    <w:r>
      <w:rPr>
        <w:sz w:val="18"/>
        <w:szCs w:val="18"/>
      </w:rPr>
      <w:tab/>
    </w:r>
    <w:r w:rsidR="00B66083" w:rsidRPr="009320DD">
      <w:rPr>
        <w:sz w:val="18"/>
        <w:szCs w:val="18"/>
      </w:rPr>
      <w:t xml:space="preserve">Page </w:t>
    </w:r>
    <w:r w:rsidR="00B66083" w:rsidRPr="009320DD">
      <w:rPr>
        <w:sz w:val="18"/>
        <w:szCs w:val="18"/>
      </w:rPr>
      <w:fldChar w:fldCharType="begin"/>
    </w:r>
    <w:r w:rsidR="00B66083" w:rsidRPr="009320DD">
      <w:rPr>
        <w:sz w:val="18"/>
        <w:szCs w:val="18"/>
      </w:rPr>
      <w:instrText xml:space="preserve"> PAGE </w:instrText>
    </w:r>
    <w:r w:rsidR="00B66083" w:rsidRPr="009320DD">
      <w:rPr>
        <w:sz w:val="18"/>
        <w:szCs w:val="18"/>
      </w:rPr>
      <w:fldChar w:fldCharType="separate"/>
    </w:r>
    <w:r w:rsidR="00862992">
      <w:rPr>
        <w:noProof/>
        <w:sz w:val="18"/>
        <w:szCs w:val="18"/>
      </w:rPr>
      <w:t>6</w:t>
    </w:r>
    <w:r w:rsidR="00B66083" w:rsidRPr="009320DD">
      <w:rPr>
        <w:sz w:val="18"/>
        <w:szCs w:val="18"/>
      </w:rPr>
      <w:fldChar w:fldCharType="end"/>
    </w:r>
    <w:r w:rsidR="00B66083" w:rsidRPr="009320DD">
      <w:rPr>
        <w:sz w:val="18"/>
        <w:szCs w:val="18"/>
      </w:rPr>
      <w:t xml:space="preserve"> of </w:t>
    </w:r>
    <w:r w:rsidR="00B66083" w:rsidRPr="009320DD">
      <w:rPr>
        <w:sz w:val="18"/>
        <w:szCs w:val="18"/>
      </w:rPr>
      <w:fldChar w:fldCharType="begin"/>
    </w:r>
    <w:r w:rsidR="00B66083" w:rsidRPr="009320DD">
      <w:rPr>
        <w:sz w:val="18"/>
        <w:szCs w:val="18"/>
      </w:rPr>
      <w:instrText xml:space="preserve"> NUMPAGES </w:instrText>
    </w:r>
    <w:r w:rsidR="00B66083" w:rsidRPr="009320DD">
      <w:rPr>
        <w:sz w:val="18"/>
        <w:szCs w:val="18"/>
      </w:rPr>
      <w:fldChar w:fldCharType="separate"/>
    </w:r>
    <w:r w:rsidR="00862992">
      <w:rPr>
        <w:noProof/>
        <w:sz w:val="18"/>
        <w:szCs w:val="18"/>
      </w:rPr>
      <w:t>6</w:t>
    </w:r>
    <w:r w:rsidR="00B66083" w:rsidRPr="009320D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F7A7" w14:textId="77777777" w:rsidR="00F145F2" w:rsidRDefault="00F145F2" w:rsidP="00471457">
      <w:r>
        <w:separator/>
      </w:r>
    </w:p>
  </w:footnote>
  <w:footnote w:type="continuationSeparator" w:id="0">
    <w:p w14:paraId="57466B0B" w14:textId="77777777" w:rsidR="00F145F2" w:rsidRDefault="00F145F2" w:rsidP="00471457">
      <w:r>
        <w:continuationSeparator/>
      </w:r>
    </w:p>
  </w:footnote>
  <w:footnote w:id="1">
    <w:p w14:paraId="0782CAD9" w14:textId="4C3B98EB" w:rsidR="001C1F13" w:rsidRDefault="001C1F13" w:rsidP="001C1F13">
      <w:pPr>
        <w:pStyle w:val="Fotnotstext"/>
      </w:pPr>
      <w:r>
        <w:rPr>
          <w:rStyle w:val="Fotnotsreferens"/>
        </w:rPr>
        <w:footnoteRef/>
      </w:r>
      <w:r>
        <w:t xml:space="preserve"> For more information on the SVHC Roadmap: </w:t>
      </w:r>
      <w:hyperlink r:id="rId1" w:history="1">
        <w:r w:rsidR="00A03E87" w:rsidRPr="0022686E">
          <w:rPr>
            <w:rStyle w:val="Hyperlnk"/>
          </w:rPr>
          <w:t>http://echa.europa.eu/addressing-chemicals-of-concern/substances-of-potential-concern/svhc-roadmap-to-2020-implementation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3A61" w14:textId="77777777" w:rsidR="00E86372" w:rsidRPr="00375712" w:rsidRDefault="00A41F93" w:rsidP="00E86372">
    <w:pPr>
      <w:ind w:right="26"/>
      <w:rPr>
        <w:lang w:eastAsia="en-GB"/>
      </w:rPr>
    </w:pPr>
    <w:r w:rsidRPr="00A41F93">
      <w:rPr>
        <w:lang w:val="fr-FR"/>
      </w:rPr>
      <w:t>RMOA CONCLUSION DOCUMENT</w:t>
    </w:r>
    <w:r>
      <w:ptab w:relativeTo="margin" w:alignment="center" w:leader="none"/>
    </w:r>
    <w:r>
      <w:ptab w:relativeTo="margin" w:alignment="right" w:leader="none"/>
    </w:r>
    <w:r w:rsidR="00E86372">
      <w:rPr>
        <w:lang w:eastAsia="en-GB"/>
      </w:rPr>
      <w:t xml:space="preserve"> _________________________________________________________________</w:t>
    </w:r>
  </w:p>
  <w:p w14:paraId="68353A62" w14:textId="77777777" w:rsidR="00A41F93" w:rsidRPr="00A41F93" w:rsidRDefault="00A41F93">
    <w:pPr>
      <w:pStyle w:val="Sidhuvud"/>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67E677E"/>
    <w:lvl w:ilvl="0">
      <w:start w:val="1"/>
      <w:numFmt w:val="decimal"/>
      <w:pStyle w:val="Numreradlista"/>
      <w:lvlText w:val="%1."/>
      <w:lvlJc w:val="left"/>
      <w:pPr>
        <w:tabs>
          <w:tab w:val="num" w:pos="360"/>
        </w:tabs>
        <w:ind w:left="360" w:hanging="360"/>
      </w:pPr>
    </w:lvl>
  </w:abstractNum>
  <w:abstractNum w:abstractNumId="1" w15:restartNumberingAfterBreak="0">
    <w:nsid w:val="017B0CC1"/>
    <w:multiLevelType w:val="hybridMultilevel"/>
    <w:tmpl w:val="E4F065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881F60"/>
    <w:multiLevelType w:val="hybridMultilevel"/>
    <w:tmpl w:val="4D422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F5635B"/>
    <w:multiLevelType w:val="hybridMultilevel"/>
    <w:tmpl w:val="0026E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6C61DB"/>
    <w:multiLevelType w:val="hybridMultilevel"/>
    <w:tmpl w:val="CC7EA8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FB73AA"/>
    <w:multiLevelType w:val="hybridMultilevel"/>
    <w:tmpl w:val="378C4214"/>
    <w:lvl w:ilvl="0" w:tplc="95B48F64">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A1701CB"/>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4BF4DEE"/>
    <w:multiLevelType w:val="hybridMultilevel"/>
    <w:tmpl w:val="BD1AFFCA"/>
    <w:lvl w:ilvl="0" w:tplc="853CCEA8">
      <w:numFmt w:val="bullet"/>
      <w:lvlText w:val="-"/>
      <w:lvlJc w:val="left"/>
      <w:pPr>
        <w:ind w:left="435" w:hanging="360"/>
      </w:pPr>
      <w:rPr>
        <w:rFonts w:ascii="Verdana" w:eastAsiaTheme="minorHAnsi" w:hAnsi="Verdana"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8" w15:restartNumberingAfterBreak="0">
    <w:nsid w:val="444666FB"/>
    <w:multiLevelType w:val="multilevel"/>
    <w:tmpl w:val="607AC490"/>
    <w:lvl w:ilvl="0">
      <w:start w:val="1"/>
      <w:numFmt w:val="decimal"/>
      <w:suff w:val="space"/>
      <w:lvlText w:val="%1."/>
      <w:lvlJc w:val="left"/>
      <w:pPr>
        <w:ind w:left="0" w:firstLine="0"/>
      </w:pPr>
      <w:rPr>
        <w:rFonts w:ascii="Verdana" w:hAnsi="Verdana" w:hint="default"/>
        <w:b/>
        <w:i w:val="0"/>
        <w:color w:val="0046AD"/>
        <w:sz w:val="28"/>
      </w:rPr>
    </w:lvl>
    <w:lvl w:ilvl="1">
      <w:start w:val="1"/>
      <w:numFmt w:val="decimal"/>
      <w:suff w:val="space"/>
      <w:lvlText w:val="%1.%2."/>
      <w:lvlJc w:val="left"/>
      <w:pPr>
        <w:ind w:left="0" w:firstLine="0"/>
      </w:pPr>
      <w:rPr>
        <w:rFonts w:ascii="Verdana" w:hAnsi="Verdana" w:hint="default"/>
        <w:b/>
        <w:i w:val="0"/>
        <w:color w:val="0046AD"/>
        <w:sz w:val="24"/>
      </w:rPr>
    </w:lvl>
    <w:lvl w:ilvl="2">
      <w:start w:val="1"/>
      <w:numFmt w:val="decimal"/>
      <w:suff w:val="space"/>
      <w:lvlText w:val="%1.%2.%3."/>
      <w:lvlJc w:val="left"/>
      <w:pPr>
        <w:ind w:left="0" w:firstLine="0"/>
      </w:pPr>
      <w:rPr>
        <w:rFonts w:ascii="Verdana" w:hAnsi="Verdana" w:hint="default"/>
        <w:b/>
        <w:i w:val="0"/>
        <w:color w:val="auto"/>
        <w:sz w:val="22"/>
      </w:rPr>
    </w:lvl>
    <w:lvl w:ilvl="3">
      <w:start w:val="1"/>
      <w:numFmt w:val="decimal"/>
      <w:suff w:val="space"/>
      <w:lvlText w:val="%1.%2.%3.%4."/>
      <w:lvlJc w:val="left"/>
      <w:pPr>
        <w:ind w:left="0" w:firstLine="0"/>
      </w:pPr>
      <w:rPr>
        <w:rFonts w:ascii="Verdana" w:hAnsi="Verdana" w:hint="default"/>
        <w:b/>
        <w:i w:val="0"/>
        <w:sz w:val="22"/>
      </w:rPr>
    </w:lvl>
    <w:lvl w:ilvl="4">
      <w:start w:val="1"/>
      <w:numFmt w:val="decimal"/>
      <w:suff w:val="space"/>
      <w:lvlText w:val="%1.%2.%3.%4.%5."/>
      <w:lvlJc w:val="left"/>
      <w:pPr>
        <w:ind w:left="0" w:firstLine="0"/>
      </w:pPr>
      <w:rPr>
        <w:rFonts w:ascii="Verdana" w:hAnsi="Verdana" w:hint="default"/>
        <w:b/>
        <w:i w:val="0"/>
        <w:color w:val="auto"/>
        <w:sz w:val="20"/>
      </w:rPr>
    </w:lvl>
    <w:lvl w:ilvl="5">
      <w:start w:val="1"/>
      <w:numFmt w:val="decimal"/>
      <w:suff w:val="space"/>
      <w:lvlText w:val="%1.%2.%3.%4.%5.%6."/>
      <w:lvlJc w:val="left"/>
      <w:pPr>
        <w:ind w:left="0" w:firstLine="0"/>
      </w:pPr>
      <w:rPr>
        <w:rFonts w:ascii="Verdana" w:hAnsi="Verdana" w:hint="default"/>
        <w:b/>
        <w:i w:val="0"/>
        <w:color w:val="auto"/>
        <w:sz w:val="20"/>
      </w:rPr>
    </w:lvl>
    <w:lvl w:ilvl="6">
      <w:start w:val="1"/>
      <w:numFmt w:val="decimal"/>
      <w:suff w:val="space"/>
      <w:lvlText w:val="%1.%2.%3.%4.%5.%6.%7."/>
      <w:lvlJc w:val="left"/>
      <w:pPr>
        <w:ind w:left="0" w:firstLine="0"/>
      </w:pPr>
      <w:rPr>
        <w:rFonts w:ascii="Verdana" w:hAnsi="Verdana" w:hint="default"/>
        <w:b/>
        <w:i w:val="0"/>
        <w:color w:val="auto"/>
        <w:sz w:val="20"/>
      </w:rPr>
    </w:lvl>
    <w:lvl w:ilvl="7">
      <w:start w:val="1"/>
      <w:numFmt w:val="decimal"/>
      <w:suff w:val="space"/>
      <w:lvlText w:val="%1.%2.%3.%4.%5.%6.%7.%8."/>
      <w:lvlJc w:val="left"/>
      <w:pPr>
        <w:ind w:left="0" w:firstLine="0"/>
      </w:pPr>
      <w:rPr>
        <w:rFonts w:ascii="Verdana" w:hAnsi="Verdana" w:hint="default"/>
        <w:b/>
        <w:i w:val="0"/>
        <w:sz w:val="20"/>
      </w:rPr>
    </w:lvl>
    <w:lvl w:ilvl="8">
      <w:start w:val="1"/>
      <w:numFmt w:val="decimal"/>
      <w:suff w:val="space"/>
      <w:lvlText w:val="%1.%2.%3.%4.%5.%6.%7.%8.%9."/>
      <w:lvlJc w:val="left"/>
      <w:pPr>
        <w:ind w:left="0" w:firstLine="0"/>
      </w:pPr>
      <w:rPr>
        <w:rFonts w:ascii="Verdana" w:hAnsi="Verdana" w:hint="default"/>
        <w:b/>
        <w:i w:val="0"/>
        <w:sz w:val="20"/>
      </w:rPr>
    </w:lvl>
  </w:abstractNum>
  <w:abstractNum w:abstractNumId="9" w15:restartNumberingAfterBreak="0">
    <w:nsid w:val="447925E3"/>
    <w:multiLevelType w:val="multilevel"/>
    <w:tmpl w:val="17265C0A"/>
    <w:styleLink w:val="ECHABulletlist"/>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5D3458"/>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E0A1E25"/>
    <w:multiLevelType w:val="multilevel"/>
    <w:tmpl w:val="48AA0558"/>
    <w:styleLink w:val="ECHANumberlist"/>
    <w:lvl w:ilvl="0">
      <w:start w:val="1"/>
      <w:numFmt w:val="decimal"/>
      <w:lvlText w:val="%1."/>
      <w:lvlJc w:val="left"/>
      <w:pPr>
        <w:tabs>
          <w:tab w:val="num" w:pos="720"/>
        </w:tabs>
        <w:ind w:left="720" w:hanging="36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83E5807"/>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E614FC2"/>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11"/>
  </w:num>
  <w:num w:numId="3">
    <w:abstractNumId w:val="5"/>
  </w:num>
  <w:num w:numId="4">
    <w:abstractNumId w:val="1"/>
  </w:num>
  <w:num w:numId="5">
    <w:abstractNumId w:val="4"/>
  </w:num>
  <w:num w:numId="6">
    <w:abstractNumId w:val="13"/>
  </w:num>
  <w:num w:numId="7">
    <w:abstractNumId w:val="2"/>
  </w:num>
  <w:num w:numId="8">
    <w:abstractNumId w:val="3"/>
  </w:num>
  <w:num w:numId="9">
    <w:abstractNumId w:val="7"/>
  </w:num>
  <w:num w:numId="10">
    <w:abstractNumId w:val="8"/>
  </w:num>
  <w:num w:numId="11">
    <w:abstractNumId w:val="10"/>
  </w:num>
  <w:num w:numId="12">
    <w:abstractNumId w:val="6"/>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57"/>
    <w:rsid w:val="00002586"/>
    <w:rsid w:val="000042FA"/>
    <w:rsid w:val="0000560B"/>
    <w:rsid w:val="000122ED"/>
    <w:rsid w:val="0001476D"/>
    <w:rsid w:val="000204C4"/>
    <w:rsid w:val="00024D48"/>
    <w:rsid w:val="00037F48"/>
    <w:rsid w:val="00047BEE"/>
    <w:rsid w:val="00054356"/>
    <w:rsid w:val="000633BF"/>
    <w:rsid w:val="000711F7"/>
    <w:rsid w:val="00077E65"/>
    <w:rsid w:val="0009452D"/>
    <w:rsid w:val="000A3AEB"/>
    <w:rsid w:val="000B38AF"/>
    <w:rsid w:val="000D5B93"/>
    <w:rsid w:val="000E2FC2"/>
    <w:rsid w:val="000E4E5B"/>
    <w:rsid w:val="000E7032"/>
    <w:rsid w:val="00112815"/>
    <w:rsid w:val="0011467E"/>
    <w:rsid w:val="001259BB"/>
    <w:rsid w:val="0012634F"/>
    <w:rsid w:val="00126494"/>
    <w:rsid w:val="00136A08"/>
    <w:rsid w:val="00142327"/>
    <w:rsid w:val="001448AF"/>
    <w:rsid w:val="00144FCA"/>
    <w:rsid w:val="00166209"/>
    <w:rsid w:val="00183C4B"/>
    <w:rsid w:val="001915C8"/>
    <w:rsid w:val="001C1F13"/>
    <w:rsid w:val="001E6C1A"/>
    <w:rsid w:val="00201A44"/>
    <w:rsid w:val="00202966"/>
    <w:rsid w:val="00205775"/>
    <w:rsid w:val="002163CF"/>
    <w:rsid w:val="00220442"/>
    <w:rsid w:val="00227B7E"/>
    <w:rsid w:val="002367F9"/>
    <w:rsid w:val="002460BF"/>
    <w:rsid w:val="00256417"/>
    <w:rsid w:val="00262180"/>
    <w:rsid w:val="002650FC"/>
    <w:rsid w:val="00270FFE"/>
    <w:rsid w:val="0027431B"/>
    <w:rsid w:val="002920AC"/>
    <w:rsid w:val="00294316"/>
    <w:rsid w:val="002C515C"/>
    <w:rsid w:val="002C6ADA"/>
    <w:rsid w:val="002D0A2E"/>
    <w:rsid w:val="002D7699"/>
    <w:rsid w:val="002E3562"/>
    <w:rsid w:val="002E4026"/>
    <w:rsid w:val="002E4672"/>
    <w:rsid w:val="002F261C"/>
    <w:rsid w:val="003065EE"/>
    <w:rsid w:val="0032297A"/>
    <w:rsid w:val="00326F57"/>
    <w:rsid w:val="00332FF4"/>
    <w:rsid w:val="00363833"/>
    <w:rsid w:val="0036659A"/>
    <w:rsid w:val="003746D1"/>
    <w:rsid w:val="003862B9"/>
    <w:rsid w:val="003B32BD"/>
    <w:rsid w:val="003C1375"/>
    <w:rsid w:val="003C2E00"/>
    <w:rsid w:val="003C3793"/>
    <w:rsid w:val="003D4597"/>
    <w:rsid w:val="003E1455"/>
    <w:rsid w:val="003E7258"/>
    <w:rsid w:val="00412208"/>
    <w:rsid w:val="00415B10"/>
    <w:rsid w:val="0042483F"/>
    <w:rsid w:val="004364C9"/>
    <w:rsid w:val="00436C19"/>
    <w:rsid w:val="00441EE7"/>
    <w:rsid w:val="0044304E"/>
    <w:rsid w:val="00444011"/>
    <w:rsid w:val="00452825"/>
    <w:rsid w:val="00463240"/>
    <w:rsid w:val="0046464F"/>
    <w:rsid w:val="00467561"/>
    <w:rsid w:val="00467619"/>
    <w:rsid w:val="00471457"/>
    <w:rsid w:val="00483960"/>
    <w:rsid w:val="00490007"/>
    <w:rsid w:val="00492518"/>
    <w:rsid w:val="004A5B50"/>
    <w:rsid w:val="004B10B4"/>
    <w:rsid w:val="004B48E4"/>
    <w:rsid w:val="004B63F1"/>
    <w:rsid w:val="004B7059"/>
    <w:rsid w:val="004C7EF4"/>
    <w:rsid w:val="004D24E8"/>
    <w:rsid w:val="004E0601"/>
    <w:rsid w:val="004E385D"/>
    <w:rsid w:val="004E7788"/>
    <w:rsid w:val="004F00C7"/>
    <w:rsid w:val="004F0B91"/>
    <w:rsid w:val="004F51B6"/>
    <w:rsid w:val="004F6831"/>
    <w:rsid w:val="00501202"/>
    <w:rsid w:val="00502101"/>
    <w:rsid w:val="00502ADE"/>
    <w:rsid w:val="00510C24"/>
    <w:rsid w:val="00513808"/>
    <w:rsid w:val="00515C08"/>
    <w:rsid w:val="00523442"/>
    <w:rsid w:val="00531303"/>
    <w:rsid w:val="005401E5"/>
    <w:rsid w:val="005437BE"/>
    <w:rsid w:val="005575E6"/>
    <w:rsid w:val="00586832"/>
    <w:rsid w:val="00594EC4"/>
    <w:rsid w:val="00596A10"/>
    <w:rsid w:val="005A2AD2"/>
    <w:rsid w:val="005C3710"/>
    <w:rsid w:val="005F2482"/>
    <w:rsid w:val="005F45D1"/>
    <w:rsid w:val="005F79AE"/>
    <w:rsid w:val="00600A04"/>
    <w:rsid w:val="00610621"/>
    <w:rsid w:val="00610DF1"/>
    <w:rsid w:val="00621CAC"/>
    <w:rsid w:val="00623882"/>
    <w:rsid w:val="006305CD"/>
    <w:rsid w:val="006617E0"/>
    <w:rsid w:val="00676DCA"/>
    <w:rsid w:val="00680C20"/>
    <w:rsid w:val="00690F3B"/>
    <w:rsid w:val="006941E7"/>
    <w:rsid w:val="006A4ADE"/>
    <w:rsid w:val="006D39F4"/>
    <w:rsid w:val="006E2B7B"/>
    <w:rsid w:val="006E6B1A"/>
    <w:rsid w:val="006F6AE3"/>
    <w:rsid w:val="00705350"/>
    <w:rsid w:val="00713266"/>
    <w:rsid w:val="00741D90"/>
    <w:rsid w:val="00751518"/>
    <w:rsid w:val="00753065"/>
    <w:rsid w:val="00755D9F"/>
    <w:rsid w:val="00774DE9"/>
    <w:rsid w:val="00781EA6"/>
    <w:rsid w:val="00784A7F"/>
    <w:rsid w:val="0078730A"/>
    <w:rsid w:val="00791E13"/>
    <w:rsid w:val="007957E4"/>
    <w:rsid w:val="007A2C1C"/>
    <w:rsid w:val="007A39FF"/>
    <w:rsid w:val="007A3BA7"/>
    <w:rsid w:val="007B0208"/>
    <w:rsid w:val="007C0E6B"/>
    <w:rsid w:val="007C392B"/>
    <w:rsid w:val="007D3667"/>
    <w:rsid w:val="007D3F6A"/>
    <w:rsid w:val="007E6C05"/>
    <w:rsid w:val="007F0D03"/>
    <w:rsid w:val="00801152"/>
    <w:rsid w:val="0080484C"/>
    <w:rsid w:val="00817B80"/>
    <w:rsid w:val="00821610"/>
    <w:rsid w:val="00835373"/>
    <w:rsid w:val="00835C68"/>
    <w:rsid w:val="00840BD5"/>
    <w:rsid w:val="00853E7D"/>
    <w:rsid w:val="00860FBA"/>
    <w:rsid w:val="00862992"/>
    <w:rsid w:val="00883931"/>
    <w:rsid w:val="008873A5"/>
    <w:rsid w:val="008A1880"/>
    <w:rsid w:val="008C0CC7"/>
    <w:rsid w:val="00920032"/>
    <w:rsid w:val="00922BBA"/>
    <w:rsid w:val="00930C01"/>
    <w:rsid w:val="00933335"/>
    <w:rsid w:val="00933AC5"/>
    <w:rsid w:val="009369B2"/>
    <w:rsid w:val="00950928"/>
    <w:rsid w:val="00955691"/>
    <w:rsid w:val="00955D7A"/>
    <w:rsid w:val="00962549"/>
    <w:rsid w:val="00980AC4"/>
    <w:rsid w:val="00983286"/>
    <w:rsid w:val="00983FBD"/>
    <w:rsid w:val="00985B7B"/>
    <w:rsid w:val="00986A52"/>
    <w:rsid w:val="009A4F2F"/>
    <w:rsid w:val="009B0296"/>
    <w:rsid w:val="009B4D5D"/>
    <w:rsid w:val="009C2172"/>
    <w:rsid w:val="009C590C"/>
    <w:rsid w:val="009C5A06"/>
    <w:rsid w:val="009D3C1E"/>
    <w:rsid w:val="009E696B"/>
    <w:rsid w:val="009F191D"/>
    <w:rsid w:val="009F209D"/>
    <w:rsid w:val="00A03E87"/>
    <w:rsid w:val="00A14C19"/>
    <w:rsid w:val="00A14EC1"/>
    <w:rsid w:val="00A2487E"/>
    <w:rsid w:val="00A263C9"/>
    <w:rsid w:val="00A41F93"/>
    <w:rsid w:val="00A429E9"/>
    <w:rsid w:val="00A4316B"/>
    <w:rsid w:val="00A436BB"/>
    <w:rsid w:val="00A446BC"/>
    <w:rsid w:val="00A45B6C"/>
    <w:rsid w:val="00A54C28"/>
    <w:rsid w:val="00A75ACF"/>
    <w:rsid w:val="00A80DBE"/>
    <w:rsid w:val="00A829AB"/>
    <w:rsid w:val="00AB0322"/>
    <w:rsid w:val="00AB1228"/>
    <w:rsid w:val="00AC5ED0"/>
    <w:rsid w:val="00AC7509"/>
    <w:rsid w:val="00AC79ED"/>
    <w:rsid w:val="00AD40AE"/>
    <w:rsid w:val="00AE2396"/>
    <w:rsid w:val="00AF5158"/>
    <w:rsid w:val="00AF63F4"/>
    <w:rsid w:val="00AF6E00"/>
    <w:rsid w:val="00AF77F1"/>
    <w:rsid w:val="00B03339"/>
    <w:rsid w:val="00B2524D"/>
    <w:rsid w:val="00B32C2E"/>
    <w:rsid w:val="00B37A42"/>
    <w:rsid w:val="00B66083"/>
    <w:rsid w:val="00B92E74"/>
    <w:rsid w:val="00BB0CE8"/>
    <w:rsid w:val="00BB3275"/>
    <w:rsid w:val="00BC35A3"/>
    <w:rsid w:val="00BC5A7C"/>
    <w:rsid w:val="00BD6675"/>
    <w:rsid w:val="00BE1CEB"/>
    <w:rsid w:val="00BE5AF4"/>
    <w:rsid w:val="00BF5819"/>
    <w:rsid w:val="00BF63C3"/>
    <w:rsid w:val="00C0335E"/>
    <w:rsid w:val="00C0431D"/>
    <w:rsid w:val="00C0654A"/>
    <w:rsid w:val="00C32CBD"/>
    <w:rsid w:val="00C411EC"/>
    <w:rsid w:val="00C42DBF"/>
    <w:rsid w:val="00C52D40"/>
    <w:rsid w:val="00C54EBC"/>
    <w:rsid w:val="00C55123"/>
    <w:rsid w:val="00C629E5"/>
    <w:rsid w:val="00C70B2B"/>
    <w:rsid w:val="00C74112"/>
    <w:rsid w:val="00CB1FBE"/>
    <w:rsid w:val="00CB730C"/>
    <w:rsid w:val="00CC7A9E"/>
    <w:rsid w:val="00CE07AB"/>
    <w:rsid w:val="00CE2CAA"/>
    <w:rsid w:val="00CE5346"/>
    <w:rsid w:val="00D00E35"/>
    <w:rsid w:val="00D03326"/>
    <w:rsid w:val="00D11FC2"/>
    <w:rsid w:val="00D37806"/>
    <w:rsid w:val="00D462BD"/>
    <w:rsid w:val="00D5375D"/>
    <w:rsid w:val="00D53A3D"/>
    <w:rsid w:val="00D61F8B"/>
    <w:rsid w:val="00D70C76"/>
    <w:rsid w:val="00DA5A25"/>
    <w:rsid w:val="00DA6B85"/>
    <w:rsid w:val="00DB0024"/>
    <w:rsid w:val="00DC1F12"/>
    <w:rsid w:val="00DD1882"/>
    <w:rsid w:val="00E14856"/>
    <w:rsid w:val="00E36635"/>
    <w:rsid w:val="00E464B0"/>
    <w:rsid w:val="00E55E07"/>
    <w:rsid w:val="00E702C1"/>
    <w:rsid w:val="00E85A6B"/>
    <w:rsid w:val="00E86372"/>
    <w:rsid w:val="00EA326C"/>
    <w:rsid w:val="00EA6BD2"/>
    <w:rsid w:val="00EA7CF9"/>
    <w:rsid w:val="00EB3299"/>
    <w:rsid w:val="00ED048E"/>
    <w:rsid w:val="00ED10AD"/>
    <w:rsid w:val="00ED55A6"/>
    <w:rsid w:val="00ED5761"/>
    <w:rsid w:val="00EE475E"/>
    <w:rsid w:val="00F145F2"/>
    <w:rsid w:val="00F154FB"/>
    <w:rsid w:val="00F4442B"/>
    <w:rsid w:val="00F503E3"/>
    <w:rsid w:val="00F545EA"/>
    <w:rsid w:val="00F57736"/>
    <w:rsid w:val="00F67BB5"/>
    <w:rsid w:val="00F826BC"/>
    <w:rsid w:val="00F85D6C"/>
    <w:rsid w:val="00F92D91"/>
    <w:rsid w:val="00FA4598"/>
    <w:rsid w:val="00FB30A3"/>
    <w:rsid w:val="00FB4C3F"/>
    <w:rsid w:val="00FC3640"/>
    <w:rsid w:val="00FE0975"/>
    <w:rsid w:val="00FE0A7A"/>
    <w:rsid w:val="00FE25D1"/>
    <w:rsid w:val="00FE37D9"/>
    <w:rsid w:val="00FF45DE"/>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353996"/>
  <w15:docId w15:val="{C96689E9-7BA1-4DD5-A8DE-08B930AC2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457"/>
    <w:pPr>
      <w:widowControl w:val="0"/>
      <w:spacing w:after="0" w:line="240" w:lineRule="auto"/>
    </w:pPr>
    <w:rPr>
      <w:rFonts w:ascii="Verdana" w:eastAsia="Times New Roman" w:hAnsi="Verdana" w:cs="Times New Roman"/>
      <w:snapToGrid w:val="0"/>
      <w:sz w:val="20"/>
      <w:szCs w:val="20"/>
      <w:lang w:eastAsia="fi-FI"/>
    </w:rPr>
  </w:style>
  <w:style w:type="paragraph" w:styleId="Rubrik1">
    <w:name w:val="heading 1"/>
    <w:aliases w:val="ECHA Heading 1"/>
    <w:basedOn w:val="Normal"/>
    <w:next w:val="Brdtext"/>
    <w:link w:val="Rubrik1Char"/>
    <w:uiPriority w:val="9"/>
    <w:qFormat/>
    <w:rsid w:val="00EA7CF9"/>
    <w:pPr>
      <w:keepNext/>
      <w:keepLines/>
      <w:spacing w:after="240"/>
      <w:outlineLvl w:val="0"/>
    </w:pPr>
    <w:rPr>
      <w:b/>
      <w:snapToGrid/>
      <w:color w:val="0046AD"/>
      <w:sz w:val="28"/>
      <w:szCs w:val="24"/>
    </w:rPr>
  </w:style>
  <w:style w:type="paragraph" w:styleId="Rubrik2">
    <w:name w:val="heading 2"/>
    <w:aliases w:val="ECHA Heading 2"/>
    <w:basedOn w:val="Rubrik1"/>
    <w:next w:val="Brdtext"/>
    <w:link w:val="Rubrik2Char"/>
    <w:qFormat/>
    <w:rsid w:val="00EA7CF9"/>
    <w:pPr>
      <w:outlineLvl w:val="1"/>
    </w:pPr>
    <w:rPr>
      <w:rFonts w:cs="Arial"/>
      <w:sz w:val="24"/>
      <w:szCs w:val="22"/>
    </w:rPr>
  </w:style>
  <w:style w:type="paragraph" w:styleId="Rubrik3">
    <w:name w:val="heading 3"/>
    <w:aliases w:val="ECHA Heading 3"/>
    <w:basedOn w:val="Rubrik2"/>
    <w:next w:val="Brdtext"/>
    <w:link w:val="Rubrik3Char"/>
    <w:uiPriority w:val="9"/>
    <w:qFormat/>
    <w:rsid w:val="00EA7CF9"/>
    <w:pPr>
      <w:outlineLvl w:val="2"/>
    </w:pPr>
    <w:rPr>
      <w:bCs/>
      <w:color w:val="000000"/>
      <w:sz w:val="22"/>
    </w:rPr>
  </w:style>
  <w:style w:type="paragraph" w:styleId="Rubrik4">
    <w:name w:val="heading 4"/>
    <w:aliases w:val="ECHA Heading 4"/>
    <w:basedOn w:val="Rubrik3"/>
    <w:next w:val="Brdtext"/>
    <w:link w:val="Rubrik4Char"/>
    <w:qFormat/>
    <w:rsid w:val="00EA7CF9"/>
    <w:pPr>
      <w:outlineLvl w:val="3"/>
    </w:pPr>
    <w:rPr>
      <w:b w:val="0"/>
      <w:bCs w:val="0"/>
      <w:szCs w:val="28"/>
    </w:rPr>
  </w:style>
  <w:style w:type="paragraph" w:styleId="Rubrik5">
    <w:name w:val="heading 5"/>
    <w:aliases w:val="ECHA Heading 5"/>
    <w:basedOn w:val="Rubrik3"/>
    <w:next w:val="Brdtext"/>
    <w:link w:val="Rubrik5Char"/>
    <w:qFormat/>
    <w:rsid w:val="00EA7CF9"/>
    <w:pPr>
      <w:outlineLvl w:val="4"/>
    </w:pPr>
    <w:rPr>
      <w:bCs w:val="0"/>
      <w:iCs/>
      <w:sz w:val="20"/>
      <w:szCs w:val="26"/>
    </w:rPr>
  </w:style>
  <w:style w:type="paragraph" w:styleId="Rubrik6">
    <w:name w:val="heading 6"/>
    <w:aliases w:val="ECHA Heading 6"/>
    <w:basedOn w:val="Rubrik5"/>
    <w:next w:val="Brdtext"/>
    <w:link w:val="Rubrik6Char"/>
    <w:qFormat/>
    <w:rsid w:val="00EA7CF9"/>
    <w:pPr>
      <w:outlineLvl w:val="5"/>
    </w:pPr>
    <w:rPr>
      <w:bCs/>
      <w:szCs w:val="22"/>
    </w:rPr>
  </w:style>
  <w:style w:type="paragraph" w:styleId="Rubrik7">
    <w:name w:val="heading 7"/>
    <w:aliases w:val="ECHA Heading 7"/>
    <w:basedOn w:val="Rubrik5"/>
    <w:next w:val="Brdtext"/>
    <w:link w:val="Rubrik7Char"/>
    <w:qFormat/>
    <w:rsid w:val="00EA7CF9"/>
    <w:pPr>
      <w:outlineLvl w:val="6"/>
    </w:pPr>
    <w:rPr>
      <w:szCs w:val="24"/>
    </w:rPr>
  </w:style>
  <w:style w:type="paragraph" w:styleId="Rubrik8">
    <w:name w:val="heading 8"/>
    <w:aliases w:val="ECHA Heading 8"/>
    <w:basedOn w:val="Rubrik5"/>
    <w:next w:val="Brdtext"/>
    <w:link w:val="Rubrik8Char"/>
    <w:qFormat/>
    <w:rsid w:val="00EA7CF9"/>
    <w:pPr>
      <w:outlineLvl w:val="7"/>
    </w:pPr>
    <w:rPr>
      <w:iCs w:val="0"/>
      <w:szCs w:val="24"/>
    </w:rPr>
  </w:style>
  <w:style w:type="paragraph" w:styleId="Rubrik9">
    <w:name w:val="heading 9"/>
    <w:aliases w:val="ECHA Heading 9"/>
    <w:basedOn w:val="Rubrik5"/>
    <w:next w:val="Brdtext"/>
    <w:link w:val="Rubrik9Char"/>
    <w:qFormat/>
    <w:rsid w:val="00EA7CF9"/>
    <w:pPr>
      <w:outlineLvl w:val="8"/>
    </w:pPr>
    <w:rPr>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ECHA Heading 1 Char"/>
    <w:basedOn w:val="Standardstycketeckensnitt"/>
    <w:link w:val="Rubrik1"/>
    <w:rsid w:val="00EA7CF9"/>
    <w:rPr>
      <w:rFonts w:ascii="Verdana" w:eastAsia="Times New Roman" w:hAnsi="Verdana" w:cs="Times New Roman"/>
      <w:b/>
      <w:snapToGrid w:val="0"/>
      <w:color w:val="0046AD"/>
      <w:sz w:val="28"/>
      <w:szCs w:val="24"/>
      <w:lang w:eastAsia="fi-FI"/>
    </w:rPr>
  </w:style>
  <w:style w:type="character" w:customStyle="1" w:styleId="Rubrik2Char">
    <w:name w:val="Rubrik 2 Char"/>
    <w:aliases w:val="ECHA Heading 2 Char"/>
    <w:basedOn w:val="Standardstycketeckensnitt"/>
    <w:link w:val="Rubrik2"/>
    <w:rsid w:val="00EA7CF9"/>
    <w:rPr>
      <w:rFonts w:ascii="Verdana" w:eastAsia="Times New Roman" w:hAnsi="Verdana" w:cs="Arial"/>
      <w:b/>
      <w:snapToGrid w:val="0"/>
      <w:color w:val="0046AD"/>
      <w:sz w:val="24"/>
      <w:lang w:eastAsia="fi-FI"/>
    </w:rPr>
  </w:style>
  <w:style w:type="character" w:customStyle="1" w:styleId="Rubrik3Char">
    <w:name w:val="Rubrik 3 Char"/>
    <w:aliases w:val="ECHA Heading 3 Char"/>
    <w:basedOn w:val="Standardstycketeckensnitt"/>
    <w:link w:val="Rubrik3"/>
    <w:rsid w:val="00EA7CF9"/>
    <w:rPr>
      <w:rFonts w:ascii="Verdana" w:eastAsia="Times New Roman" w:hAnsi="Verdana" w:cs="Arial"/>
      <w:b/>
      <w:bCs/>
      <w:snapToGrid w:val="0"/>
      <w:color w:val="000000"/>
      <w:lang w:eastAsia="fi-FI"/>
    </w:rPr>
  </w:style>
  <w:style w:type="character" w:customStyle="1" w:styleId="Rubrik4Char">
    <w:name w:val="Rubrik 4 Char"/>
    <w:aliases w:val="ECHA Heading 4 Char"/>
    <w:basedOn w:val="Standardstycketeckensnitt"/>
    <w:link w:val="Rubrik4"/>
    <w:rsid w:val="00EA7CF9"/>
    <w:rPr>
      <w:rFonts w:ascii="Verdana" w:eastAsia="Times New Roman" w:hAnsi="Verdana" w:cs="Arial"/>
      <w:snapToGrid w:val="0"/>
      <w:color w:val="000000"/>
      <w:szCs w:val="28"/>
      <w:lang w:eastAsia="fi-FI"/>
    </w:rPr>
  </w:style>
  <w:style w:type="character" w:customStyle="1" w:styleId="Rubrik5Char">
    <w:name w:val="Rubrik 5 Char"/>
    <w:aliases w:val="ECHA Heading 5 Char"/>
    <w:basedOn w:val="Standardstycketeckensnitt"/>
    <w:link w:val="Rubrik5"/>
    <w:rsid w:val="00EA7CF9"/>
    <w:rPr>
      <w:rFonts w:ascii="Verdana" w:eastAsia="Times New Roman" w:hAnsi="Verdana" w:cs="Arial"/>
      <w:b/>
      <w:iCs/>
      <w:snapToGrid w:val="0"/>
      <w:color w:val="000000"/>
      <w:sz w:val="20"/>
      <w:szCs w:val="26"/>
      <w:lang w:eastAsia="fi-FI"/>
    </w:rPr>
  </w:style>
  <w:style w:type="character" w:customStyle="1" w:styleId="Rubrik6Char">
    <w:name w:val="Rubrik 6 Char"/>
    <w:aliases w:val="ECHA Heading 6 Char"/>
    <w:basedOn w:val="Standardstycketeckensnitt"/>
    <w:link w:val="Rubrik6"/>
    <w:rsid w:val="00EA7CF9"/>
    <w:rPr>
      <w:rFonts w:ascii="Verdana" w:eastAsia="Times New Roman" w:hAnsi="Verdana" w:cs="Arial"/>
      <w:b/>
      <w:bCs/>
      <w:iCs/>
      <w:snapToGrid w:val="0"/>
      <w:color w:val="000000"/>
      <w:sz w:val="20"/>
      <w:lang w:eastAsia="fi-FI"/>
    </w:rPr>
  </w:style>
  <w:style w:type="character" w:customStyle="1" w:styleId="Rubrik7Char">
    <w:name w:val="Rubrik 7 Char"/>
    <w:aliases w:val="ECHA Heading 7 Char"/>
    <w:basedOn w:val="Standardstycketeckensnitt"/>
    <w:link w:val="Rubrik7"/>
    <w:rsid w:val="00EA7CF9"/>
    <w:rPr>
      <w:rFonts w:ascii="Verdana" w:eastAsia="Times New Roman" w:hAnsi="Verdana" w:cs="Arial"/>
      <w:b/>
      <w:iCs/>
      <w:snapToGrid w:val="0"/>
      <w:color w:val="000000"/>
      <w:sz w:val="20"/>
      <w:szCs w:val="24"/>
      <w:lang w:eastAsia="fi-FI"/>
    </w:rPr>
  </w:style>
  <w:style w:type="character" w:customStyle="1" w:styleId="Rubrik8Char">
    <w:name w:val="Rubrik 8 Char"/>
    <w:aliases w:val="ECHA Heading 8 Char"/>
    <w:basedOn w:val="Standardstycketeckensnitt"/>
    <w:link w:val="Rubrik8"/>
    <w:rsid w:val="00EA7CF9"/>
    <w:rPr>
      <w:rFonts w:ascii="Verdana" w:eastAsia="Times New Roman" w:hAnsi="Verdana" w:cs="Arial"/>
      <w:b/>
      <w:snapToGrid w:val="0"/>
      <w:color w:val="000000"/>
      <w:sz w:val="20"/>
      <w:szCs w:val="24"/>
      <w:lang w:eastAsia="fi-FI"/>
    </w:rPr>
  </w:style>
  <w:style w:type="character" w:customStyle="1" w:styleId="Rubrik9Char">
    <w:name w:val="Rubrik 9 Char"/>
    <w:aliases w:val="ECHA Heading 9 Char"/>
    <w:basedOn w:val="Standardstycketeckensnitt"/>
    <w:link w:val="Rubrik9"/>
    <w:rsid w:val="00EA7CF9"/>
    <w:rPr>
      <w:rFonts w:ascii="Verdana" w:eastAsia="Times New Roman" w:hAnsi="Verdana" w:cs="Arial"/>
      <w:b/>
      <w:iCs/>
      <w:snapToGrid w:val="0"/>
      <w:color w:val="000000"/>
      <w:sz w:val="20"/>
      <w:lang w:eastAsia="fi-FI"/>
    </w:rPr>
  </w:style>
  <w:style w:type="numbering" w:customStyle="1" w:styleId="ECHABulletlist">
    <w:name w:val="ECHA Bullet list"/>
    <w:basedOn w:val="Ingenlista"/>
    <w:rsid w:val="00EA7CF9"/>
    <w:pPr>
      <w:numPr>
        <w:numId w:val="1"/>
      </w:numPr>
    </w:pPr>
  </w:style>
  <w:style w:type="numbering" w:customStyle="1" w:styleId="ECHANumberlist">
    <w:name w:val="ECHA Number list"/>
    <w:basedOn w:val="Ingenlista"/>
    <w:rsid w:val="00EA7CF9"/>
    <w:pPr>
      <w:numPr>
        <w:numId w:val="2"/>
      </w:numPr>
    </w:pPr>
  </w:style>
  <w:style w:type="paragraph" w:styleId="Brdtext">
    <w:name w:val="Body Text"/>
    <w:aliases w:val="Text"/>
    <w:basedOn w:val="Normal"/>
    <w:link w:val="BrdtextChar"/>
    <w:unhideWhenUsed/>
    <w:rsid w:val="00EA7CF9"/>
    <w:pPr>
      <w:spacing w:after="120"/>
    </w:pPr>
  </w:style>
  <w:style w:type="character" w:customStyle="1" w:styleId="BrdtextChar">
    <w:name w:val="Brödtext Char"/>
    <w:aliases w:val="Text Char"/>
    <w:basedOn w:val="Standardstycketeckensnitt"/>
    <w:link w:val="Brdtext"/>
    <w:rsid w:val="00EA7CF9"/>
  </w:style>
  <w:style w:type="paragraph" w:styleId="Rubrik">
    <w:name w:val="Title"/>
    <w:aliases w:val="ECHA Heading"/>
    <w:basedOn w:val="Rubrik1"/>
    <w:next w:val="Brdtext"/>
    <w:link w:val="RubrikChar"/>
    <w:qFormat/>
    <w:rsid w:val="00EA7CF9"/>
    <w:rPr>
      <w:rFonts w:cs="Arial"/>
      <w:bCs/>
      <w:szCs w:val="32"/>
    </w:rPr>
  </w:style>
  <w:style w:type="character" w:customStyle="1" w:styleId="RubrikChar">
    <w:name w:val="Rubrik Char"/>
    <w:aliases w:val="ECHA Heading Char"/>
    <w:basedOn w:val="Standardstycketeckensnitt"/>
    <w:link w:val="Rubrik"/>
    <w:rsid w:val="00EA7CF9"/>
    <w:rPr>
      <w:rFonts w:ascii="Verdana" w:eastAsia="Times New Roman" w:hAnsi="Verdana" w:cs="Arial"/>
      <w:b/>
      <w:bCs/>
      <w:snapToGrid w:val="0"/>
      <w:color w:val="0046AD"/>
      <w:sz w:val="28"/>
      <w:szCs w:val="32"/>
      <w:lang w:eastAsia="fi-FI"/>
    </w:rPr>
  </w:style>
  <w:style w:type="paragraph" w:styleId="Fotnotstext">
    <w:name w:val="footnote text"/>
    <w:basedOn w:val="Normal"/>
    <w:link w:val="FotnotstextChar"/>
    <w:uiPriority w:val="99"/>
    <w:semiHidden/>
    <w:qFormat/>
    <w:rsid w:val="00471457"/>
  </w:style>
  <w:style w:type="character" w:customStyle="1" w:styleId="FotnotstextChar">
    <w:name w:val="Fotnotstext Char"/>
    <w:basedOn w:val="Standardstycketeckensnitt"/>
    <w:link w:val="Fotnotstext"/>
    <w:uiPriority w:val="99"/>
    <w:semiHidden/>
    <w:rsid w:val="00471457"/>
    <w:rPr>
      <w:rFonts w:ascii="Verdana" w:eastAsia="Times New Roman" w:hAnsi="Verdana" w:cs="Times New Roman"/>
      <w:snapToGrid w:val="0"/>
      <w:sz w:val="20"/>
      <w:szCs w:val="20"/>
      <w:lang w:eastAsia="fi-FI"/>
    </w:rPr>
  </w:style>
  <w:style w:type="character" w:styleId="Fotnotsreferens">
    <w:name w:val="footnote reference"/>
    <w:aliases w:val="Footnote"/>
    <w:uiPriority w:val="99"/>
    <w:semiHidden/>
    <w:qFormat/>
    <w:rsid w:val="00471457"/>
    <w:rPr>
      <w:vertAlign w:val="superscript"/>
    </w:rPr>
  </w:style>
  <w:style w:type="paragraph" w:styleId="Liststycke">
    <w:name w:val="List Paragraph"/>
    <w:basedOn w:val="Normal"/>
    <w:uiPriority w:val="34"/>
    <w:qFormat/>
    <w:rsid w:val="00471457"/>
    <w:pPr>
      <w:ind w:left="720"/>
    </w:pPr>
  </w:style>
  <w:style w:type="paragraph" w:styleId="Ballongtext">
    <w:name w:val="Balloon Text"/>
    <w:basedOn w:val="Normal"/>
    <w:link w:val="BallongtextChar"/>
    <w:uiPriority w:val="99"/>
    <w:semiHidden/>
    <w:unhideWhenUsed/>
    <w:rsid w:val="005F45D1"/>
    <w:rPr>
      <w:rFonts w:ascii="Tahoma" w:hAnsi="Tahoma" w:cs="Tahoma"/>
      <w:sz w:val="16"/>
      <w:szCs w:val="16"/>
    </w:rPr>
  </w:style>
  <w:style w:type="character" w:customStyle="1" w:styleId="BallongtextChar">
    <w:name w:val="Ballongtext Char"/>
    <w:basedOn w:val="Standardstycketeckensnitt"/>
    <w:link w:val="Ballongtext"/>
    <w:uiPriority w:val="99"/>
    <w:semiHidden/>
    <w:rsid w:val="005F45D1"/>
    <w:rPr>
      <w:rFonts w:ascii="Tahoma" w:eastAsia="Times New Roman" w:hAnsi="Tahoma" w:cs="Tahoma"/>
      <w:snapToGrid w:val="0"/>
      <w:sz w:val="16"/>
      <w:szCs w:val="16"/>
      <w:lang w:eastAsia="fi-FI"/>
    </w:rPr>
  </w:style>
  <w:style w:type="character" w:styleId="Kommentarsreferens">
    <w:name w:val="annotation reference"/>
    <w:basedOn w:val="Standardstycketeckensnitt"/>
    <w:uiPriority w:val="99"/>
    <w:semiHidden/>
    <w:unhideWhenUsed/>
    <w:rsid w:val="002F261C"/>
    <w:rPr>
      <w:sz w:val="16"/>
      <w:szCs w:val="16"/>
    </w:rPr>
  </w:style>
  <w:style w:type="paragraph" w:styleId="Kommentarer">
    <w:name w:val="annotation text"/>
    <w:basedOn w:val="Normal"/>
    <w:link w:val="KommentarerChar"/>
    <w:uiPriority w:val="99"/>
    <w:unhideWhenUsed/>
    <w:rsid w:val="002F261C"/>
  </w:style>
  <w:style w:type="character" w:customStyle="1" w:styleId="KommentarerChar">
    <w:name w:val="Kommentarer Char"/>
    <w:basedOn w:val="Standardstycketeckensnitt"/>
    <w:link w:val="Kommentarer"/>
    <w:uiPriority w:val="99"/>
    <w:rsid w:val="002F261C"/>
    <w:rPr>
      <w:rFonts w:ascii="Verdana" w:eastAsia="Times New Roman" w:hAnsi="Verdana" w:cs="Times New Roman"/>
      <w:snapToGrid w:val="0"/>
      <w:sz w:val="20"/>
      <w:szCs w:val="20"/>
      <w:lang w:eastAsia="fi-FI"/>
    </w:rPr>
  </w:style>
  <w:style w:type="paragraph" w:styleId="Kommentarsmne">
    <w:name w:val="annotation subject"/>
    <w:basedOn w:val="Kommentarer"/>
    <w:next w:val="Kommentarer"/>
    <w:link w:val="KommentarsmneChar"/>
    <w:uiPriority w:val="99"/>
    <w:semiHidden/>
    <w:unhideWhenUsed/>
    <w:rsid w:val="002F261C"/>
    <w:rPr>
      <w:b/>
      <w:bCs/>
    </w:rPr>
  </w:style>
  <w:style w:type="character" w:customStyle="1" w:styleId="KommentarsmneChar">
    <w:name w:val="Kommentarsämne Char"/>
    <w:basedOn w:val="KommentarerChar"/>
    <w:link w:val="Kommentarsmne"/>
    <w:uiPriority w:val="99"/>
    <w:semiHidden/>
    <w:rsid w:val="002F261C"/>
    <w:rPr>
      <w:rFonts w:ascii="Verdana" w:eastAsia="Times New Roman" w:hAnsi="Verdana" w:cs="Times New Roman"/>
      <w:b/>
      <w:bCs/>
      <w:snapToGrid w:val="0"/>
      <w:sz w:val="20"/>
      <w:szCs w:val="20"/>
      <w:lang w:eastAsia="fi-FI"/>
    </w:rPr>
  </w:style>
  <w:style w:type="paragraph" w:styleId="Sidhuvud">
    <w:name w:val="header"/>
    <w:basedOn w:val="Normal"/>
    <w:link w:val="SidhuvudChar"/>
    <w:uiPriority w:val="99"/>
    <w:unhideWhenUsed/>
    <w:rsid w:val="00A41F93"/>
    <w:pPr>
      <w:tabs>
        <w:tab w:val="center" w:pos="4513"/>
        <w:tab w:val="right" w:pos="9026"/>
      </w:tabs>
    </w:pPr>
  </w:style>
  <w:style w:type="character" w:customStyle="1" w:styleId="SidhuvudChar">
    <w:name w:val="Sidhuvud Char"/>
    <w:basedOn w:val="Standardstycketeckensnitt"/>
    <w:link w:val="Sidhuvud"/>
    <w:uiPriority w:val="99"/>
    <w:rsid w:val="00A41F93"/>
    <w:rPr>
      <w:rFonts w:ascii="Verdana" w:eastAsia="Times New Roman" w:hAnsi="Verdana" w:cs="Times New Roman"/>
      <w:snapToGrid w:val="0"/>
      <w:sz w:val="20"/>
      <w:szCs w:val="20"/>
      <w:lang w:eastAsia="fi-FI"/>
    </w:rPr>
  </w:style>
  <w:style w:type="paragraph" w:styleId="Sidfot">
    <w:name w:val="footer"/>
    <w:basedOn w:val="Normal"/>
    <w:link w:val="SidfotChar"/>
    <w:uiPriority w:val="99"/>
    <w:unhideWhenUsed/>
    <w:rsid w:val="00A41F93"/>
    <w:pPr>
      <w:tabs>
        <w:tab w:val="center" w:pos="4513"/>
        <w:tab w:val="right" w:pos="9026"/>
      </w:tabs>
    </w:pPr>
  </w:style>
  <w:style w:type="character" w:customStyle="1" w:styleId="SidfotChar">
    <w:name w:val="Sidfot Char"/>
    <w:basedOn w:val="Standardstycketeckensnitt"/>
    <w:link w:val="Sidfot"/>
    <w:uiPriority w:val="99"/>
    <w:rsid w:val="00A41F93"/>
    <w:rPr>
      <w:rFonts w:ascii="Verdana" w:eastAsia="Times New Roman" w:hAnsi="Verdana" w:cs="Times New Roman"/>
      <w:snapToGrid w:val="0"/>
      <w:sz w:val="20"/>
      <w:szCs w:val="20"/>
      <w:lang w:eastAsia="fi-FI"/>
    </w:rPr>
  </w:style>
  <w:style w:type="character" w:styleId="Hyperlnk">
    <w:name w:val="Hyperlink"/>
    <w:basedOn w:val="Standardstycketeckensnitt"/>
    <w:uiPriority w:val="99"/>
    <w:rsid w:val="002E4026"/>
    <w:rPr>
      <w:rFonts w:ascii="Verdana" w:hAnsi="Verdana"/>
      <w:color w:val="0000FF"/>
      <w:sz w:val="20"/>
      <w:u w:val="single"/>
    </w:rPr>
  </w:style>
  <w:style w:type="character" w:styleId="AnvndHyperlnk">
    <w:name w:val="FollowedHyperlink"/>
    <w:basedOn w:val="Standardstycketeckensnitt"/>
    <w:uiPriority w:val="99"/>
    <w:semiHidden/>
    <w:unhideWhenUsed/>
    <w:rsid w:val="00A03E87"/>
    <w:rPr>
      <w:color w:val="800080" w:themeColor="followedHyperlink"/>
      <w:u w:val="single"/>
    </w:rPr>
  </w:style>
  <w:style w:type="paragraph" w:styleId="Numreradlista">
    <w:name w:val="List Number"/>
    <w:basedOn w:val="Normal"/>
    <w:uiPriority w:val="99"/>
    <w:semiHidden/>
    <w:unhideWhenUsed/>
    <w:rsid w:val="00862992"/>
    <w:pPr>
      <w:numPr>
        <w:numId w:val="14"/>
      </w:numPr>
      <w:contextualSpacing/>
    </w:pPr>
  </w:style>
  <w:style w:type="paragraph" w:customStyle="1" w:styleId="Default">
    <w:name w:val="Default"/>
    <w:rsid w:val="002367F9"/>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addressing-chemicals-of-concern/substances-of-potential-concern/svhc-roadmap-to-2020-imple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7808A1CA0E4EF14790F53ECF057752F5" ma:contentTypeVersion="16" ma:contentTypeDescription="Content type for ECHA process documents" ma:contentTypeScope="" ma:versionID="4ad06edc44e47dd803ed236971bd80b1">
  <xsd:schema xmlns:xsd="http://www.w3.org/2001/XMLSchema" xmlns:xs="http://www.w3.org/2001/XMLSchema" xmlns:p="http://schemas.microsoft.com/office/2006/metadata/properties" xmlns:ns2="4811b924-dee2-413a-bdc8-2cc023473c17" xmlns:ns3="b80ede5c-af4c-4bf2-9a87-706a3579dc11" targetNamespace="http://schemas.microsoft.com/office/2006/metadata/properties" ma:root="true" ma:fieldsID="f4d5235ea4be938ed52839c5b79c8146" ns2:_="" ns3:_="">
    <xsd:import namespace="4811b924-dee2-413a-bdc8-2cc023473c17"/>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3:TaxCatchAll" minOccurs="0"/>
                <xsd:element ref="ns3: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1b924-dee2-413a-bdc8-2cc023473c17"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2f01920a-32c0-4bfc-852f-a78ec103ad1f}" ma:internalName="TaxCatchAll" ma:showField="CatchAllData" ma:web="4811b924-dee2-413a-bdc8-2cc023473c1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f01920a-32c0-4bfc-852f-a78ec103ad1f}" ma:internalName="TaxCatchAllLabel" ma:readOnly="true" ma:showField="CatchAllDataLabel" ma:web="4811b924-dee2-413a-bdc8-2cc023473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4.xml><?xml version="1.0" encoding="utf-8"?>
<p:properties xmlns:p="http://schemas.microsoft.com/office/2006/metadata/properties" xmlns:xsi="http://www.w3.org/2001/XMLSchema-instance" xmlns:pc="http://schemas.microsoft.com/office/infopath/2007/PartnerControls">
  <documentManagement>
    <ECHADocumentTypeTaxHTField0 xmlns="4811b924-dee2-413a-bdc8-2cc023473c17">
      <Terms xmlns="http://schemas.microsoft.com/office/infopath/2007/PartnerControls"/>
    </ECHADocumentTypeTaxHTField0>
    <ECHACategoryTaxHTField0 xmlns="4811b924-dee2-413a-bdc8-2cc023473c17">
      <Terms xmlns="http://schemas.microsoft.com/office/infopath/2007/PartnerControls"/>
    </ECHACategoryTaxHTField0>
    <ECHAProcessTaxHTField0 xmlns="4811b924-dee2-413a-bdc8-2cc023473c17">
      <Terms xmlns="http://schemas.microsoft.com/office/infopath/2007/PartnerControls">
        <TermInfo xmlns="http://schemas.microsoft.com/office/infopath/2007/PartnerControls">
          <TermName xmlns="http://schemas.microsoft.com/office/infopath/2007/PartnerControls">03.01 Preparation for Risk management</TermName>
          <TermId xmlns="http://schemas.microsoft.com/office/infopath/2007/PartnerControls">d80fe072-1fec-4844-8783-25e18f728697</TermId>
        </TermInfo>
      </Terms>
    </ECHAProcessTaxHTField0>
    <_dlc_DocId xmlns="b80ede5c-af4c-4bf2-9a87-706a3579dc11">ACTV3-10-9080</_dlc_DocId>
    <TaxCatchAll xmlns="b80ede5c-af4c-4bf2-9a87-706a3579dc11">
      <Value>2</Value>
      <Value>1</Value>
    </TaxCatchAll>
    <ECHASecClassTaxHTField0 xmlns="4811b924-dee2-413a-bdc8-2cc023473c17">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a0307bc2-faf9-4068-8aeb-b713e4fa2a0f</TermId>
        </TermInfo>
      </Terms>
    </ECHASecClassTaxHTField0>
    <_dlc_DocIdUrl xmlns="b80ede5c-af4c-4bf2-9a87-706a3579dc11">
      <Url>https://activity.echa.europa.eu/sites/act-3/process-3-1/_layouts/DocIdRedir.aspx?ID=ACTV3-10-9080</Url>
      <Description>ACTV3-10-9080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B9FA1-F855-4497-8528-FF1A98434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1b924-dee2-413a-bdc8-2cc023473c17"/>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A0B6B-2A8C-4E8B-A868-E39425EDA209}">
  <ds:schemaRefs>
    <ds:schemaRef ds:uri="http://schemas.openxmlformats.org/officeDocument/2006/bibliography"/>
  </ds:schemaRefs>
</ds:datastoreItem>
</file>

<file path=customXml/itemProps3.xml><?xml version="1.0" encoding="utf-8"?>
<ds:datastoreItem xmlns:ds="http://schemas.openxmlformats.org/officeDocument/2006/customXml" ds:itemID="{9F44A4DA-6220-401F-9FBC-DBFBD929C8E3}">
  <ds:schemaRefs>
    <ds:schemaRef ds:uri="Microsoft.SharePoint.Taxonomy.ContentTypeSync"/>
  </ds:schemaRefs>
</ds:datastoreItem>
</file>

<file path=customXml/itemProps4.xml><?xml version="1.0" encoding="utf-8"?>
<ds:datastoreItem xmlns:ds="http://schemas.openxmlformats.org/officeDocument/2006/customXml" ds:itemID="{FB8C6060-E70E-4A37-913A-A00BF7D052E3}">
  <ds:schemaRefs>
    <ds:schemaRef ds:uri="http://schemas.microsoft.com/office/2006/documentManagement/types"/>
    <ds:schemaRef ds:uri="http://schemas.microsoft.com/office/infopath/2007/PartnerControls"/>
    <ds:schemaRef ds:uri="4811b924-dee2-413a-bdc8-2cc023473c17"/>
    <ds:schemaRef ds:uri="http://purl.org/dc/elements/1.1/"/>
    <ds:schemaRef ds:uri="http://schemas.microsoft.com/office/2006/metadata/properties"/>
    <ds:schemaRef ds:uri="http://purl.org/dc/terms/"/>
    <ds:schemaRef ds:uri="http://schemas.openxmlformats.org/package/2006/metadata/core-properties"/>
    <ds:schemaRef ds:uri="b80ede5c-af4c-4bf2-9a87-706a3579dc11"/>
    <ds:schemaRef ds:uri="http://www.w3.org/XML/1998/namespace"/>
    <ds:schemaRef ds:uri="http://purl.org/dc/dcmitype/"/>
  </ds:schemaRefs>
</ds:datastoreItem>
</file>

<file path=customXml/itemProps5.xml><?xml version="1.0" encoding="utf-8"?>
<ds:datastoreItem xmlns:ds="http://schemas.openxmlformats.org/officeDocument/2006/customXml" ds:itemID="{04B0A82C-9F0F-4A45-B5C2-5C8C1C023A73}">
  <ds:schemaRefs>
    <ds:schemaRef ds:uri="http://schemas.microsoft.com/sharepoint/events"/>
  </ds:schemaRefs>
</ds:datastoreItem>
</file>

<file path=customXml/itemProps6.xml><?xml version="1.0" encoding="utf-8"?>
<ds:datastoreItem xmlns:ds="http://schemas.openxmlformats.org/officeDocument/2006/customXml" ds:itemID="{AABFB3E3-EBBC-4869-B4C1-04C930B5F0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988</Words>
  <Characters>5240</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European Chemicals Agency</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CLENAGHAN Conor</dc:creator>
  <cp:lastModifiedBy>Tommy Johansson</cp:lastModifiedBy>
  <cp:revision>9</cp:revision>
  <cp:lastPrinted>2015-08-11T11:20:00Z</cp:lastPrinted>
  <dcterms:created xsi:type="dcterms:W3CDTF">2022-02-11T11:16:00Z</dcterms:created>
  <dcterms:modified xsi:type="dcterms:W3CDTF">2022-03-07T07:43:00Z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Process">
    <vt:lpwstr>2;#03.01 Preparation for Risk management|d80fe072-1fec-4844-8783-25e18f728697</vt:lpwstr>
  </property>
  <property fmtid="{D5CDD505-2E9C-101B-9397-08002B2CF9AE}" pid="3" name="_dlc_DocIdItemGuid">
    <vt:lpwstr>e8fafb9e-51d1-4195-b565-50d6f7fca025</vt:lpwstr>
  </property>
  <property fmtid="{D5CDD505-2E9C-101B-9397-08002B2CF9AE}" pid="4" name="ContentTypeId">
    <vt:lpwstr>0x010100B558917389A54ADDB58930FBD7E6FD57008586DED9191B4C4CBD31A5DF7F304A71007808A1CA0E4EF14790F53ECF057752F5</vt:lpwstr>
  </property>
  <property fmtid="{D5CDD505-2E9C-101B-9397-08002B2CF9AE}" pid="5" name="ECHADocumentType">
    <vt:lpwstr/>
  </property>
  <property fmtid="{D5CDD505-2E9C-101B-9397-08002B2CF9AE}" pid="6" name="ECHASecClass">
    <vt:lpwstr>1;#|a0307bc2-faf9-4068-8aeb-b713e4fa2a0f</vt:lpwstr>
  </property>
  <property fmtid="{D5CDD505-2E9C-101B-9397-08002B2CF9AE}" pid="7" name="ECHACategory">
    <vt:lpwstr/>
  </property>
</Properties>
</file>